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Default Extension="png" ContentType="image/png"/>
  <Override PartName="/word/footer6.xml" ContentType="application/vnd.openxmlformats-officedocument.wordprocessingml.footer+xml"/>
  <Override PartName="/word/footer7.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sz w:val="20"/>
        </w:rPr>
      </w:pPr>
    </w:p>
    <w:p>
      <w:pPr>
        <w:pStyle w:val="BodyText"/>
        <w:rPr>
          <w:sz w:val="20"/>
        </w:rPr>
      </w:pPr>
    </w:p>
    <w:p>
      <w:pPr>
        <w:pStyle w:val="BodyText"/>
        <w:rPr>
          <w:sz w:val="20"/>
        </w:rPr>
      </w:pPr>
    </w:p>
    <w:p>
      <w:pPr>
        <w:pStyle w:val="Heading1"/>
        <w:spacing w:line="367" w:lineRule="auto" w:before="228"/>
        <w:ind w:left="1458" w:right="943"/>
        <w:jc w:val="center"/>
      </w:pPr>
      <w:r>
        <w:rPr/>
        <w:t>GÜMÜŞHANE ÜNİVERSİTESİ </w:t>
      </w:r>
      <w:r>
        <w:rPr>
          <w:rFonts w:ascii="Trebuchet MS" w:hAnsi="Trebuchet MS"/>
          <w:sz w:val="22"/>
        </w:rPr>
        <w:t>* </w:t>
      </w:r>
      <w:r>
        <w:rPr/>
        <w:t>SOSYAL BİLİMLER ENSTİTÜSÜ AFET YÖNETİMİ ANABİLİM DALI</w:t>
      </w:r>
    </w:p>
    <w:p>
      <w:pPr>
        <w:spacing w:line="267" w:lineRule="exact" w:before="0"/>
        <w:ind w:left="3728" w:right="0" w:firstLine="0"/>
        <w:jc w:val="left"/>
        <w:rPr>
          <w:b/>
          <w:sz w:val="24"/>
        </w:rPr>
      </w:pPr>
      <w:r>
        <w:rPr>
          <w:b/>
          <w:sz w:val="24"/>
        </w:rPr>
        <w:t>YÜKSEKLİSANS PROGRAMI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line="360" w:lineRule="auto" w:before="0"/>
        <w:ind w:left="1458" w:right="943" w:firstLine="0"/>
        <w:jc w:val="center"/>
        <w:rPr>
          <w:b/>
          <w:sz w:val="24"/>
        </w:rPr>
      </w:pPr>
      <w:r>
        <w:rPr>
          <w:b/>
          <w:sz w:val="24"/>
        </w:rPr>
        <w:t>112’DE ÇALIŞAN PERSONELİN AFETE HAZIRLIK DÜZEYİNİN İNCELENMESİ: GÜMÜŞHANE İLİ ÖRNEĞİ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1"/>
        <w:rPr>
          <w:b/>
          <w:sz w:val="34"/>
        </w:rPr>
      </w:pPr>
    </w:p>
    <w:p>
      <w:pPr>
        <w:spacing w:before="0"/>
        <w:ind w:left="1453" w:right="943" w:firstLine="0"/>
        <w:jc w:val="center"/>
        <w:rPr>
          <w:b/>
          <w:sz w:val="24"/>
        </w:rPr>
      </w:pPr>
      <w:r>
        <w:rPr>
          <w:b/>
          <w:sz w:val="24"/>
        </w:rPr>
        <w:t>YÜKSEK LİSANS TEZİ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1"/>
        <w:rPr>
          <w:b/>
          <w:sz w:val="26"/>
        </w:rPr>
      </w:pPr>
    </w:p>
    <w:p>
      <w:pPr>
        <w:spacing w:before="0"/>
        <w:ind w:left="1453" w:right="943" w:firstLine="0"/>
        <w:jc w:val="center"/>
        <w:rPr>
          <w:b/>
          <w:sz w:val="24"/>
        </w:rPr>
      </w:pPr>
      <w:r>
        <w:rPr>
          <w:b/>
          <w:sz w:val="24"/>
        </w:rPr>
        <w:t>Yasemin KOCAMAN</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line="360" w:lineRule="auto" w:before="0"/>
        <w:ind w:left="4587" w:right="4071" w:hanging="1"/>
        <w:jc w:val="center"/>
        <w:rPr>
          <w:b/>
          <w:sz w:val="24"/>
        </w:rPr>
      </w:pPr>
      <w:r>
        <w:rPr>
          <w:b/>
          <w:sz w:val="24"/>
        </w:rPr>
        <w:t>MAYIS - 2019 GÜMÜŞHANE</w:t>
      </w:r>
    </w:p>
    <w:p>
      <w:pPr>
        <w:spacing w:after="0" w:line="360" w:lineRule="auto"/>
        <w:jc w:val="center"/>
        <w:rPr>
          <w:sz w:val="24"/>
        </w:rPr>
        <w:sectPr>
          <w:type w:val="continuous"/>
          <w:pgSz w:w="11910" w:h="16840"/>
          <w:pgMar w:top="1580" w:bottom="280" w:left="1140" w:right="520"/>
        </w:sectPr>
      </w:pPr>
    </w:p>
    <w:p>
      <w:pPr>
        <w:pStyle w:val="BodyText"/>
        <w:rPr>
          <w:b/>
          <w:sz w:val="20"/>
        </w:rPr>
      </w:pPr>
    </w:p>
    <w:p>
      <w:pPr>
        <w:pStyle w:val="BodyText"/>
        <w:rPr>
          <w:b/>
          <w:sz w:val="20"/>
        </w:rPr>
      </w:pPr>
    </w:p>
    <w:p>
      <w:pPr>
        <w:pStyle w:val="BodyText"/>
        <w:rPr>
          <w:b/>
          <w:sz w:val="20"/>
        </w:rPr>
      </w:pPr>
    </w:p>
    <w:p>
      <w:pPr>
        <w:pStyle w:val="BodyText"/>
        <w:spacing w:before="11"/>
        <w:rPr>
          <w:b/>
          <w:sz w:val="20"/>
        </w:rPr>
      </w:pPr>
    </w:p>
    <w:p>
      <w:pPr>
        <w:pStyle w:val="BodyText"/>
        <w:ind w:left="4388"/>
        <w:rPr>
          <w:sz w:val="20"/>
        </w:rPr>
      </w:pPr>
      <w:r>
        <w:rPr>
          <w:sz w:val="20"/>
        </w:rPr>
        <w:drawing>
          <wp:inline distT="0" distB="0" distL="0" distR="0">
            <wp:extent cx="1238851" cy="993648"/>
            <wp:effectExtent l="0" t="0" r="0" b="0"/>
            <wp:docPr id="1" name="image1.jpeg" descr=""/>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1238851" cy="993648"/>
                    </a:xfrm>
                    <a:prstGeom prst="rect">
                      <a:avLst/>
                    </a:prstGeom>
                  </pic:spPr>
                </pic:pic>
              </a:graphicData>
            </a:graphic>
          </wp:inline>
        </w:drawing>
      </w:r>
      <w:r>
        <w:rPr>
          <w:sz w:val="20"/>
        </w:rPr>
      </w:r>
    </w:p>
    <w:p>
      <w:pPr>
        <w:pStyle w:val="BodyText"/>
        <w:rPr>
          <w:b/>
          <w:sz w:val="20"/>
        </w:rPr>
      </w:pPr>
    </w:p>
    <w:p>
      <w:pPr>
        <w:pStyle w:val="BodyText"/>
        <w:spacing w:before="8"/>
        <w:rPr>
          <w:b/>
          <w:sz w:val="19"/>
        </w:rPr>
      </w:pPr>
    </w:p>
    <w:p>
      <w:pPr>
        <w:spacing w:line="367" w:lineRule="auto" w:before="90"/>
        <w:ind w:left="1458" w:right="943" w:firstLine="0"/>
        <w:jc w:val="center"/>
        <w:rPr>
          <w:b/>
          <w:sz w:val="24"/>
        </w:rPr>
      </w:pPr>
      <w:r>
        <w:rPr>
          <w:b/>
          <w:sz w:val="24"/>
        </w:rPr>
        <w:t>GÜMÜŞHANE ÜNİVERSİTESİ </w:t>
      </w:r>
      <w:r>
        <w:rPr>
          <w:rFonts w:ascii="Trebuchet MS" w:hAnsi="Trebuchet MS"/>
          <w:b/>
          <w:sz w:val="22"/>
        </w:rPr>
        <w:t>* </w:t>
      </w:r>
      <w:r>
        <w:rPr>
          <w:b/>
          <w:sz w:val="24"/>
        </w:rPr>
        <w:t>SOSYAL BİLİMLER ENSTİTÜSÜ AFET YÖNETİMİ ANABİLİM DALI</w:t>
      </w:r>
    </w:p>
    <w:p>
      <w:pPr>
        <w:spacing w:line="267" w:lineRule="exact" w:before="0"/>
        <w:ind w:left="3699" w:right="0" w:firstLine="0"/>
        <w:jc w:val="left"/>
        <w:rPr>
          <w:b/>
          <w:sz w:val="24"/>
        </w:rPr>
      </w:pPr>
      <w:r>
        <w:rPr>
          <w:b/>
          <w:sz w:val="24"/>
        </w:rPr>
        <w:t>YÜKSEK LİSANS PROGRAMI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pStyle w:val="BodyText"/>
        <w:rPr>
          <w:b/>
          <w:sz w:val="26"/>
        </w:rPr>
      </w:pPr>
    </w:p>
    <w:p>
      <w:pPr>
        <w:spacing w:line="360" w:lineRule="auto" w:before="208"/>
        <w:ind w:left="1459" w:right="943" w:firstLine="0"/>
        <w:jc w:val="center"/>
        <w:rPr>
          <w:b/>
          <w:sz w:val="24"/>
        </w:rPr>
      </w:pPr>
      <w:r>
        <w:rPr>
          <w:b/>
          <w:sz w:val="24"/>
        </w:rPr>
        <w:t>112’DE ÇALIŞAN PERSONELİN AFETE HAZIRLIK DÜZEYİNİN İNCELENMESİ: GÜMÜŞHANE İLİ ÖRNEĞİ</w:t>
      </w:r>
    </w:p>
    <w:p>
      <w:pPr>
        <w:pStyle w:val="BodyText"/>
        <w:rPr>
          <w:b/>
          <w:sz w:val="26"/>
        </w:rPr>
      </w:pPr>
    </w:p>
    <w:p>
      <w:pPr>
        <w:pStyle w:val="BodyText"/>
        <w:rPr>
          <w:b/>
          <w:sz w:val="26"/>
        </w:rPr>
      </w:pPr>
    </w:p>
    <w:p>
      <w:pPr>
        <w:pStyle w:val="BodyText"/>
        <w:rPr>
          <w:b/>
          <w:sz w:val="26"/>
        </w:rPr>
      </w:pPr>
    </w:p>
    <w:p>
      <w:pPr>
        <w:pStyle w:val="BodyText"/>
        <w:rPr>
          <w:b/>
          <w:sz w:val="26"/>
        </w:rPr>
      </w:pPr>
    </w:p>
    <w:p>
      <w:pPr>
        <w:pStyle w:val="BodyText"/>
        <w:spacing w:before="1"/>
        <w:rPr>
          <w:b/>
          <w:sz w:val="22"/>
        </w:rPr>
      </w:pPr>
    </w:p>
    <w:p>
      <w:pPr>
        <w:spacing w:before="0"/>
        <w:ind w:left="1453" w:right="943" w:firstLine="0"/>
        <w:jc w:val="center"/>
        <w:rPr>
          <w:b/>
          <w:sz w:val="24"/>
        </w:rPr>
      </w:pPr>
      <w:r>
        <w:rPr>
          <w:b/>
          <w:sz w:val="24"/>
        </w:rPr>
        <w:t>YÜKSEK LİSANS TEZİ</w:t>
      </w:r>
    </w:p>
    <w:p>
      <w:pPr>
        <w:pStyle w:val="BodyText"/>
        <w:rPr>
          <w:b/>
          <w:sz w:val="26"/>
        </w:rPr>
      </w:pPr>
    </w:p>
    <w:p>
      <w:pPr>
        <w:pStyle w:val="BodyText"/>
        <w:rPr>
          <w:b/>
          <w:sz w:val="26"/>
        </w:rPr>
      </w:pPr>
    </w:p>
    <w:p>
      <w:pPr>
        <w:pStyle w:val="BodyText"/>
        <w:spacing w:before="10"/>
        <w:rPr>
          <w:b/>
          <w:sz w:val="31"/>
        </w:rPr>
      </w:pPr>
    </w:p>
    <w:p>
      <w:pPr>
        <w:spacing w:before="0"/>
        <w:ind w:left="1453" w:right="943" w:firstLine="0"/>
        <w:jc w:val="center"/>
        <w:rPr>
          <w:b/>
          <w:sz w:val="24"/>
        </w:rPr>
      </w:pPr>
      <w:r>
        <w:rPr>
          <w:b/>
          <w:sz w:val="24"/>
        </w:rPr>
        <w:t>Yasemin KOCAMAN</w:t>
      </w:r>
    </w:p>
    <w:p>
      <w:pPr>
        <w:pStyle w:val="BodyText"/>
        <w:rPr>
          <w:b/>
          <w:sz w:val="26"/>
        </w:rPr>
      </w:pPr>
    </w:p>
    <w:p>
      <w:pPr>
        <w:pStyle w:val="BodyText"/>
        <w:rPr>
          <w:b/>
          <w:sz w:val="26"/>
        </w:rPr>
      </w:pPr>
    </w:p>
    <w:p>
      <w:pPr>
        <w:pStyle w:val="BodyText"/>
        <w:spacing w:before="11"/>
        <w:rPr>
          <w:b/>
          <w:sz w:val="31"/>
        </w:rPr>
      </w:pPr>
    </w:p>
    <w:p>
      <w:pPr>
        <w:spacing w:before="0"/>
        <w:ind w:left="3406" w:right="0" w:firstLine="0"/>
        <w:jc w:val="left"/>
        <w:rPr>
          <w:b/>
          <w:sz w:val="24"/>
        </w:rPr>
      </w:pPr>
      <w:r>
        <w:rPr>
          <w:b/>
          <w:sz w:val="24"/>
        </w:rPr>
        <w:t>Danışman: Prof. Dr. Saime ŞAHİNÖZ</w:t>
      </w:r>
    </w:p>
    <w:p>
      <w:pPr>
        <w:pStyle w:val="BodyText"/>
        <w:rPr>
          <w:b/>
          <w:sz w:val="26"/>
        </w:rPr>
      </w:pPr>
    </w:p>
    <w:p>
      <w:pPr>
        <w:pStyle w:val="BodyText"/>
        <w:rPr>
          <w:b/>
          <w:sz w:val="26"/>
        </w:rPr>
      </w:pPr>
    </w:p>
    <w:p>
      <w:pPr>
        <w:pStyle w:val="BodyText"/>
        <w:rPr>
          <w:b/>
          <w:sz w:val="26"/>
        </w:rPr>
      </w:pPr>
    </w:p>
    <w:p>
      <w:pPr>
        <w:pStyle w:val="BodyText"/>
        <w:rPr>
          <w:b/>
          <w:sz w:val="26"/>
        </w:rPr>
      </w:pPr>
    </w:p>
    <w:p>
      <w:pPr>
        <w:spacing w:line="360" w:lineRule="auto" w:before="184"/>
        <w:ind w:left="4587" w:right="4071" w:firstLine="1"/>
        <w:jc w:val="center"/>
        <w:rPr>
          <w:b/>
          <w:sz w:val="24"/>
        </w:rPr>
      </w:pPr>
      <w:r>
        <w:rPr>
          <w:b/>
          <w:sz w:val="24"/>
        </w:rPr>
        <w:t>MAYIS – 2019 GÜMÜŞHANE</w:t>
      </w:r>
    </w:p>
    <w:p>
      <w:pPr>
        <w:spacing w:after="0" w:line="360" w:lineRule="auto"/>
        <w:jc w:val="center"/>
        <w:rPr>
          <w:sz w:val="24"/>
        </w:rPr>
        <w:sectPr>
          <w:pgSz w:w="11910" w:h="16840"/>
          <w:pgMar w:top="1580" w:bottom="280" w:left="1140" w:right="520"/>
        </w:sectPr>
      </w:pPr>
    </w:p>
    <w:p>
      <w:pPr>
        <w:pStyle w:val="BodyText"/>
        <w:rPr>
          <w:b/>
          <w:sz w:val="20"/>
        </w:rPr>
      </w:pPr>
    </w:p>
    <w:p>
      <w:pPr>
        <w:pStyle w:val="BodyText"/>
        <w:rPr>
          <w:b/>
          <w:sz w:val="20"/>
        </w:rPr>
      </w:pPr>
    </w:p>
    <w:p>
      <w:pPr>
        <w:pStyle w:val="Heading1"/>
        <w:spacing w:before="206"/>
        <w:ind w:left="1456" w:right="943"/>
        <w:jc w:val="center"/>
      </w:pPr>
      <w:bookmarkStart w:name="_TOC_250013" w:id="1"/>
      <w:bookmarkEnd w:id="1"/>
      <w:r>
        <w:rPr/>
        <w:t>KABUL VE ONAY</w:t>
      </w:r>
    </w:p>
    <w:p>
      <w:pPr>
        <w:pStyle w:val="BodyText"/>
        <w:rPr>
          <w:b/>
          <w:sz w:val="26"/>
        </w:rPr>
      </w:pPr>
    </w:p>
    <w:p>
      <w:pPr>
        <w:pStyle w:val="BodyText"/>
        <w:spacing w:before="6"/>
        <w:rPr>
          <w:b/>
          <w:sz w:val="29"/>
        </w:rPr>
      </w:pPr>
    </w:p>
    <w:p>
      <w:pPr>
        <w:pStyle w:val="BodyText"/>
        <w:spacing w:line="360" w:lineRule="auto"/>
        <w:ind w:left="1128" w:right="613" w:firstLine="768"/>
        <w:jc w:val="right"/>
      </w:pPr>
      <w:r>
        <w:rPr/>
        <w:t>Prof. Dr. Saime ŞAHİNÖZ danışmanlığında, Yasemin KOCAMAN tarafından</w:t>
      </w:r>
      <w:r>
        <w:rPr>
          <w:w w:val="99"/>
        </w:rPr>
        <w:t> </w:t>
      </w:r>
      <w:r>
        <w:rPr/>
        <w:t>hazırlanan “112’DE ÇALIŞAN PERSONELİN AFETE HAZIRLIK DÜZEYİNİN</w:t>
      </w:r>
    </w:p>
    <w:p>
      <w:pPr>
        <w:pStyle w:val="BodyText"/>
        <w:spacing w:line="360" w:lineRule="auto"/>
        <w:ind w:left="1128" w:right="608"/>
        <w:jc w:val="both"/>
      </w:pPr>
      <w:r>
        <w:rPr/>
        <w:t>İNCELENMESİ:</w:t>
      </w:r>
      <w:r>
        <w:rPr>
          <w:spacing w:val="-10"/>
        </w:rPr>
        <w:t> </w:t>
      </w:r>
      <w:r>
        <w:rPr/>
        <w:t>GÜMÜŞHANE</w:t>
      </w:r>
      <w:r>
        <w:rPr>
          <w:spacing w:val="-7"/>
        </w:rPr>
        <w:t> </w:t>
      </w:r>
      <w:r>
        <w:rPr/>
        <w:t>İLİ</w:t>
      </w:r>
      <w:r>
        <w:rPr>
          <w:spacing w:val="-14"/>
        </w:rPr>
        <w:t> </w:t>
      </w:r>
      <w:r>
        <w:rPr/>
        <w:t>ÖRNEĞİ”</w:t>
      </w:r>
      <w:r>
        <w:rPr>
          <w:spacing w:val="-11"/>
        </w:rPr>
        <w:t> </w:t>
      </w:r>
      <w:r>
        <w:rPr/>
        <w:t>isimli</w:t>
      </w:r>
      <w:r>
        <w:rPr>
          <w:spacing w:val="-10"/>
        </w:rPr>
        <w:t> </w:t>
      </w:r>
      <w:r>
        <w:rPr/>
        <w:t>bu</w:t>
      </w:r>
      <w:r>
        <w:rPr>
          <w:spacing w:val="-13"/>
        </w:rPr>
        <w:t> </w:t>
      </w:r>
      <w:r>
        <w:rPr/>
        <w:t>çalışma</w:t>
      </w:r>
      <w:r>
        <w:rPr>
          <w:spacing w:val="-9"/>
        </w:rPr>
        <w:t> </w:t>
      </w:r>
      <w:r>
        <w:rPr/>
        <w:t>30/</w:t>
      </w:r>
      <w:r>
        <w:rPr>
          <w:spacing w:val="-10"/>
        </w:rPr>
        <w:t> </w:t>
      </w:r>
      <w:r>
        <w:rPr/>
        <w:t>05/</w:t>
      </w:r>
      <w:r>
        <w:rPr>
          <w:spacing w:val="-13"/>
        </w:rPr>
        <w:t> </w:t>
      </w:r>
      <w:r>
        <w:rPr/>
        <w:t>2019</w:t>
      </w:r>
      <w:r>
        <w:rPr>
          <w:spacing w:val="-11"/>
        </w:rPr>
        <w:t> </w:t>
      </w:r>
      <w:r>
        <w:rPr/>
        <w:t>tarihinde yapılan savunma sınavı sonucunda başarılı bulunarak jürimiz tarafından Yüksek Lisans Tezi olarak kabul</w:t>
      </w:r>
      <w:r>
        <w:rPr>
          <w:spacing w:val="-1"/>
        </w:rPr>
        <w:t> </w:t>
      </w:r>
      <w:r>
        <w:rPr/>
        <w:t>edilmiştir.</w:t>
      </w:r>
    </w:p>
    <w:p>
      <w:pPr>
        <w:pStyle w:val="BodyText"/>
        <w:rPr>
          <w:sz w:val="26"/>
        </w:rPr>
      </w:pPr>
    </w:p>
    <w:p>
      <w:pPr>
        <w:pStyle w:val="BodyText"/>
        <w:rPr>
          <w:sz w:val="26"/>
        </w:rPr>
      </w:pPr>
    </w:p>
    <w:p>
      <w:pPr>
        <w:pStyle w:val="BodyText"/>
        <w:rPr>
          <w:sz w:val="26"/>
        </w:rPr>
      </w:pPr>
    </w:p>
    <w:p>
      <w:pPr>
        <w:pStyle w:val="BodyText"/>
        <w:spacing w:before="176"/>
        <w:ind w:left="1453" w:right="943"/>
        <w:jc w:val="center"/>
      </w:pPr>
      <w:r>
        <w:rPr/>
        <w:t>Dr. Öğr. Üyesi Ahmet İLHAN</w:t>
      </w:r>
      <w:r>
        <w:rPr>
          <w:spacing w:val="-14"/>
        </w:rPr>
        <w:t> </w:t>
      </w:r>
      <w:r>
        <w:rPr/>
        <w:t>(Başkan)</w:t>
      </w:r>
    </w:p>
    <w:p>
      <w:pPr>
        <w:pStyle w:val="BodyText"/>
        <w:rPr>
          <w:sz w:val="26"/>
        </w:rPr>
      </w:pPr>
    </w:p>
    <w:p>
      <w:pPr>
        <w:pStyle w:val="BodyText"/>
        <w:rPr>
          <w:sz w:val="26"/>
        </w:rPr>
      </w:pPr>
    </w:p>
    <w:p>
      <w:pPr>
        <w:pStyle w:val="BodyText"/>
        <w:rPr>
          <w:sz w:val="26"/>
        </w:rPr>
      </w:pPr>
    </w:p>
    <w:p>
      <w:pPr>
        <w:pStyle w:val="BodyText"/>
        <w:spacing w:before="200"/>
        <w:ind w:left="1456" w:right="943"/>
        <w:jc w:val="center"/>
      </w:pPr>
      <w:r>
        <w:rPr/>
        <w:t>Prof. Dr. Saime ŞAHİNÖZ</w:t>
      </w:r>
      <w:r>
        <w:rPr>
          <w:spacing w:val="44"/>
        </w:rPr>
        <w:t> </w:t>
      </w:r>
      <w:r>
        <w:rPr/>
        <w:t>(Danışman)</w:t>
      </w:r>
    </w:p>
    <w:p>
      <w:pPr>
        <w:pStyle w:val="BodyText"/>
        <w:rPr>
          <w:sz w:val="26"/>
        </w:rPr>
      </w:pPr>
    </w:p>
    <w:p>
      <w:pPr>
        <w:pStyle w:val="BodyText"/>
        <w:rPr>
          <w:sz w:val="26"/>
        </w:rPr>
      </w:pPr>
    </w:p>
    <w:p>
      <w:pPr>
        <w:pStyle w:val="BodyText"/>
        <w:rPr>
          <w:sz w:val="26"/>
        </w:rPr>
      </w:pPr>
    </w:p>
    <w:p>
      <w:pPr>
        <w:pStyle w:val="BodyText"/>
        <w:spacing w:before="203"/>
        <w:ind w:left="1456" w:right="943"/>
        <w:jc w:val="center"/>
      </w:pPr>
      <w:r>
        <w:rPr/>
        <w:t>Dr. Öğr. Üyesi Ayşe ÇOLAK (Üye)</w:t>
      </w:r>
    </w:p>
    <w:p>
      <w:pPr>
        <w:pStyle w:val="BodyText"/>
        <w:rPr>
          <w:sz w:val="26"/>
        </w:rPr>
      </w:pPr>
    </w:p>
    <w:p>
      <w:pPr>
        <w:pStyle w:val="BodyText"/>
        <w:rPr>
          <w:sz w:val="26"/>
        </w:rPr>
      </w:pPr>
    </w:p>
    <w:p>
      <w:pPr>
        <w:pStyle w:val="BodyText"/>
        <w:rPr>
          <w:sz w:val="26"/>
        </w:rPr>
      </w:pPr>
    </w:p>
    <w:p>
      <w:pPr>
        <w:pStyle w:val="BodyText"/>
        <w:rPr>
          <w:sz w:val="26"/>
        </w:rPr>
      </w:pPr>
    </w:p>
    <w:p>
      <w:pPr>
        <w:pStyle w:val="BodyText"/>
        <w:spacing w:before="2"/>
        <w:rPr>
          <w:sz w:val="31"/>
        </w:rPr>
      </w:pPr>
    </w:p>
    <w:p>
      <w:pPr>
        <w:pStyle w:val="BodyText"/>
        <w:ind w:left="1503" w:right="943"/>
        <w:jc w:val="center"/>
      </w:pPr>
      <w:r>
        <w:rPr/>
        <w:t>Yukarıdaki imzaların adı geçen öğretim üyelerine ait olduğunu onaylarım.</w:t>
      </w:r>
    </w:p>
    <w:p>
      <w:pPr>
        <w:pStyle w:val="BodyText"/>
        <w:rPr>
          <w:sz w:val="26"/>
        </w:rPr>
      </w:pPr>
    </w:p>
    <w:p>
      <w:pPr>
        <w:pStyle w:val="BodyText"/>
        <w:rPr>
          <w:sz w:val="26"/>
        </w:rPr>
      </w:pPr>
    </w:p>
    <w:p>
      <w:pPr>
        <w:pStyle w:val="BodyText"/>
        <w:rPr>
          <w:sz w:val="26"/>
        </w:rPr>
      </w:pPr>
    </w:p>
    <w:p>
      <w:pPr>
        <w:pStyle w:val="BodyText"/>
        <w:spacing w:before="201"/>
        <w:ind w:left="1128" w:right="611"/>
        <w:jc w:val="right"/>
      </w:pPr>
      <w:r>
        <w:rPr/>
        <w:t>…/…. /2019</w:t>
      </w:r>
    </w:p>
    <w:p>
      <w:pPr>
        <w:pStyle w:val="BodyText"/>
        <w:spacing w:line="398" w:lineRule="auto" w:before="182"/>
        <w:ind w:left="6560" w:right="609" w:firstLine="588"/>
        <w:jc w:val="right"/>
      </w:pPr>
      <w:r>
        <w:rPr/>
        <w:t>Prof. Dr.</w:t>
      </w:r>
      <w:r>
        <w:rPr>
          <w:spacing w:val="-4"/>
        </w:rPr>
        <w:t> </w:t>
      </w:r>
      <w:r>
        <w:rPr/>
        <w:t>Ekrem</w:t>
      </w:r>
      <w:r>
        <w:rPr>
          <w:spacing w:val="-1"/>
        </w:rPr>
        <w:t> </w:t>
      </w:r>
      <w:r>
        <w:rPr/>
        <w:t>CENGİZ Sosyal Bilimler Enstitü</w:t>
      </w:r>
      <w:r>
        <w:rPr>
          <w:spacing w:val="-13"/>
        </w:rPr>
        <w:t> </w:t>
      </w:r>
      <w:r>
        <w:rPr/>
        <w:t>Müdürü</w:t>
      </w:r>
    </w:p>
    <w:p>
      <w:pPr>
        <w:spacing w:after="0" w:line="398" w:lineRule="auto"/>
        <w:jc w:val="right"/>
        <w:sectPr>
          <w:pgSz w:w="11910" w:h="16840"/>
          <w:pgMar w:top="1580" w:bottom="280" w:left="1140" w:right="520"/>
        </w:sectPr>
      </w:pPr>
    </w:p>
    <w:p>
      <w:pPr>
        <w:pStyle w:val="BodyText"/>
        <w:rPr>
          <w:sz w:val="20"/>
        </w:rPr>
      </w:pPr>
    </w:p>
    <w:p>
      <w:pPr>
        <w:pStyle w:val="BodyText"/>
        <w:rPr>
          <w:sz w:val="20"/>
        </w:rPr>
      </w:pPr>
    </w:p>
    <w:p>
      <w:pPr>
        <w:pStyle w:val="BodyText"/>
        <w:spacing w:before="8"/>
        <w:rPr>
          <w:sz w:val="20"/>
        </w:rPr>
      </w:pPr>
    </w:p>
    <w:p>
      <w:pPr>
        <w:pStyle w:val="Heading1"/>
        <w:ind w:left="4793"/>
      </w:pPr>
      <w:bookmarkStart w:name="_TOC_250012" w:id="2"/>
      <w:bookmarkEnd w:id="2"/>
      <w:r>
        <w:rPr/>
        <w:t>BİLDİRİM</w:t>
      </w:r>
    </w:p>
    <w:p>
      <w:pPr>
        <w:pStyle w:val="BodyText"/>
        <w:spacing w:before="3"/>
        <w:rPr>
          <w:b/>
          <w:sz w:val="27"/>
        </w:rPr>
      </w:pPr>
    </w:p>
    <w:p>
      <w:pPr>
        <w:pStyle w:val="BodyText"/>
        <w:spacing w:line="360" w:lineRule="auto" w:before="1"/>
        <w:ind w:left="1128" w:right="613" w:firstLine="708"/>
        <w:jc w:val="both"/>
      </w:pPr>
      <w:r>
        <w:rPr/>
        <w:t>Yüksek Lisans Tezi olarak hazırlamış olduğum “112’de Çalışan Personelin</w:t>
      </w:r>
      <w:r>
        <w:rPr>
          <w:spacing w:val="-42"/>
        </w:rPr>
        <w:t> </w:t>
      </w:r>
      <w:r>
        <w:rPr/>
        <w:t>Afete Hazırlık Düzeyinin İncelenmesi: Gümüşhane İli Örneği” isimli bu çalışmanın tamamen kendi çalışmam olduğunu, her alıntıya kaynak gösterdiğimi ve alıntı yaptığım tüm çalışmaların kaynakçada yer aldığını taahhüt eder, tezimin kâğıt ve elektronik kopyalarının Gümüşhane Üniversitesi Sosyal Bilimler Enstitüsü arşivlerinde aşağıda belirttiğim koşularda saklanmasına izin verdiğimi</w:t>
      </w:r>
      <w:r>
        <w:rPr>
          <w:spacing w:val="-5"/>
        </w:rPr>
        <w:t> </w:t>
      </w:r>
      <w:r>
        <w:rPr/>
        <w:t>onaylarım.</w:t>
      </w:r>
    </w:p>
    <w:p>
      <w:pPr>
        <w:pStyle w:val="BodyText"/>
        <w:spacing w:line="360" w:lineRule="auto" w:before="161"/>
        <w:ind w:left="1128" w:right="618" w:firstLine="708"/>
        <w:jc w:val="both"/>
      </w:pPr>
      <w:r>
        <w:rPr/>
        <w:t>Lisansüstü Eğitim-Öğretim yönetmeliğinin ilgili maddeleri uyarınca gereğinin yapılmasını arz ederim.</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4"/>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318"/>
        <w:gridCol w:w="7178"/>
      </w:tblGrid>
      <w:tr>
        <w:trPr>
          <w:trHeight w:val="1379" w:hRule="atLeast"/>
        </w:trPr>
        <w:tc>
          <w:tcPr>
            <w:tcW w:w="1318" w:type="dxa"/>
          </w:tcPr>
          <w:p>
            <w:pPr>
              <w:pStyle w:val="TableParagraph"/>
              <w:rPr>
                <w:sz w:val="20"/>
              </w:rPr>
            </w:pPr>
          </w:p>
          <w:p>
            <w:pPr>
              <w:pStyle w:val="TableParagraph"/>
              <w:spacing w:before="4" w:after="1"/>
              <w:rPr>
                <w:sz w:val="28"/>
              </w:rPr>
            </w:pPr>
          </w:p>
          <w:p>
            <w:pPr>
              <w:pStyle w:val="TableParagraph"/>
              <w:ind w:left="442"/>
              <w:rPr>
                <w:sz w:val="20"/>
              </w:rPr>
            </w:pPr>
            <w:r>
              <w:rPr>
                <w:sz w:val="20"/>
              </w:rPr>
              <w:pict>
                <v:group style="width:22pt;height:15.25pt;mso-position-horizontal-relative:char;mso-position-vertical-relative:line" coordorigin="0,0" coordsize="440,305">
                  <v:rect style="position:absolute;left:10;top:10;width:420;height:285" filled="false" stroked="true" strokeweight="1pt" strokecolor="#000000">
                    <v:stroke dashstyle="solid"/>
                  </v:rect>
                </v:group>
              </w:pict>
            </w:r>
            <w:r>
              <w:rPr>
                <w:sz w:val="20"/>
              </w:rPr>
            </w:r>
          </w:p>
        </w:tc>
        <w:tc>
          <w:tcPr>
            <w:tcW w:w="7178" w:type="dxa"/>
          </w:tcPr>
          <w:p>
            <w:pPr>
              <w:pStyle w:val="TableParagraph"/>
              <w:rPr>
                <w:sz w:val="26"/>
              </w:rPr>
            </w:pPr>
          </w:p>
          <w:p>
            <w:pPr>
              <w:pStyle w:val="TableParagraph"/>
              <w:spacing w:before="3"/>
              <w:rPr>
                <w:sz w:val="21"/>
              </w:rPr>
            </w:pPr>
          </w:p>
          <w:p>
            <w:pPr>
              <w:pStyle w:val="TableParagraph"/>
              <w:ind w:left="107"/>
              <w:rPr>
                <w:sz w:val="24"/>
              </w:rPr>
            </w:pPr>
            <w:r>
              <w:rPr>
                <w:sz w:val="24"/>
              </w:rPr>
              <w:t>Tezimin tamamı her yerden erişime açılabilir.</w:t>
            </w:r>
          </w:p>
        </w:tc>
      </w:tr>
      <w:tr>
        <w:trPr>
          <w:trHeight w:val="983" w:hRule="atLeast"/>
        </w:trPr>
        <w:tc>
          <w:tcPr>
            <w:tcW w:w="1318" w:type="dxa"/>
          </w:tcPr>
          <w:p>
            <w:pPr>
              <w:pStyle w:val="TableParagraph"/>
              <w:spacing w:before="8"/>
              <w:rPr>
                <w:sz w:val="29"/>
              </w:rPr>
            </w:pPr>
          </w:p>
          <w:p>
            <w:pPr>
              <w:pStyle w:val="TableParagraph"/>
              <w:ind w:left="449"/>
              <w:rPr>
                <w:sz w:val="20"/>
              </w:rPr>
            </w:pPr>
            <w:r>
              <w:rPr>
                <w:sz w:val="20"/>
              </w:rPr>
              <w:pict>
                <v:group style="width:21.25pt;height:16.75pt;mso-position-horizontal-relative:char;mso-position-vertical-relative:line" coordorigin="0,0" coordsize="425,335">
                  <v:rect style="position:absolute;left:10;top:10;width:405;height:315" filled="false" stroked="true" strokeweight="1pt" strokecolor="#000000">
                    <v:stroke dashstyle="solid"/>
                  </v:rect>
                </v:group>
              </w:pict>
            </w:r>
            <w:r>
              <w:rPr>
                <w:sz w:val="20"/>
              </w:rPr>
            </w:r>
          </w:p>
        </w:tc>
        <w:tc>
          <w:tcPr>
            <w:tcW w:w="7178" w:type="dxa"/>
          </w:tcPr>
          <w:p>
            <w:pPr>
              <w:pStyle w:val="TableParagraph"/>
              <w:spacing w:before="3"/>
              <w:rPr>
                <w:sz w:val="23"/>
              </w:rPr>
            </w:pPr>
          </w:p>
          <w:p>
            <w:pPr>
              <w:pStyle w:val="TableParagraph"/>
              <w:tabs>
                <w:tab w:pos="941" w:val="left" w:leader="none"/>
                <w:tab w:pos="1800" w:val="left" w:leader="none"/>
                <w:tab w:pos="3170" w:val="left" w:leader="none"/>
                <w:tab w:pos="4554" w:val="left" w:leader="none"/>
                <w:tab w:pos="6358" w:val="left" w:leader="none"/>
              </w:tabs>
              <w:ind w:left="107" w:right="98"/>
              <w:rPr>
                <w:sz w:val="24"/>
              </w:rPr>
            </w:pPr>
            <w:r>
              <w:rPr>
                <w:sz w:val="24"/>
              </w:rPr>
              <w:t>Tezim</w:t>
              <w:tab/>
              <w:t>sadece</w:t>
              <w:tab/>
              <w:t>Gümüşhane</w:t>
              <w:tab/>
              <w:t>Üniversitesi</w:t>
              <w:tab/>
              <w:t>yerleşkelerinden</w:t>
              <w:tab/>
              <w:t>erişime açılabilir</w:t>
            </w:r>
          </w:p>
        </w:tc>
      </w:tr>
      <w:tr>
        <w:trPr>
          <w:trHeight w:val="1266" w:hRule="atLeast"/>
        </w:trPr>
        <w:tc>
          <w:tcPr>
            <w:tcW w:w="1318" w:type="dxa"/>
          </w:tcPr>
          <w:p>
            <w:pPr>
              <w:pStyle w:val="TableParagraph"/>
              <w:spacing w:before="2"/>
              <w:rPr>
                <w:sz w:val="26"/>
              </w:rPr>
            </w:pPr>
          </w:p>
          <w:p>
            <w:pPr>
              <w:pStyle w:val="TableParagraph"/>
              <w:ind w:left="432"/>
              <w:rPr>
                <w:sz w:val="20"/>
              </w:rPr>
            </w:pPr>
            <w:r>
              <w:rPr>
                <w:sz w:val="20"/>
              </w:rPr>
              <w:pict>
                <v:group style="width:20.5pt;height:16pt;mso-position-horizontal-relative:char;mso-position-vertical-relative:line" coordorigin="0,0" coordsize="410,320">
                  <v:rect style="position:absolute;left:10;top:10;width:390;height:300" filled="false" stroked="true" strokeweight="1pt" strokecolor="#000000">
                    <v:stroke dashstyle="solid"/>
                  </v:rect>
                </v:group>
              </w:pict>
            </w:r>
            <w:r>
              <w:rPr>
                <w:sz w:val="20"/>
              </w:rPr>
            </w:r>
          </w:p>
        </w:tc>
        <w:tc>
          <w:tcPr>
            <w:tcW w:w="7178" w:type="dxa"/>
          </w:tcPr>
          <w:p>
            <w:pPr>
              <w:pStyle w:val="TableParagraph"/>
              <w:spacing w:before="3"/>
              <w:rPr>
                <w:sz w:val="23"/>
              </w:rPr>
            </w:pPr>
          </w:p>
          <w:p>
            <w:pPr>
              <w:pStyle w:val="TableParagraph"/>
              <w:ind w:left="107" w:right="96"/>
              <w:jc w:val="both"/>
              <w:rPr>
                <w:sz w:val="24"/>
              </w:rPr>
            </w:pPr>
            <w:r>
              <w:rPr>
                <w:sz w:val="24"/>
              </w:rPr>
              <w:t>Tezimin … yıl süreyle erişime açılmasını istemiyorum. Bu sürenin sonunda uzatma için başvuruda bulunmadığım takdirde, tezimin tamamı her yerden erişime açılabilir</w:t>
            </w:r>
          </w:p>
        </w:tc>
      </w:tr>
    </w:tbl>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15"/>
        <w:ind w:left="1128" w:right="611"/>
        <w:jc w:val="right"/>
      </w:pPr>
      <w:r>
        <w:rPr/>
        <w:t>.../.../2019</w:t>
      </w:r>
    </w:p>
    <w:p>
      <w:pPr>
        <w:pStyle w:val="Heading1"/>
        <w:spacing w:before="187"/>
        <w:ind w:left="1128" w:right="614"/>
        <w:jc w:val="right"/>
      </w:pPr>
      <w:r>
        <w:rPr/>
        <w:t>Yasemin</w:t>
      </w:r>
      <w:r>
        <w:rPr>
          <w:spacing w:val="-6"/>
        </w:rPr>
        <w:t> </w:t>
      </w:r>
      <w:r>
        <w:rPr/>
        <w:t>KOCAMAN</w:t>
      </w:r>
    </w:p>
    <w:p>
      <w:pPr>
        <w:spacing w:after="0"/>
        <w:jc w:val="right"/>
        <w:sectPr>
          <w:pgSz w:w="11910" w:h="16840"/>
          <w:pgMar w:top="1580" w:bottom="280" w:left="1140" w:right="520"/>
        </w:sectPr>
      </w:pPr>
    </w:p>
    <w:p>
      <w:pPr>
        <w:pStyle w:val="BodyText"/>
        <w:rPr>
          <w:b/>
          <w:sz w:val="20"/>
        </w:rPr>
      </w:pPr>
    </w:p>
    <w:p>
      <w:pPr>
        <w:pStyle w:val="BodyText"/>
        <w:rPr>
          <w:b/>
          <w:sz w:val="20"/>
        </w:rPr>
      </w:pPr>
    </w:p>
    <w:p>
      <w:pPr>
        <w:pStyle w:val="BodyText"/>
        <w:rPr>
          <w:b/>
          <w:sz w:val="20"/>
        </w:rPr>
      </w:pPr>
    </w:p>
    <w:p>
      <w:pPr>
        <w:pStyle w:val="BodyText"/>
        <w:spacing w:before="10"/>
        <w:rPr>
          <w:b/>
          <w:sz w:val="20"/>
        </w:rPr>
      </w:pPr>
    </w:p>
    <w:p>
      <w:pPr>
        <w:pStyle w:val="Heading1"/>
        <w:spacing w:before="1"/>
        <w:ind w:left="4959"/>
      </w:pPr>
      <w:bookmarkStart w:name="_TOC_250011" w:id="3"/>
      <w:bookmarkEnd w:id="3"/>
      <w:r>
        <w:rPr/>
        <w:t>ÖNSÖZ</w:t>
      </w:r>
    </w:p>
    <w:p>
      <w:pPr>
        <w:pStyle w:val="BodyText"/>
        <w:rPr>
          <w:b/>
          <w:sz w:val="26"/>
        </w:rPr>
      </w:pPr>
    </w:p>
    <w:p>
      <w:pPr>
        <w:pStyle w:val="BodyText"/>
        <w:spacing w:before="6"/>
        <w:rPr>
          <w:b/>
          <w:sz w:val="21"/>
        </w:rPr>
      </w:pPr>
    </w:p>
    <w:p>
      <w:pPr>
        <w:pStyle w:val="BodyText"/>
        <w:spacing w:line="360" w:lineRule="auto"/>
        <w:ind w:left="1128" w:right="612" w:firstLine="708"/>
        <w:jc w:val="both"/>
      </w:pPr>
      <w:r>
        <w:rPr/>
        <w:t>Bu çalışmada benden desteğini ve ilgisini eksik etmeyen, bilgilerini paylaşan tez danışmanım değerli hocam Prof. Dr. Saime Şahinöz’e teşekkür ederim.</w:t>
      </w:r>
    </w:p>
    <w:p>
      <w:pPr>
        <w:pStyle w:val="BodyText"/>
        <w:spacing w:line="360" w:lineRule="auto"/>
        <w:ind w:left="1128" w:right="613" w:firstLine="708"/>
        <w:jc w:val="both"/>
      </w:pPr>
      <w:r>
        <w:rPr/>
        <w:t>Eğitim hayatım boyunca desteklerini esirgemeyen ve bu günlere gelmeme sebep olan aileme, çalışma boyunca desteklerini esirgemeyen aileme ve Emre KİRAZ, Sefa MIZRAK, Ramazan ASLAN ve Kadir ÇAVUŞ’a teşekkürlerimi sunarım.</w:t>
      </w:r>
    </w:p>
    <w:p>
      <w:pPr>
        <w:pStyle w:val="BodyText"/>
        <w:rPr>
          <w:sz w:val="26"/>
        </w:rPr>
      </w:pPr>
    </w:p>
    <w:p>
      <w:pPr>
        <w:pStyle w:val="BodyText"/>
        <w:rPr>
          <w:sz w:val="26"/>
        </w:rPr>
      </w:pPr>
    </w:p>
    <w:p>
      <w:pPr>
        <w:pStyle w:val="BodyText"/>
        <w:rPr>
          <w:sz w:val="26"/>
        </w:rPr>
      </w:pPr>
    </w:p>
    <w:p>
      <w:pPr>
        <w:pStyle w:val="BodyText"/>
        <w:rPr>
          <w:sz w:val="26"/>
        </w:rPr>
      </w:pPr>
    </w:p>
    <w:p>
      <w:pPr>
        <w:pStyle w:val="Heading1"/>
        <w:spacing w:before="179"/>
        <w:ind w:left="1128" w:right="611"/>
        <w:jc w:val="right"/>
      </w:pPr>
      <w:r>
        <w:rPr/>
        <w:t>GÜMÜŞHANE –</w:t>
      </w:r>
      <w:r>
        <w:rPr>
          <w:spacing w:val="-6"/>
        </w:rPr>
        <w:t> </w:t>
      </w:r>
      <w:r>
        <w:rPr/>
        <w:t>2019</w:t>
      </w:r>
    </w:p>
    <w:p>
      <w:pPr>
        <w:spacing w:before="183"/>
        <w:ind w:left="1128" w:right="611" w:firstLine="0"/>
        <w:jc w:val="right"/>
        <w:rPr>
          <w:b/>
          <w:sz w:val="24"/>
        </w:rPr>
      </w:pPr>
      <w:r>
        <w:rPr>
          <w:b/>
          <w:sz w:val="24"/>
        </w:rPr>
        <w:t>Yasemin</w:t>
      </w:r>
      <w:r>
        <w:rPr>
          <w:b/>
          <w:spacing w:val="-6"/>
          <w:sz w:val="24"/>
        </w:rPr>
        <w:t> </w:t>
      </w:r>
      <w:r>
        <w:rPr>
          <w:b/>
          <w:sz w:val="24"/>
        </w:rPr>
        <w:t>KOCAMAN</w:t>
      </w:r>
    </w:p>
    <w:p>
      <w:pPr>
        <w:spacing w:after="0"/>
        <w:jc w:val="right"/>
        <w:rPr>
          <w:sz w:val="24"/>
        </w:rPr>
        <w:sectPr>
          <w:footerReference w:type="default" r:id="rId6"/>
          <w:pgSz w:w="11910" w:h="16840"/>
          <w:pgMar w:footer="1049" w:header="0" w:top="1580" w:bottom="1240" w:left="1140" w:right="520"/>
          <w:pgNumType w:start="4"/>
        </w:sectPr>
      </w:pPr>
    </w:p>
    <w:p>
      <w:pPr>
        <w:pStyle w:val="BodyText"/>
        <w:rPr>
          <w:b/>
          <w:sz w:val="20"/>
        </w:rPr>
      </w:pPr>
    </w:p>
    <w:p>
      <w:pPr>
        <w:pStyle w:val="BodyText"/>
        <w:rPr>
          <w:b/>
          <w:sz w:val="20"/>
        </w:rPr>
      </w:pPr>
    </w:p>
    <w:p>
      <w:pPr>
        <w:pStyle w:val="BodyText"/>
        <w:rPr>
          <w:b/>
          <w:sz w:val="20"/>
        </w:rPr>
      </w:pPr>
    </w:p>
    <w:p>
      <w:pPr>
        <w:pStyle w:val="BodyText"/>
        <w:spacing w:before="10"/>
        <w:rPr>
          <w:b/>
          <w:sz w:val="20"/>
        </w:rPr>
      </w:pPr>
    </w:p>
    <w:p>
      <w:pPr>
        <w:pStyle w:val="Heading1"/>
        <w:spacing w:before="1"/>
        <w:ind w:left="5045"/>
      </w:pPr>
      <w:bookmarkStart w:name="_TOC_250010" w:id="4"/>
      <w:bookmarkEnd w:id="4"/>
      <w:r>
        <w:rPr/>
        <w:t>ÖZET</w:t>
      </w:r>
    </w:p>
    <w:p>
      <w:pPr>
        <w:pStyle w:val="BodyText"/>
        <w:rPr>
          <w:b/>
          <w:sz w:val="26"/>
        </w:rPr>
      </w:pPr>
    </w:p>
    <w:p>
      <w:pPr>
        <w:pStyle w:val="BodyText"/>
        <w:spacing w:before="6"/>
        <w:rPr>
          <w:b/>
          <w:sz w:val="21"/>
        </w:rPr>
      </w:pPr>
    </w:p>
    <w:p>
      <w:pPr>
        <w:pStyle w:val="BodyText"/>
        <w:spacing w:line="360" w:lineRule="auto"/>
        <w:ind w:left="1128" w:right="615" w:firstLine="708"/>
        <w:jc w:val="both"/>
      </w:pPr>
      <w:r>
        <w:rPr/>
        <w:t>[KOCAMAN, Yasemin]. 112’de Çalışan Personelin Afete Hazırlık Düzeyinin İncelenmesi: Gümüşhane İli Örneği, Yüksek Lisans Tezi, 2019,(XVII+88).</w:t>
      </w:r>
    </w:p>
    <w:p>
      <w:pPr>
        <w:pStyle w:val="BodyText"/>
        <w:spacing w:line="360" w:lineRule="auto"/>
        <w:ind w:left="1128" w:right="607" w:firstLine="708"/>
        <w:jc w:val="both"/>
      </w:pPr>
      <w:r>
        <w:rPr/>
        <w:t>Türkiye bulunduğu konum nedeniyle afetlere sıklıkla maruz kalmaktadır. Afetler hiç</w:t>
      </w:r>
      <w:r>
        <w:rPr>
          <w:spacing w:val="-17"/>
        </w:rPr>
        <w:t> </w:t>
      </w:r>
      <w:r>
        <w:rPr/>
        <w:t>beklenmedik</w:t>
      </w:r>
      <w:r>
        <w:rPr>
          <w:spacing w:val="-13"/>
        </w:rPr>
        <w:t> </w:t>
      </w:r>
      <w:r>
        <w:rPr/>
        <w:t>bir</w:t>
      </w:r>
      <w:r>
        <w:rPr>
          <w:spacing w:val="-15"/>
        </w:rPr>
        <w:t> </w:t>
      </w:r>
      <w:r>
        <w:rPr/>
        <w:t>anda</w:t>
      </w:r>
      <w:r>
        <w:rPr>
          <w:spacing w:val="-15"/>
        </w:rPr>
        <w:t> </w:t>
      </w:r>
      <w:r>
        <w:rPr/>
        <w:t>ortaya</w:t>
      </w:r>
      <w:r>
        <w:rPr>
          <w:spacing w:val="-13"/>
        </w:rPr>
        <w:t> </w:t>
      </w:r>
      <w:r>
        <w:rPr/>
        <w:t>çıkabilmektedir.</w:t>
      </w:r>
      <w:r>
        <w:rPr>
          <w:spacing w:val="-13"/>
        </w:rPr>
        <w:t> </w:t>
      </w:r>
      <w:r>
        <w:rPr/>
        <w:t>Ülkemizde</w:t>
      </w:r>
      <w:r>
        <w:rPr>
          <w:spacing w:val="-18"/>
        </w:rPr>
        <w:t> </w:t>
      </w:r>
      <w:r>
        <w:rPr/>
        <w:t>deprem,</w:t>
      </w:r>
      <w:r>
        <w:rPr>
          <w:spacing w:val="-16"/>
        </w:rPr>
        <w:t> </w:t>
      </w:r>
      <w:r>
        <w:rPr/>
        <w:t>sel,</w:t>
      </w:r>
      <w:r>
        <w:rPr>
          <w:spacing w:val="-15"/>
        </w:rPr>
        <w:t> </w:t>
      </w:r>
      <w:r>
        <w:rPr/>
        <w:t>heyelan,</w:t>
      </w:r>
      <w:r>
        <w:rPr>
          <w:spacing w:val="-12"/>
        </w:rPr>
        <w:t> </w:t>
      </w:r>
      <w:r>
        <w:rPr/>
        <w:t>yangın vb. afetleri oluşmaktadır. Bu afetler büyük hasarlara yol açmaktadır. Afetlerden en az hasarla atlatılması için birtakım planlar yapılmalıdır. Bu planlar afet öncesi için ne kadar fazla olursa hasar oranı o kadar az olacaktır. Afet zararlarını azaltmak için toplumun ve belirli kuruluşların afete hazırlık düzeyi ve bilgi düzeylerinin yüksek olması gereklidir. Bundan dolayı belirli kurum ve kuruluşlara görev düşmektedir. Bunların başında sağlık kuruluşları</w:t>
      </w:r>
      <w:r>
        <w:rPr>
          <w:spacing w:val="-14"/>
        </w:rPr>
        <w:t> </w:t>
      </w:r>
      <w:r>
        <w:rPr/>
        <w:t>yer</w:t>
      </w:r>
      <w:r>
        <w:rPr>
          <w:spacing w:val="-18"/>
        </w:rPr>
        <w:t> </w:t>
      </w:r>
      <w:r>
        <w:rPr/>
        <w:t>almaktadır.</w:t>
      </w:r>
      <w:r>
        <w:rPr>
          <w:spacing w:val="-17"/>
        </w:rPr>
        <w:t> </w:t>
      </w:r>
      <w:r>
        <w:rPr/>
        <w:t>Afet</w:t>
      </w:r>
      <w:r>
        <w:rPr>
          <w:spacing w:val="-16"/>
        </w:rPr>
        <w:t> </w:t>
      </w:r>
      <w:r>
        <w:rPr/>
        <w:t>oluştuktan</w:t>
      </w:r>
      <w:r>
        <w:rPr>
          <w:spacing w:val="-17"/>
        </w:rPr>
        <w:t> </w:t>
      </w:r>
      <w:r>
        <w:rPr/>
        <w:t>sonra</w:t>
      </w:r>
      <w:r>
        <w:rPr>
          <w:spacing w:val="-17"/>
        </w:rPr>
        <w:t> </w:t>
      </w:r>
      <w:r>
        <w:rPr/>
        <w:t>bireylerin</w:t>
      </w:r>
      <w:r>
        <w:rPr>
          <w:spacing w:val="-17"/>
        </w:rPr>
        <w:t> </w:t>
      </w:r>
      <w:r>
        <w:rPr/>
        <w:t>en</w:t>
      </w:r>
      <w:r>
        <w:rPr>
          <w:spacing w:val="-14"/>
        </w:rPr>
        <w:t> </w:t>
      </w:r>
      <w:r>
        <w:rPr/>
        <w:t>çok</w:t>
      </w:r>
      <w:r>
        <w:rPr>
          <w:spacing w:val="-16"/>
        </w:rPr>
        <w:t> </w:t>
      </w:r>
      <w:r>
        <w:rPr/>
        <w:t>ihtiyaç</w:t>
      </w:r>
      <w:r>
        <w:rPr>
          <w:spacing w:val="-18"/>
        </w:rPr>
        <w:t> </w:t>
      </w:r>
      <w:r>
        <w:rPr/>
        <w:t>duyduğu</w:t>
      </w:r>
      <w:r>
        <w:rPr>
          <w:spacing w:val="-16"/>
        </w:rPr>
        <w:t> </w:t>
      </w:r>
      <w:r>
        <w:rPr/>
        <w:t>kurum sağlık</w:t>
      </w:r>
      <w:r>
        <w:rPr>
          <w:spacing w:val="-6"/>
        </w:rPr>
        <w:t> </w:t>
      </w:r>
      <w:r>
        <w:rPr/>
        <w:t>kuruluşları</w:t>
      </w:r>
      <w:r>
        <w:rPr>
          <w:spacing w:val="-5"/>
        </w:rPr>
        <w:t> </w:t>
      </w:r>
      <w:r>
        <w:rPr/>
        <w:t>olacaktır.</w:t>
      </w:r>
      <w:r>
        <w:rPr>
          <w:spacing w:val="-6"/>
        </w:rPr>
        <w:t> </w:t>
      </w:r>
      <w:r>
        <w:rPr/>
        <w:t>Sağlık</w:t>
      </w:r>
      <w:r>
        <w:rPr>
          <w:spacing w:val="-5"/>
        </w:rPr>
        <w:t> </w:t>
      </w:r>
      <w:r>
        <w:rPr/>
        <w:t>kuruluşları</w:t>
      </w:r>
      <w:r>
        <w:rPr>
          <w:spacing w:val="-5"/>
        </w:rPr>
        <w:t> </w:t>
      </w:r>
      <w:r>
        <w:rPr/>
        <w:t>herhangi</w:t>
      </w:r>
      <w:r>
        <w:rPr>
          <w:spacing w:val="-5"/>
        </w:rPr>
        <w:t> </w:t>
      </w:r>
      <w:r>
        <w:rPr/>
        <w:t>bir</w:t>
      </w:r>
      <w:r>
        <w:rPr>
          <w:spacing w:val="-3"/>
        </w:rPr>
        <w:t> </w:t>
      </w:r>
      <w:r>
        <w:rPr/>
        <w:t>afet</w:t>
      </w:r>
      <w:r>
        <w:rPr>
          <w:spacing w:val="-5"/>
        </w:rPr>
        <w:t> </w:t>
      </w:r>
      <w:r>
        <w:rPr/>
        <w:t>sonrasında</w:t>
      </w:r>
      <w:r>
        <w:rPr>
          <w:spacing w:val="-3"/>
        </w:rPr>
        <w:t> </w:t>
      </w:r>
      <w:r>
        <w:rPr/>
        <w:t>bile</w:t>
      </w:r>
      <w:r>
        <w:rPr>
          <w:spacing w:val="-7"/>
        </w:rPr>
        <w:t> </w:t>
      </w:r>
      <w:r>
        <w:rPr/>
        <w:t>kesintisiz bir şekilde hizmet verebilmelidir. Bu sebeple sağlık kurumları afet öncesi ne kadar hazırlık olursa bireylerin refah düzeyi o kadar yüksek olacaktır.</w:t>
      </w:r>
    </w:p>
    <w:p>
      <w:pPr>
        <w:pStyle w:val="BodyText"/>
        <w:spacing w:line="360" w:lineRule="auto" w:before="1"/>
        <w:ind w:left="1128" w:right="608" w:firstLine="708"/>
        <w:jc w:val="both"/>
      </w:pPr>
      <w:r>
        <w:rPr/>
        <w:t>Çalışmanın amacı Gümüşhane ilinde bulunan personelin afete hazırlık düzeyini incelemektir. Yapılan çalışmada nicel araştırma yöntemi kullanılmıştır. Bu araştırma kesitsel bir araştırmadır. Veriler Gümüşhane 112’de çalışan 105 kişiye uygulanan anket ile</w:t>
      </w:r>
      <w:r>
        <w:rPr>
          <w:spacing w:val="-18"/>
        </w:rPr>
        <w:t> </w:t>
      </w:r>
      <w:r>
        <w:rPr/>
        <w:t>elde</w:t>
      </w:r>
      <w:r>
        <w:rPr>
          <w:spacing w:val="-18"/>
        </w:rPr>
        <w:t> </w:t>
      </w:r>
      <w:r>
        <w:rPr/>
        <w:t>edilmiştir.</w:t>
      </w:r>
      <w:r>
        <w:rPr>
          <w:spacing w:val="-16"/>
        </w:rPr>
        <w:t> </w:t>
      </w:r>
      <w:r>
        <w:rPr/>
        <w:t>Veri</w:t>
      </w:r>
      <w:r>
        <w:rPr>
          <w:spacing w:val="-16"/>
        </w:rPr>
        <w:t> </w:t>
      </w:r>
      <w:r>
        <w:rPr/>
        <w:t>toplama</w:t>
      </w:r>
      <w:r>
        <w:rPr>
          <w:spacing w:val="-18"/>
        </w:rPr>
        <w:t> </w:t>
      </w:r>
      <w:r>
        <w:rPr/>
        <w:t>aracı</w:t>
      </w:r>
      <w:r>
        <w:rPr>
          <w:spacing w:val="-16"/>
        </w:rPr>
        <w:t> </w:t>
      </w:r>
      <w:r>
        <w:rPr/>
        <w:t>olarak</w:t>
      </w:r>
      <w:r>
        <w:rPr>
          <w:spacing w:val="-13"/>
        </w:rPr>
        <w:t> </w:t>
      </w:r>
      <w:r>
        <w:rPr/>
        <w:t>Fatih</w:t>
      </w:r>
      <w:r>
        <w:rPr>
          <w:spacing w:val="-14"/>
        </w:rPr>
        <w:t> </w:t>
      </w:r>
      <w:r>
        <w:rPr/>
        <w:t>Karabıyık’ın</w:t>
      </w:r>
      <w:r>
        <w:rPr>
          <w:spacing w:val="-17"/>
        </w:rPr>
        <w:t> </w:t>
      </w:r>
      <w:r>
        <w:rPr/>
        <w:t>2010</w:t>
      </w:r>
      <w:r>
        <w:rPr>
          <w:spacing w:val="-12"/>
        </w:rPr>
        <w:t> </w:t>
      </w:r>
      <w:r>
        <w:rPr/>
        <w:t>yılında</w:t>
      </w:r>
      <w:r>
        <w:rPr>
          <w:spacing w:val="-17"/>
        </w:rPr>
        <w:t> </w:t>
      </w:r>
      <w:r>
        <w:rPr/>
        <w:t>‘‘Sağlık</w:t>
      </w:r>
      <w:r>
        <w:rPr>
          <w:spacing w:val="-17"/>
        </w:rPr>
        <w:t> </w:t>
      </w:r>
      <w:r>
        <w:rPr/>
        <w:t>Afet Yönetiminde Planlama Ve Risk Analizleri’’ isimli tez çalışmasında geliştirmiş olduğu anket kullanılmıştır. Elde edilen veriler SPSS programında analiz edilmiştir. İstatistiksel analizlerde Bağımsız Gruplarda T testi, Frekans Analizi, Tek Yönlü Anova Testi ve Korelasyon Analizi</w:t>
      </w:r>
      <w:r>
        <w:rPr>
          <w:spacing w:val="-1"/>
        </w:rPr>
        <w:t> </w:t>
      </w:r>
      <w:r>
        <w:rPr/>
        <w:t>kullanılmıştır.</w:t>
      </w:r>
    </w:p>
    <w:p>
      <w:pPr>
        <w:pStyle w:val="BodyText"/>
        <w:spacing w:line="360" w:lineRule="auto"/>
        <w:ind w:left="1128" w:right="609" w:firstLine="708"/>
        <w:jc w:val="both"/>
      </w:pPr>
      <w:r>
        <w:rPr/>
        <w:t>Anketten elde edilen verilere göre çalışmaya katılan sağlık personellerinin afetle ilgili eğitim alanların oranının yüksek olduğu (%56,2), tatbikata katılan (%36,2) </w:t>
      </w:r>
      <w:r>
        <w:rPr>
          <w:spacing w:val="-3"/>
        </w:rPr>
        <w:t>ya </w:t>
      </w:r>
      <w:r>
        <w:rPr/>
        <w:t>da afette görev alanların (%21,9) oranının düşük olduğu belirlenmiştir. Yapılan çalışmada elde edilen sonuçlara göre Gümüşhane 112’de çalışan personelin afete hazırlık düzeyi orta</w:t>
      </w:r>
      <w:r>
        <w:rPr>
          <w:spacing w:val="-19"/>
        </w:rPr>
        <w:t> </w:t>
      </w:r>
      <w:r>
        <w:rPr/>
        <w:t>düzeyde</w:t>
      </w:r>
      <w:r>
        <w:rPr>
          <w:spacing w:val="-15"/>
        </w:rPr>
        <w:t> </w:t>
      </w:r>
      <w:r>
        <w:rPr/>
        <w:t>(3,09)</w:t>
      </w:r>
      <w:r>
        <w:rPr>
          <w:spacing w:val="-15"/>
        </w:rPr>
        <w:t> </w:t>
      </w:r>
      <w:r>
        <w:rPr/>
        <w:t>olduğu</w:t>
      </w:r>
      <w:r>
        <w:rPr>
          <w:spacing w:val="-16"/>
        </w:rPr>
        <w:t> </w:t>
      </w:r>
      <w:r>
        <w:rPr/>
        <w:t>belirlenmiştir.</w:t>
      </w:r>
      <w:r>
        <w:rPr>
          <w:spacing w:val="-17"/>
        </w:rPr>
        <w:t> </w:t>
      </w:r>
      <w:r>
        <w:rPr/>
        <w:t>Kurumda</w:t>
      </w:r>
      <w:r>
        <w:rPr>
          <w:spacing w:val="-19"/>
        </w:rPr>
        <w:t> </w:t>
      </w:r>
      <w:r>
        <w:rPr/>
        <w:t>çalışan</w:t>
      </w:r>
      <w:r>
        <w:rPr>
          <w:spacing w:val="-17"/>
        </w:rPr>
        <w:t> </w:t>
      </w:r>
      <w:r>
        <w:rPr/>
        <w:t>personele</w:t>
      </w:r>
      <w:r>
        <w:rPr>
          <w:spacing w:val="-10"/>
        </w:rPr>
        <w:t> </w:t>
      </w:r>
      <w:r>
        <w:rPr/>
        <w:t>yeterli</w:t>
      </w:r>
      <w:r>
        <w:rPr>
          <w:spacing w:val="-15"/>
        </w:rPr>
        <w:t> </w:t>
      </w:r>
      <w:r>
        <w:rPr/>
        <w:t>düzeyde</w:t>
      </w:r>
      <w:r>
        <w:rPr>
          <w:spacing w:val="-15"/>
        </w:rPr>
        <w:t> </w:t>
      </w:r>
      <w:r>
        <w:rPr/>
        <w:t>afet eğitimi verilmelidir. Herhangi bir afet durumunda daha etkin bir afet planı hazırlanmalıdır. Kurumda triaj çalışmalarına daha çok önem verilmelidir. Afet</w:t>
      </w:r>
    </w:p>
    <w:p>
      <w:pPr>
        <w:spacing w:after="0" w:line="360" w:lineRule="auto"/>
        <w:jc w:val="both"/>
        <w:sectPr>
          <w:pgSz w:w="11910" w:h="16840"/>
          <w:pgMar w:header="0" w:footer="1049" w:top="1580" w:bottom="1240" w:left="1140" w:right="520"/>
        </w:sectPr>
      </w:pPr>
    </w:p>
    <w:p>
      <w:pPr>
        <w:pStyle w:val="BodyText"/>
        <w:spacing w:line="360" w:lineRule="auto" w:before="98"/>
        <w:ind w:left="1128" w:right="611"/>
        <w:jc w:val="both"/>
      </w:pPr>
      <w:r>
        <w:rPr/>
        <w:t>durumunda koordinasyonu daha iyi sağlamak için diğer kurumlarla iş birliğini yapılmalıdır. Triaj çalışmalarına daha çok önem verilmelidir. Afet durumunda işler ekip anlayışı içerisinde yürütülmelidir.</w:t>
      </w:r>
    </w:p>
    <w:p>
      <w:pPr>
        <w:pStyle w:val="BodyText"/>
        <w:rPr>
          <w:sz w:val="36"/>
        </w:rPr>
      </w:pPr>
    </w:p>
    <w:p>
      <w:pPr>
        <w:spacing w:before="0"/>
        <w:ind w:left="1836" w:right="0" w:firstLine="0"/>
        <w:jc w:val="left"/>
        <w:rPr>
          <w:sz w:val="24"/>
        </w:rPr>
      </w:pPr>
      <w:r>
        <w:rPr>
          <w:b/>
          <w:sz w:val="24"/>
        </w:rPr>
        <w:t>Anahtar Kelimeler: </w:t>
      </w:r>
      <w:r>
        <w:rPr>
          <w:sz w:val="24"/>
        </w:rPr>
        <w:t>Afet, Acil Durum, Afet Yönetimi, Afete Hazırlık</w:t>
      </w:r>
    </w:p>
    <w:p>
      <w:pPr>
        <w:spacing w:after="0"/>
        <w:jc w:val="left"/>
        <w:rPr>
          <w:sz w:val="24"/>
        </w:rPr>
        <w:sectPr>
          <w:pgSz w:w="11910" w:h="16840"/>
          <w:pgMar w:header="0" w:footer="1049" w:top="1580" w:bottom="1240" w:left="1140" w:right="520"/>
        </w:sectPr>
      </w:pPr>
    </w:p>
    <w:p>
      <w:pPr>
        <w:pStyle w:val="BodyText"/>
        <w:rPr>
          <w:sz w:val="20"/>
        </w:rPr>
      </w:pPr>
    </w:p>
    <w:p>
      <w:pPr>
        <w:pStyle w:val="BodyText"/>
        <w:rPr>
          <w:sz w:val="17"/>
        </w:rPr>
      </w:pPr>
    </w:p>
    <w:p>
      <w:pPr>
        <w:pStyle w:val="Heading1"/>
        <w:spacing w:before="90"/>
        <w:ind w:left="4726"/>
      </w:pPr>
      <w:bookmarkStart w:name="_TOC_250009" w:id="5"/>
      <w:bookmarkEnd w:id="5"/>
      <w:r>
        <w:rPr/>
        <w:t>ABSTRACT</w:t>
      </w:r>
    </w:p>
    <w:p>
      <w:pPr>
        <w:pStyle w:val="BodyText"/>
        <w:rPr>
          <w:b/>
          <w:sz w:val="26"/>
        </w:rPr>
      </w:pPr>
    </w:p>
    <w:p>
      <w:pPr>
        <w:pStyle w:val="BodyText"/>
        <w:spacing w:before="6"/>
        <w:rPr>
          <w:b/>
          <w:sz w:val="21"/>
        </w:rPr>
      </w:pPr>
    </w:p>
    <w:p>
      <w:pPr>
        <w:pStyle w:val="BodyText"/>
        <w:spacing w:line="360" w:lineRule="auto" w:before="1"/>
        <w:ind w:left="1128" w:right="609" w:firstLine="708"/>
        <w:jc w:val="both"/>
      </w:pPr>
      <w:r>
        <w:rPr/>
        <w:t>[KOCAMAN, Yasemin]. Investigation of Disaster Preparedness Level of Personnel Working in 112: Gümüşhane Province Sample, Master Thesis, 2019,(XVII+88).</w:t>
      </w:r>
    </w:p>
    <w:p>
      <w:pPr>
        <w:pStyle w:val="BodyText"/>
        <w:spacing w:line="360" w:lineRule="auto" w:before="1"/>
        <w:ind w:left="1128" w:right="607" w:firstLine="708"/>
        <w:jc w:val="both"/>
      </w:pPr>
      <w:r>
        <w:rPr/>
        <w:t>Turkey is frequently exposed to disasters due to its location. Disasters can occur unexpectedly.</w:t>
      </w:r>
      <w:r>
        <w:rPr>
          <w:spacing w:val="-7"/>
        </w:rPr>
        <w:t> </w:t>
      </w:r>
      <w:r>
        <w:rPr/>
        <w:t>In</w:t>
      </w:r>
      <w:r>
        <w:rPr>
          <w:spacing w:val="-9"/>
        </w:rPr>
        <w:t> </w:t>
      </w:r>
      <w:r>
        <w:rPr/>
        <w:t>our</w:t>
      </w:r>
      <w:r>
        <w:rPr>
          <w:spacing w:val="-9"/>
        </w:rPr>
        <w:t> </w:t>
      </w:r>
      <w:r>
        <w:rPr/>
        <w:t>country,</w:t>
      </w:r>
      <w:r>
        <w:rPr>
          <w:spacing w:val="-9"/>
        </w:rPr>
        <w:t> </w:t>
      </w:r>
      <w:r>
        <w:rPr/>
        <w:t>earthquake,</w:t>
      </w:r>
      <w:r>
        <w:rPr>
          <w:spacing w:val="-9"/>
        </w:rPr>
        <w:t> </w:t>
      </w:r>
      <w:r>
        <w:rPr/>
        <w:t>flood,</w:t>
      </w:r>
      <w:r>
        <w:rPr>
          <w:spacing w:val="-9"/>
        </w:rPr>
        <w:t> </w:t>
      </w:r>
      <w:r>
        <w:rPr/>
        <w:t>landslide,</w:t>
      </w:r>
      <w:r>
        <w:rPr>
          <w:spacing w:val="-9"/>
        </w:rPr>
        <w:t> </w:t>
      </w:r>
      <w:r>
        <w:rPr/>
        <w:t>fire</w:t>
      </w:r>
      <w:r>
        <w:rPr>
          <w:spacing w:val="-10"/>
        </w:rPr>
        <w:t> </w:t>
      </w:r>
      <w:r>
        <w:rPr/>
        <w:t>and</w:t>
      </w:r>
      <w:r>
        <w:rPr>
          <w:spacing w:val="-10"/>
        </w:rPr>
        <w:t> </w:t>
      </w:r>
      <w:r>
        <w:rPr/>
        <w:t>so</w:t>
      </w:r>
      <w:r>
        <w:rPr>
          <w:spacing w:val="-8"/>
        </w:rPr>
        <w:t> </w:t>
      </w:r>
      <w:r>
        <w:rPr/>
        <w:t>on.</w:t>
      </w:r>
      <w:r>
        <w:rPr>
          <w:spacing w:val="-9"/>
        </w:rPr>
        <w:t> </w:t>
      </w:r>
      <w:r>
        <w:rPr/>
        <w:t>disasters</w:t>
      </w:r>
      <w:r>
        <w:rPr>
          <w:spacing w:val="-8"/>
        </w:rPr>
        <w:t> </w:t>
      </w:r>
      <w:r>
        <w:rPr/>
        <w:t>occur. These disasters cause major damages. Plans should be made to overcome disasters with the</w:t>
      </w:r>
      <w:r>
        <w:rPr>
          <w:spacing w:val="-11"/>
        </w:rPr>
        <w:t> </w:t>
      </w:r>
      <w:r>
        <w:rPr/>
        <w:t>least</w:t>
      </w:r>
      <w:r>
        <w:rPr>
          <w:spacing w:val="-8"/>
        </w:rPr>
        <w:t> </w:t>
      </w:r>
      <w:r>
        <w:rPr/>
        <w:t>damage.</w:t>
      </w:r>
      <w:r>
        <w:rPr>
          <w:spacing w:val="-10"/>
        </w:rPr>
        <w:t> </w:t>
      </w:r>
      <w:r>
        <w:rPr/>
        <w:t>The</w:t>
      </w:r>
      <w:r>
        <w:rPr>
          <w:spacing w:val="-10"/>
        </w:rPr>
        <w:t> </w:t>
      </w:r>
      <w:r>
        <w:rPr/>
        <w:t>more</w:t>
      </w:r>
      <w:r>
        <w:rPr>
          <w:spacing w:val="-12"/>
        </w:rPr>
        <w:t> </w:t>
      </w:r>
      <w:r>
        <w:rPr/>
        <w:t>these</w:t>
      </w:r>
      <w:r>
        <w:rPr>
          <w:spacing w:val="-10"/>
        </w:rPr>
        <w:t> </w:t>
      </w:r>
      <w:r>
        <w:rPr/>
        <w:t>plans</w:t>
      </w:r>
      <w:r>
        <w:rPr>
          <w:spacing w:val="-10"/>
        </w:rPr>
        <w:t> </w:t>
      </w:r>
      <w:r>
        <w:rPr/>
        <w:t>will</w:t>
      </w:r>
      <w:r>
        <w:rPr>
          <w:spacing w:val="-8"/>
        </w:rPr>
        <w:t> </w:t>
      </w:r>
      <w:r>
        <w:rPr/>
        <w:t>be</w:t>
      </w:r>
      <w:r>
        <w:rPr>
          <w:spacing w:val="-11"/>
        </w:rPr>
        <w:t> </w:t>
      </w:r>
      <w:r>
        <w:rPr/>
        <w:t>before</w:t>
      </w:r>
      <w:r>
        <w:rPr>
          <w:spacing w:val="-11"/>
        </w:rPr>
        <w:t> </w:t>
      </w:r>
      <w:r>
        <w:rPr/>
        <w:t>the</w:t>
      </w:r>
      <w:r>
        <w:rPr>
          <w:spacing w:val="-11"/>
        </w:rPr>
        <w:t> </w:t>
      </w:r>
      <w:r>
        <w:rPr/>
        <w:t>disaster,</w:t>
      </w:r>
      <w:r>
        <w:rPr>
          <w:spacing w:val="-10"/>
        </w:rPr>
        <w:t> </w:t>
      </w:r>
      <w:r>
        <w:rPr/>
        <w:t>the</w:t>
      </w:r>
      <w:r>
        <w:rPr>
          <w:spacing w:val="-11"/>
        </w:rPr>
        <w:t> </w:t>
      </w:r>
      <w:r>
        <w:rPr/>
        <w:t>smaller</w:t>
      </w:r>
      <w:r>
        <w:rPr>
          <w:spacing w:val="-10"/>
        </w:rPr>
        <w:t> </w:t>
      </w:r>
      <w:r>
        <w:rPr/>
        <w:t>the</w:t>
      </w:r>
      <w:r>
        <w:rPr>
          <w:spacing w:val="-11"/>
        </w:rPr>
        <w:t> </w:t>
      </w:r>
      <w:r>
        <w:rPr/>
        <w:t>damage rate will be. The level of disaster preparedness and the level of knowledge of the community and certain organizations need to be high in order to reduce disasters. Therefore,</w:t>
      </w:r>
      <w:r>
        <w:rPr>
          <w:spacing w:val="-9"/>
        </w:rPr>
        <w:t> </w:t>
      </w:r>
      <w:r>
        <w:rPr/>
        <w:t>there</w:t>
      </w:r>
      <w:r>
        <w:rPr>
          <w:spacing w:val="-10"/>
        </w:rPr>
        <w:t> </w:t>
      </w:r>
      <w:r>
        <w:rPr/>
        <w:t>is</w:t>
      </w:r>
      <w:r>
        <w:rPr>
          <w:spacing w:val="-8"/>
        </w:rPr>
        <w:t> </w:t>
      </w:r>
      <w:r>
        <w:rPr/>
        <w:t>a</w:t>
      </w:r>
      <w:r>
        <w:rPr>
          <w:spacing w:val="-10"/>
        </w:rPr>
        <w:t> </w:t>
      </w:r>
      <w:r>
        <w:rPr/>
        <w:t>duty</w:t>
      </w:r>
      <w:r>
        <w:rPr>
          <w:spacing w:val="-11"/>
        </w:rPr>
        <w:t> </w:t>
      </w:r>
      <w:r>
        <w:rPr/>
        <w:t>for</w:t>
      </w:r>
      <w:r>
        <w:rPr>
          <w:spacing w:val="-9"/>
        </w:rPr>
        <w:t> </w:t>
      </w:r>
      <w:r>
        <w:rPr/>
        <w:t>certain</w:t>
      </w:r>
      <w:r>
        <w:rPr>
          <w:spacing w:val="-8"/>
        </w:rPr>
        <w:t> </w:t>
      </w:r>
      <w:r>
        <w:rPr/>
        <w:t>institutions</w:t>
      </w:r>
      <w:r>
        <w:rPr>
          <w:spacing w:val="-11"/>
        </w:rPr>
        <w:t> </w:t>
      </w:r>
      <w:r>
        <w:rPr/>
        <w:t>and</w:t>
      </w:r>
      <w:r>
        <w:rPr>
          <w:spacing w:val="-9"/>
        </w:rPr>
        <w:t> </w:t>
      </w:r>
      <w:r>
        <w:rPr/>
        <w:t>organizations.</w:t>
      </w:r>
      <w:r>
        <w:rPr>
          <w:spacing w:val="-8"/>
        </w:rPr>
        <w:t> </w:t>
      </w:r>
      <w:r>
        <w:rPr/>
        <w:t>Health</w:t>
      </w:r>
      <w:r>
        <w:rPr>
          <w:spacing w:val="-8"/>
        </w:rPr>
        <w:t> </w:t>
      </w:r>
      <w:r>
        <w:rPr/>
        <w:t>institutions</w:t>
      </w:r>
      <w:r>
        <w:rPr>
          <w:spacing w:val="-8"/>
        </w:rPr>
        <w:t> </w:t>
      </w:r>
      <w:r>
        <w:rPr/>
        <w:t>are the leading ones. After disaster occurs, health institutions will be the institutions most needed by individuals. Health organizations should be able to provide uninterrupted service</w:t>
      </w:r>
      <w:r>
        <w:rPr>
          <w:spacing w:val="-2"/>
        </w:rPr>
        <w:t> </w:t>
      </w:r>
      <w:r>
        <w:rPr/>
        <w:t>even</w:t>
      </w:r>
      <w:r>
        <w:rPr>
          <w:spacing w:val="-1"/>
        </w:rPr>
        <w:t> </w:t>
      </w:r>
      <w:r>
        <w:rPr/>
        <w:t>after</w:t>
      </w:r>
      <w:r>
        <w:rPr>
          <w:spacing w:val="-4"/>
        </w:rPr>
        <w:t> </w:t>
      </w:r>
      <w:r>
        <w:rPr/>
        <w:t>a</w:t>
      </w:r>
      <w:r>
        <w:rPr>
          <w:spacing w:val="-5"/>
        </w:rPr>
        <w:t> </w:t>
      </w:r>
      <w:r>
        <w:rPr/>
        <w:t>disaster.</w:t>
      </w:r>
      <w:r>
        <w:rPr>
          <w:spacing w:val="-1"/>
        </w:rPr>
        <w:t> </w:t>
      </w:r>
      <w:r>
        <w:rPr/>
        <w:t>For</w:t>
      </w:r>
      <w:r>
        <w:rPr>
          <w:spacing w:val="-5"/>
        </w:rPr>
        <w:t> </w:t>
      </w:r>
      <w:r>
        <w:rPr/>
        <w:t>this</w:t>
      </w:r>
      <w:r>
        <w:rPr>
          <w:spacing w:val="-3"/>
        </w:rPr>
        <w:t> </w:t>
      </w:r>
      <w:r>
        <w:rPr/>
        <w:t>reason,</w:t>
      </w:r>
      <w:r>
        <w:rPr>
          <w:spacing w:val="-4"/>
        </w:rPr>
        <w:t> </w:t>
      </w:r>
      <w:r>
        <w:rPr/>
        <w:t>the</w:t>
      </w:r>
      <w:r>
        <w:rPr>
          <w:spacing w:val="-3"/>
        </w:rPr>
        <w:t> </w:t>
      </w:r>
      <w:r>
        <w:rPr/>
        <w:t>better</w:t>
      </w:r>
      <w:r>
        <w:rPr>
          <w:spacing w:val="-4"/>
        </w:rPr>
        <w:t> </w:t>
      </w:r>
      <w:r>
        <w:rPr/>
        <w:t>the</w:t>
      </w:r>
      <w:r>
        <w:rPr>
          <w:spacing w:val="-4"/>
        </w:rPr>
        <w:t> </w:t>
      </w:r>
      <w:r>
        <w:rPr/>
        <w:t>health</w:t>
      </w:r>
      <w:r>
        <w:rPr>
          <w:spacing w:val="-3"/>
        </w:rPr>
        <w:t> </w:t>
      </w:r>
      <w:r>
        <w:rPr/>
        <w:t>institutions</w:t>
      </w:r>
      <w:r>
        <w:rPr>
          <w:spacing w:val="-4"/>
        </w:rPr>
        <w:t> </w:t>
      </w:r>
      <w:r>
        <w:rPr/>
        <w:t>be</w:t>
      </w:r>
      <w:r>
        <w:rPr>
          <w:spacing w:val="-4"/>
        </w:rPr>
        <w:t> </w:t>
      </w:r>
      <w:r>
        <w:rPr/>
        <w:t>prepared before the disaster, the higher the welfare of individuals will</w:t>
      </w:r>
      <w:r>
        <w:rPr>
          <w:spacing w:val="-7"/>
        </w:rPr>
        <w:t> </w:t>
      </w:r>
      <w:r>
        <w:rPr/>
        <w:t>be.</w:t>
      </w:r>
    </w:p>
    <w:p>
      <w:pPr>
        <w:pStyle w:val="BodyText"/>
        <w:spacing w:line="360" w:lineRule="auto"/>
        <w:ind w:left="1128" w:right="606" w:firstLine="708"/>
        <w:jc w:val="both"/>
      </w:pPr>
      <w:r>
        <w:rPr/>
        <w:t>The aim of this study is to investigate the level of disaster preparedness of the personnel in Gümüşhane. Quantitative research method was used in the study. This is a cross-sectional study. The data were obtained from the questionnaire applied to 105 people working in Gümüşhane 112. As a data collection tool, Fatih Karabıyık's questionnaire form which was developed in 2010 during his thesis study entitled “Planning and Risk Analysis in Health Disaster Management” was used. The data were analyzed in SPSS program. In statistical analysis, T-test, Frequency Analysis, One-Way Anova Test and Correlation Analysis were used.</w:t>
      </w:r>
    </w:p>
    <w:p>
      <w:pPr>
        <w:pStyle w:val="BodyText"/>
        <w:spacing w:line="360" w:lineRule="auto"/>
        <w:ind w:left="1128" w:right="610" w:firstLine="708"/>
        <w:jc w:val="both"/>
      </w:pPr>
      <w:r>
        <w:rPr/>
        <w:t>According to the data obtained from the survey, it was determined that the ratio of</w:t>
      </w:r>
      <w:r>
        <w:rPr>
          <w:spacing w:val="-7"/>
        </w:rPr>
        <w:t> </w:t>
      </w:r>
      <w:r>
        <w:rPr/>
        <w:t>the</w:t>
      </w:r>
      <w:r>
        <w:rPr>
          <w:spacing w:val="-6"/>
        </w:rPr>
        <w:t> </w:t>
      </w:r>
      <w:r>
        <w:rPr/>
        <w:t>health</w:t>
      </w:r>
      <w:r>
        <w:rPr>
          <w:spacing w:val="-6"/>
        </w:rPr>
        <w:t> </w:t>
      </w:r>
      <w:r>
        <w:rPr/>
        <w:t>personnel</w:t>
      </w:r>
      <w:r>
        <w:rPr>
          <w:spacing w:val="-4"/>
        </w:rPr>
        <w:t> </w:t>
      </w:r>
      <w:r>
        <w:rPr/>
        <w:t>who</w:t>
      </w:r>
      <w:r>
        <w:rPr>
          <w:spacing w:val="-6"/>
        </w:rPr>
        <w:t> </w:t>
      </w:r>
      <w:r>
        <w:rPr/>
        <w:t>took</w:t>
      </w:r>
      <w:r>
        <w:rPr>
          <w:spacing w:val="-5"/>
        </w:rPr>
        <w:t> </w:t>
      </w:r>
      <w:r>
        <w:rPr/>
        <w:t>disaster-related</w:t>
      </w:r>
      <w:r>
        <w:rPr>
          <w:spacing w:val="-5"/>
        </w:rPr>
        <w:t> </w:t>
      </w:r>
      <w:r>
        <w:rPr/>
        <w:t>education</w:t>
      </w:r>
      <w:r>
        <w:rPr>
          <w:spacing w:val="-5"/>
        </w:rPr>
        <w:t> </w:t>
      </w:r>
      <w:r>
        <w:rPr/>
        <w:t>participating</w:t>
      </w:r>
      <w:r>
        <w:rPr>
          <w:spacing w:val="-8"/>
        </w:rPr>
        <w:t> </w:t>
      </w:r>
      <w:r>
        <w:rPr/>
        <w:t>in</w:t>
      </w:r>
      <w:r>
        <w:rPr>
          <w:spacing w:val="-3"/>
        </w:rPr>
        <w:t> </w:t>
      </w:r>
      <w:r>
        <w:rPr/>
        <w:t>the</w:t>
      </w:r>
      <w:r>
        <w:rPr>
          <w:spacing w:val="-6"/>
        </w:rPr>
        <w:t> </w:t>
      </w:r>
      <w:r>
        <w:rPr/>
        <w:t>study</w:t>
      </w:r>
      <w:r>
        <w:rPr>
          <w:spacing w:val="-11"/>
        </w:rPr>
        <w:t> </w:t>
      </w:r>
      <w:r>
        <w:rPr/>
        <w:t>was high</w:t>
      </w:r>
      <w:r>
        <w:rPr>
          <w:spacing w:val="-4"/>
        </w:rPr>
        <w:t> </w:t>
      </w:r>
      <w:r>
        <w:rPr/>
        <w:t>(56.2%),</w:t>
      </w:r>
      <w:r>
        <w:rPr>
          <w:spacing w:val="-5"/>
        </w:rPr>
        <w:t> </w:t>
      </w:r>
      <w:r>
        <w:rPr/>
        <w:t>the</w:t>
      </w:r>
      <w:r>
        <w:rPr>
          <w:spacing w:val="-4"/>
        </w:rPr>
        <w:t> </w:t>
      </w:r>
      <w:r>
        <w:rPr/>
        <w:t>rate</w:t>
      </w:r>
      <w:r>
        <w:rPr>
          <w:spacing w:val="-3"/>
        </w:rPr>
        <w:t> </w:t>
      </w:r>
      <w:r>
        <w:rPr/>
        <w:t>of</w:t>
      </w:r>
      <w:r>
        <w:rPr>
          <w:spacing w:val="-1"/>
        </w:rPr>
        <w:t> </w:t>
      </w:r>
      <w:r>
        <w:rPr/>
        <w:t>participating</w:t>
      </w:r>
      <w:r>
        <w:rPr>
          <w:spacing w:val="-6"/>
        </w:rPr>
        <w:t> </w:t>
      </w:r>
      <w:r>
        <w:rPr/>
        <w:t>in</w:t>
      </w:r>
      <w:r>
        <w:rPr>
          <w:spacing w:val="-2"/>
        </w:rPr>
        <w:t> </w:t>
      </w:r>
      <w:r>
        <w:rPr/>
        <w:t>a</w:t>
      </w:r>
      <w:r>
        <w:rPr>
          <w:spacing w:val="-4"/>
        </w:rPr>
        <w:t> </w:t>
      </w:r>
      <w:r>
        <w:rPr/>
        <w:t>drill</w:t>
      </w:r>
      <w:r>
        <w:rPr>
          <w:spacing w:val="-3"/>
        </w:rPr>
        <w:t> </w:t>
      </w:r>
      <w:r>
        <w:rPr/>
        <w:t>(36.2%)</w:t>
      </w:r>
      <w:r>
        <w:rPr>
          <w:spacing w:val="-4"/>
        </w:rPr>
        <w:t> </w:t>
      </w:r>
      <w:r>
        <w:rPr/>
        <w:t>or</w:t>
      </w:r>
      <w:r>
        <w:rPr>
          <w:spacing w:val="-5"/>
        </w:rPr>
        <w:t> </w:t>
      </w:r>
      <w:r>
        <w:rPr/>
        <w:t>the</w:t>
      </w:r>
      <w:r>
        <w:rPr>
          <w:spacing w:val="-4"/>
        </w:rPr>
        <w:t> </w:t>
      </w:r>
      <w:r>
        <w:rPr/>
        <w:t>ratio</w:t>
      </w:r>
      <w:r>
        <w:rPr>
          <w:spacing w:val="-4"/>
        </w:rPr>
        <w:t> </w:t>
      </w:r>
      <w:r>
        <w:rPr/>
        <w:t>of</w:t>
      </w:r>
      <w:r>
        <w:rPr>
          <w:spacing w:val="-4"/>
        </w:rPr>
        <w:t> </w:t>
      </w:r>
      <w:r>
        <w:rPr/>
        <w:t>those</w:t>
      </w:r>
      <w:r>
        <w:rPr>
          <w:spacing w:val="-4"/>
        </w:rPr>
        <w:t> </w:t>
      </w:r>
      <w:r>
        <w:rPr/>
        <w:t>working</w:t>
      </w:r>
      <w:r>
        <w:rPr>
          <w:spacing w:val="-6"/>
        </w:rPr>
        <w:t> </w:t>
      </w:r>
      <w:r>
        <w:rPr/>
        <w:t>in</w:t>
      </w:r>
      <w:r>
        <w:rPr>
          <w:spacing w:val="-2"/>
        </w:rPr>
        <w:t> </w:t>
      </w:r>
      <w:r>
        <w:rPr/>
        <w:t>a disaster</w:t>
      </w:r>
      <w:r>
        <w:rPr>
          <w:spacing w:val="-7"/>
        </w:rPr>
        <w:t> </w:t>
      </w:r>
      <w:r>
        <w:rPr/>
        <w:t>(21.9%)</w:t>
      </w:r>
      <w:r>
        <w:rPr>
          <w:spacing w:val="-6"/>
        </w:rPr>
        <w:t> </w:t>
      </w:r>
      <w:r>
        <w:rPr/>
        <w:t>was</w:t>
      </w:r>
      <w:r>
        <w:rPr>
          <w:spacing w:val="-5"/>
        </w:rPr>
        <w:t> </w:t>
      </w:r>
      <w:r>
        <w:rPr/>
        <w:t>low.</w:t>
      </w:r>
      <w:r>
        <w:rPr>
          <w:spacing w:val="-6"/>
        </w:rPr>
        <w:t> </w:t>
      </w:r>
      <w:r>
        <w:rPr/>
        <w:t>According</w:t>
      </w:r>
      <w:r>
        <w:rPr>
          <w:spacing w:val="-6"/>
        </w:rPr>
        <w:t> </w:t>
      </w:r>
      <w:r>
        <w:rPr/>
        <w:t>to</w:t>
      </w:r>
      <w:r>
        <w:rPr>
          <w:spacing w:val="-3"/>
        </w:rPr>
        <w:t> </w:t>
      </w:r>
      <w:r>
        <w:rPr/>
        <w:t>the</w:t>
      </w:r>
      <w:r>
        <w:rPr>
          <w:spacing w:val="-6"/>
        </w:rPr>
        <w:t> </w:t>
      </w:r>
      <w:r>
        <w:rPr/>
        <w:t>results</w:t>
      </w:r>
      <w:r>
        <w:rPr>
          <w:spacing w:val="-6"/>
        </w:rPr>
        <w:t> </w:t>
      </w:r>
      <w:r>
        <w:rPr/>
        <w:t>of</w:t>
      </w:r>
      <w:r>
        <w:rPr>
          <w:spacing w:val="-6"/>
        </w:rPr>
        <w:t> </w:t>
      </w:r>
      <w:r>
        <w:rPr/>
        <w:t>the</w:t>
      </w:r>
      <w:r>
        <w:rPr>
          <w:spacing w:val="-6"/>
        </w:rPr>
        <w:t> </w:t>
      </w:r>
      <w:r>
        <w:rPr/>
        <w:t>study,</w:t>
      </w:r>
      <w:r>
        <w:rPr>
          <w:spacing w:val="-5"/>
        </w:rPr>
        <w:t> </w:t>
      </w:r>
      <w:r>
        <w:rPr/>
        <w:t>the</w:t>
      </w:r>
      <w:r>
        <w:rPr>
          <w:spacing w:val="-5"/>
        </w:rPr>
        <w:t> </w:t>
      </w:r>
      <w:r>
        <w:rPr/>
        <w:t>disaster</w:t>
      </w:r>
      <w:r>
        <w:rPr>
          <w:spacing w:val="-2"/>
        </w:rPr>
        <w:t> </w:t>
      </w:r>
      <w:r>
        <w:rPr/>
        <w:t>preparedness level of the personnel working in Gümüşhane 112 was found to be moderate (3.09). Adequate level of disaster training should be given to the personnel working in the institution.</w:t>
      </w:r>
      <w:r>
        <w:rPr>
          <w:spacing w:val="5"/>
        </w:rPr>
        <w:t> </w:t>
      </w:r>
      <w:r>
        <w:rPr>
          <w:spacing w:val="-3"/>
        </w:rPr>
        <w:t>In</w:t>
      </w:r>
      <w:r>
        <w:rPr>
          <w:spacing w:val="5"/>
        </w:rPr>
        <w:t> </w:t>
      </w:r>
      <w:r>
        <w:rPr/>
        <w:t>case</w:t>
      </w:r>
      <w:r>
        <w:rPr>
          <w:spacing w:val="5"/>
        </w:rPr>
        <w:t> </w:t>
      </w:r>
      <w:r>
        <w:rPr/>
        <w:t>of</w:t>
      </w:r>
      <w:r>
        <w:rPr>
          <w:spacing w:val="5"/>
        </w:rPr>
        <w:t> </w:t>
      </w:r>
      <w:r>
        <w:rPr/>
        <w:t>a</w:t>
      </w:r>
      <w:r>
        <w:rPr>
          <w:spacing w:val="5"/>
        </w:rPr>
        <w:t> </w:t>
      </w:r>
      <w:r>
        <w:rPr/>
        <w:t>disaster,</w:t>
      </w:r>
      <w:r>
        <w:rPr>
          <w:spacing w:val="5"/>
        </w:rPr>
        <w:t> </w:t>
      </w:r>
      <w:r>
        <w:rPr/>
        <w:t>a</w:t>
      </w:r>
      <w:r>
        <w:rPr>
          <w:spacing w:val="6"/>
        </w:rPr>
        <w:t> </w:t>
      </w:r>
      <w:r>
        <w:rPr/>
        <w:t>more</w:t>
      </w:r>
      <w:r>
        <w:rPr>
          <w:spacing w:val="4"/>
        </w:rPr>
        <w:t> </w:t>
      </w:r>
      <w:r>
        <w:rPr/>
        <w:t>efficient</w:t>
      </w:r>
      <w:r>
        <w:rPr>
          <w:spacing w:val="8"/>
        </w:rPr>
        <w:t> </w:t>
      </w:r>
      <w:r>
        <w:rPr/>
        <w:t>disaster</w:t>
      </w:r>
      <w:r>
        <w:rPr>
          <w:spacing w:val="4"/>
        </w:rPr>
        <w:t> </w:t>
      </w:r>
      <w:r>
        <w:rPr/>
        <w:t>plan</w:t>
      </w:r>
      <w:r>
        <w:rPr>
          <w:spacing w:val="10"/>
        </w:rPr>
        <w:t> </w:t>
      </w:r>
      <w:r>
        <w:rPr/>
        <w:t>should</w:t>
      </w:r>
      <w:r>
        <w:rPr>
          <w:spacing w:val="7"/>
        </w:rPr>
        <w:t> </w:t>
      </w:r>
      <w:r>
        <w:rPr/>
        <w:t>be</w:t>
      </w:r>
      <w:r>
        <w:rPr>
          <w:spacing w:val="5"/>
        </w:rPr>
        <w:t> </w:t>
      </w:r>
      <w:r>
        <w:rPr/>
        <w:t>prepared.</w:t>
      </w:r>
      <w:r>
        <w:rPr>
          <w:spacing w:val="6"/>
        </w:rPr>
        <w:t> </w:t>
      </w:r>
      <w:r>
        <w:rPr/>
        <w:t>More</w:t>
      </w:r>
    </w:p>
    <w:p>
      <w:pPr>
        <w:spacing w:after="0" w:line="360" w:lineRule="auto"/>
        <w:jc w:val="both"/>
        <w:sectPr>
          <w:pgSz w:w="11910" w:h="16840"/>
          <w:pgMar w:header="0" w:footer="1049" w:top="1580" w:bottom="1240" w:left="1140" w:right="520"/>
        </w:sectPr>
      </w:pPr>
    </w:p>
    <w:p>
      <w:pPr>
        <w:pStyle w:val="BodyText"/>
        <w:spacing w:line="360" w:lineRule="auto" w:before="98"/>
        <w:ind w:left="1128" w:right="613"/>
        <w:jc w:val="both"/>
      </w:pPr>
      <w:r>
        <w:rPr/>
        <w:t>importance should be given to triage studies in the institution. The institution should be able to cooperate with other institutions to ensure better coordination in case of disaster. The institution should give more importance to triage studies. In case of a disaster, work should be carried out in a team approach.</w:t>
      </w:r>
    </w:p>
    <w:p>
      <w:pPr>
        <w:pStyle w:val="BodyText"/>
        <w:spacing w:before="10"/>
        <w:rPr>
          <w:sz w:val="35"/>
        </w:rPr>
      </w:pPr>
    </w:p>
    <w:p>
      <w:pPr>
        <w:pStyle w:val="BodyText"/>
        <w:ind w:left="1836"/>
      </w:pPr>
      <w:r>
        <w:rPr>
          <w:b/>
        </w:rPr>
        <w:t>Key Words: </w:t>
      </w:r>
      <w:r>
        <w:rPr/>
        <w:t>Disaster, Emergency, Disaster Management, Disaster Preparednes</w:t>
      </w:r>
    </w:p>
    <w:p>
      <w:pPr>
        <w:spacing w:after="0"/>
        <w:sectPr>
          <w:pgSz w:w="11910" w:h="16840"/>
          <w:pgMar w:header="0" w:footer="1049" w:top="1580" w:bottom="1240" w:left="1140" w:right="520"/>
        </w:sectPr>
      </w:pPr>
    </w:p>
    <w:p>
      <w:pPr>
        <w:pStyle w:val="BodyText"/>
        <w:rPr>
          <w:sz w:val="20"/>
        </w:rPr>
      </w:pPr>
    </w:p>
    <w:p>
      <w:pPr>
        <w:pStyle w:val="BodyText"/>
        <w:rPr>
          <w:sz w:val="17"/>
        </w:rPr>
      </w:pPr>
    </w:p>
    <w:p>
      <w:pPr>
        <w:pStyle w:val="Heading1"/>
        <w:spacing w:before="90"/>
        <w:ind w:left="1452" w:right="943"/>
        <w:jc w:val="center"/>
      </w:pPr>
      <w:bookmarkStart w:name="_TOC_250008" w:id="6"/>
      <w:bookmarkEnd w:id="6"/>
      <w:r>
        <w:rPr/>
        <w:t>İÇİNDEKİLER</w:t>
      </w:r>
    </w:p>
    <w:p>
      <w:pPr>
        <w:pStyle w:val="BodyText"/>
        <w:rPr>
          <w:b/>
          <w:sz w:val="26"/>
        </w:rPr>
      </w:pPr>
    </w:p>
    <w:p>
      <w:pPr>
        <w:pStyle w:val="BodyText"/>
        <w:spacing w:before="9"/>
        <w:rPr>
          <w:b/>
          <w:sz w:val="21"/>
        </w:rPr>
      </w:pPr>
    </w:p>
    <w:p>
      <w:pPr>
        <w:spacing w:line="398" w:lineRule="auto" w:before="0"/>
        <w:ind w:left="1128" w:right="7775" w:firstLine="0"/>
        <w:jc w:val="left"/>
        <w:rPr>
          <w:b/>
          <w:sz w:val="24"/>
        </w:rPr>
      </w:pPr>
      <w:r>
        <w:rPr>
          <w:b/>
          <w:sz w:val="24"/>
        </w:rPr>
        <w:t>DIŞ KAPAK İÇ KAPAK</w:t>
      </w:r>
    </w:p>
    <w:p>
      <w:pPr>
        <w:spacing w:after="0" w:line="398" w:lineRule="auto"/>
        <w:jc w:val="left"/>
        <w:rPr>
          <w:sz w:val="24"/>
        </w:rPr>
        <w:sectPr>
          <w:footerReference w:type="default" r:id="rId7"/>
          <w:pgSz w:w="11910" w:h="16840"/>
          <w:pgMar w:footer="1049" w:header="0" w:top="1580" w:bottom="1769" w:left="1140" w:right="520"/>
          <w:pgNumType w:start="9"/>
        </w:sectPr>
      </w:pPr>
    </w:p>
    <w:sdt>
      <w:sdtPr>
        <w:docPartObj>
          <w:docPartGallery w:val="Table of Contents"/>
          <w:docPartUnique/>
        </w:docPartObj>
      </w:sdtPr>
      <w:sdtEndPr/>
      <w:sdtContent>
        <w:p>
          <w:pPr>
            <w:pStyle w:val="TOC1"/>
            <w:tabs>
              <w:tab w:pos="9510" w:val="right" w:leader="dot"/>
            </w:tabs>
            <w:spacing w:before="1"/>
          </w:pPr>
          <w:hyperlink w:history="true" w:anchor="_TOC_250013">
            <w:r>
              <w:rPr/>
              <w:t>KABUL</w:t>
            </w:r>
            <w:r>
              <w:rPr>
                <w:spacing w:val="-1"/>
              </w:rPr>
              <w:t> </w:t>
            </w:r>
            <w:r>
              <w:rPr/>
              <w:t>VE ONAY</w:t>
              <w:tab/>
              <w:t>II</w:t>
            </w:r>
          </w:hyperlink>
        </w:p>
        <w:p>
          <w:pPr>
            <w:pStyle w:val="TOC1"/>
            <w:tabs>
              <w:tab w:pos="9603" w:val="right" w:leader="dot"/>
            </w:tabs>
            <w:spacing w:before="180"/>
          </w:pPr>
          <w:hyperlink w:history="true" w:anchor="_TOC_250012">
            <w:r>
              <w:rPr/>
              <w:t>BİLDİRİM</w:t>
              <w:tab/>
              <w:t>III</w:t>
            </w:r>
          </w:hyperlink>
        </w:p>
        <w:p>
          <w:pPr>
            <w:pStyle w:val="TOC1"/>
            <w:tabs>
              <w:tab w:pos="9616" w:val="right" w:leader="dot"/>
            </w:tabs>
          </w:pPr>
          <w:hyperlink w:history="true" w:anchor="_TOC_250011">
            <w:r>
              <w:rPr/>
              <w:t>ÖNSÖZ</w:t>
              <w:tab/>
              <w:t>IV</w:t>
            </w:r>
          </w:hyperlink>
        </w:p>
        <w:p>
          <w:pPr>
            <w:pStyle w:val="TOC1"/>
            <w:tabs>
              <w:tab w:pos="9590" w:val="right" w:leader="dot"/>
            </w:tabs>
            <w:spacing w:before="183"/>
          </w:pPr>
          <w:hyperlink w:history="true" w:anchor="_TOC_250010">
            <w:r>
              <w:rPr/>
              <w:t>ÖZET</w:t>
              <w:tab/>
              <w:t>V</w:t>
            </w:r>
          </w:hyperlink>
        </w:p>
        <w:p>
          <w:pPr>
            <w:pStyle w:val="TOC1"/>
            <w:tabs>
              <w:tab w:pos="9577" w:val="right" w:leader="dot"/>
            </w:tabs>
          </w:pPr>
          <w:hyperlink w:history="true" w:anchor="_TOC_250009">
            <w:r>
              <w:rPr/>
              <w:t>ABSTRACT</w:t>
              <w:tab/>
              <w:t>VII</w:t>
            </w:r>
          </w:hyperlink>
        </w:p>
        <w:p>
          <w:pPr>
            <w:pStyle w:val="TOC1"/>
            <w:tabs>
              <w:tab w:pos="9577" w:val="right" w:leader="dot"/>
            </w:tabs>
            <w:spacing w:before="183"/>
          </w:pPr>
          <w:hyperlink w:history="true" w:anchor="_TOC_250008">
            <w:r>
              <w:rPr/>
              <w:t>İÇİNDEKİLER</w:t>
              <w:tab/>
              <w:t>IX</w:t>
            </w:r>
          </w:hyperlink>
        </w:p>
        <w:p>
          <w:pPr>
            <w:pStyle w:val="TOC1"/>
            <w:tabs>
              <w:tab w:pos="9623" w:val="right" w:leader="dot"/>
            </w:tabs>
            <w:spacing w:before="180"/>
          </w:pPr>
          <w:hyperlink w:history="true" w:anchor="_TOC_250007">
            <w:r>
              <w:rPr/>
              <w:t>TABLOLAR</w:t>
            </w:r>
            <w:r>
              <w:rPr>
                <w:spacing w:val="-2"/>
              </w:rPr>
              <w:t> </w:t>
            </w:r>
            <w:r>
              <w:rPr/>
              <w:t>LİSTESİ</w:t>
              <w:tab/>
              <w:t>XIII</w:t>
            </w:r>
          </w:hyperlink>
        </w:p>
        <w:p>
          <w:pPr>
            <w:pStyle w:val="TOC1"/>
            <w:tabs>
              <w:tab w:pos="9610" w:val="right" w:leader="dot"/>
            </w:tabs>
          </w:pPr>
          <w:hyperlink w:history="true" w:anchor="_TOC_250006">
            <w:r>
              <w:rPr/>
              <w:t>ŞEKİLLER</w:t>
            </w:r>
            <w:r>
              <w:rPr>
                <w:spacing w:val="-2"/>
              </w:rPr>
              <w:t> </w:t>
            </w:r>
            <w:r>
              <w:rPr/>
              <w:t>LİSTESİ</w:t>
              <w:tab/>
              <w:t>XVI</w:t>
            </w:r>
          </w:hyperlink>
        </w:p>
        <w:p>
          <w:pPr>
            <w:pStyle w:val="TOC1"/>
            <w:tabs>
              <w:tab w:pos="9629" w:val="right" w:leader="dot"/>
            </w:tabs>
            <w:spacing w:before="183"/>
          </w:pPr>
          <w:hyperlink w:history="true" w:anchor="_TOC_250005">
            <w:r>
              <w:rPr/>
              <w:t>KISALTMALAR</w:t>
            </w:r>
            <w:r>
              <w:rPr>
                <w:spacing w:val="-2"/>
              </w:rPr>
              <w:t> </w:t>
            </w:r>
            <w:r>
              <w:rPr/>
              <w:t>LİSTESİ</w:t>
              <w:tab/>
              <w:t>XVII</w:t>
            </w:r>
          </w:hyperlink>
        </w:p>
        <w:p>
          <w:pPr>
            <w:pStyle w:val="TOC1"/>
            <w:tabs>
              <w:tab w:pos="9610" w:val="right" w:leader="dot"/>
            </w:tabs>
            <w:spacing w:before="638"/>
          </w:pPr>
          <w:hyperlink w:history="true" w:anchor="_TOC_250004">
            <w:r>
              <w:rPr/>
              <w:t>GİRİŞ</w:t>
              <w:tab/>
              <w:t>1</w:t>
            </w:r>
          </w:hyperlink>
        </w:p>
        <w:p>
          <w:pPr>
            <w:pStyle w:val="TOC4"/>
            <w:spacing w:before="644"/>
          </w:pPr>
          <w:hyperlink w:history="true" w:anchor="_TOC_250003">
            <w:r>
              <w:rPr/>
              <w:t>BİRİNCİ BÖLÜM</w:t>
            </w:r>
          </w:hyperlink>
        </w:p>
        <w:p>
          <w:pPr>
            <w:pStyle w:val="TOC1"/>
            <w:numPr>
              <w:ilvl w:val="0"/>
              <w:numId w:val="1"/>
            </w:numPr>
            <w:tabs>
              <w:tab w:pos="1369" w:val="left" w:leader="none"/>
              <w:tab w:pos="9630" w:val="right" w:leader="dot"/>
            </w:tabs>
            <w:spacing w:line="240" w:lineRule="auto" w:before="595" w:after="0"/>
            <w:ind w:left="1128" w:right="0" w:firstLine="0"/>
            <w:jc w:val="left"/>
          </w:pPr>
          <w:hyperlink w:history="true" w:anchor="_TOC_250002">
            <w:r>
              <w:rPr/>
              <w:t>TEMEL KAVRAMLAR</w:t>
              <w:tab/>
              <w:t>3-11</w:t>
            </w:r>
          </w:hyperlink>
        </w:p>
        <w:p>
          <w:pPr>
            <w:pStyle w:val="TOC3"/>
            <w:numPr>
              <w:ilvl w:val="1"/>
              <w:numId w:val="1"/>
            </w:numPr>
            <w:tabs>
              <w:tab w:pos="1770" w:val="left" w:leader="none"/>
              <w:tab w:pos="9623" w:val="right" w:leader="dot"/>
            </w:tabs>
            <w:spacing w:line="240" w:lineRule="auto" w:before="134" w:after="0"/>
            <w:ind w:left="1769" w:right="0" w:hanging="420"/>
            <w:jc w:val="left"/>
          </w:pPr>
          <w:hyperlink w:history="true" w:anchor="_bookmark0">
            <w:r>
              <w:rPr/>
              <w:t>Afet ve Afetle İlgili Temel</w:t>
            </w:r>
            <w:r>
              <w:rPr>
                <w:spacing w:val="-1"/>
              </w:rPr>
              <w:t> </w:t>
            </w:r>
            <w:r>
              <w:rPr/>
              <w:t>Kavramlar</w:t>
              <w:tab/>
              <w:t>3</w:t>
            </w:r>
          </w:hyperlink>
        </w:p>
        <w:p>
          <w:pPr>
            <w:pStyle w:val="TOC3"/>
            <w:numPr>
              <w:ilvl w:val="1"/>
              <w:numId w:val="1"/>
            </w:numPr>
            <w:tabs>
              <w:tab w:pos="1770" w:val="left" w:leader="none"/>
              <w:tab w:pos="9623" w:val="right" w:leader="dot"/>
            </w:tabs>
            <w:spacing w:line="240" w:lineRule="auto" w:before="137" w:after="0"/>
            <w:ind w:left="1769" w:right="0" w:hanging="420"/>
            <w:jc w:val="left"/>
          </w:pPr>
          <w:hyperlink w:history="true" w:anchor="_bookmark1">
            <w:r>
              <w:rPr/>
              <w:t>Afetle İlgili Temel Kavramlar</w:t>
              <w:tab/>
              <w:t>5</w:t>
            </w:r>
          </w:hyperlink>
        </w:p>
        <w:p>
          <w:pPr>
            <w:pStyle w:val="TOC5"/>
            <w:numPr>
              <w:ilvl w:val="2"/>
              <w:numId w:val="1"/>
            </w:numPr>
            <w:tabs>
              <w:tab w:pos="2168" w:val="left" w:leader="none"/>
              <w:tab w:pos="9623" w:val="right" w:leader="dot"/>
            </w:tabs>
            <w:spacing w:line="240" w:lineRule="auto" w:before="139" w:after="0"/>
            <w:ind w:left="2167" w:right="0" w:hanging="600"/>
            <w:jc w:val="left"/>
          </w:pPr>
          <w:hyperlink w:history="true" w:anchor="_bookmark2">
            <w:r>
              <w:rPr/>
              <w:t>Acil</w:t>
            </w:r>
            <w:r>
              <w:rPr>
                <w:spacing w:val="-1"/>
              </w:rPr>
              <w:t> </w:t>
            </w:r>
            <w:r>
              <w:rPr/>
              <w:t>durum</w:t>
              <w:tab/>
              <w:t>5</w:t>
            </w:r>
          </w:hyperlink>
        </w:p>
        <w:p>
          <w:pPr>
            <w:pStyle w:val="TOC5"/>
            <w:numPr>
              <w:ilvl w:val="2"/>
              <w:numId w:val="1"/>
            </w:numPr>
            <w:tabs>
              <w:tab w:pos="2168" w:val="left" w:leader="none"/>
              <w:tab w:pos="9623" w:val="right" w:leader="dot"/>
            </w:tabs>
            <w:spacing w:line="240" w:lineRule="auto" w:before="137" w:after="0"/>
            <w:ind w:left="2167" w:right="0" w:hanging="600"/>
            <w:jc w:val="left"/>
          </w:pPr>
          <w:hyperlink w:history="true" w:anchor="_bookmark3">
            <w:r>
              <w:rPr/>
              <w:t>Felaket</w:t>
              <w:tab/>
              <w:t>5</w:t>
            </w:r>
          </w:hyperlink>
        </w:p>
        <w:p>
          <w:pPr>
            <w:pStyle w:val="TOC5"/>
            <w:numPr>
              <w:ilvl w:val="2"/>
              <w:numId w:val="2"/>
            </w:numPr>
            <w:tabs>
              <w:tab w:pos="2168" w:val="left" w:leader="none"/>
              <w:tab w:pos="9623" w:val="right" w:leader="dot"/>
            </w:tabs>
            <w:spacing w:line="240" w:lineRule="auto" w:before="140" w:after="0"/>
            <w:ind w:left="2167" w:right="0" w:hanging="600"/>
            <w:jc w:val="left"/>
          </w:pPr>
          <w:hyperlink w:history="true" w:anchor="_bookmark4">
            <w:r>
              <w:rPr/>
              <w:t>Tehlike</w:t>
              <w:tab/>
              <w:t>5</w:t>
            </w:r>
          </w:hyperlink>
        </w:p>
        <w:p>
          <w:pPr>
            <w:pStyle w:val="TOC5"/>
            <w:numPr>
              <w:ilvl w:val="2"/>
              <w:numId w:val="2"/>
            </w:numPr>
            <w:tabs>
              <w:tab w:pos="2168" w:val="left" w:leader="none"/>
              <w:tab w:pos="9623" w:val="right" w:leader="dot"/>
            </w:tabs>
            <w:spacing w:line="240" w:lineRule="auto" w:before="137" w:after="0"/>
            <w:ind w:left="2167" w:right="0" w:hanging="600"/>
            <w:jc w:val="left"/>
          </w:pPr>
          <w:hyperlink w:history="true" w:anchor="_bookmark5">
            <w:r>
              <w:rPr/>
              <w:t>Risk</w:t>
              <w:tab/>
              <w:t>6</w:t>
            </w:r>
          </w:hyperlink>
        </w:p>
        <w:p>
          <w:pPr>
            <w:pStyle w:val="TOC5"/>
            <w:numPr>
              <w:ilvl w:val="2"/>
              <w:numId w:val="2"/>
            </w:numPr>
            <w:tabs>
              <w:tab w:pos="2168" w:val="left" w:leader="none"/>
              <w:tab w:pos="9623" w:val="right" w:leader="dot"/>
            </w:tabs>
            <w:spacing w:line="240" w:lineRule="auto" w:before="139" w:after="0"/>
            <w:ind w:left="2167" w:right="0" w:hanging="600"/>
            <w:jc w:val="left"/>
          </w:pPr>
          <w:hyperlink w:history="true" w:anchor="_bookmark6">
            <w:r>
              <w:rPr/>
              <w:t>Kriz</w:t>
              <w:tab/>
              <w:t>6</w:t>
            </w:r>
          </w:hyperlink>
        </w:p>
        <w:p>
          <w:pPr>
            <w:pStyle w:val="TOC3"/>
            <w:numPr>
              <w:ilvl w:val="1"/>
              <w:numId w:val="1"/>
            </w:numPr>
            <w:tabs>
              <w:tab w:pos="1770" w:val="left" w:leader="none"/>
              <w:tab w:pos="9623" w:val="right" w:leader="dot"/>
            </w:tabs>
            <w:spacing w:line="240" w:lineRule="auto" w:before="137" w:after="0"/>
            <w:ind w:left="1769" w:right="0" w:hanging="420"/>
            <w:jc w:val="left"/>
          </w:pPr>
          <w:hyperlink w:history="true" w:anchor="_bookmark7">
            <w:r>
              <w:rPr/>
              <w:t>Afet</w:t>
            </w:r>
            <w:r>
              <w:rPr>
                <w:spacing w:val="-1"/>
              </w:rPr>
              <w:t> </w:t>
            </w:r>
            <w:r>
              <w:rPr/>
              <w:t>Türleri</w:t>
              <w:tab/>
              <w:t>6</w:t>
            </w:r>
          </w:hyperlink>
        </w:p>
        <w:p>
          <w:pPr>
            <w:pStyle w:val="TOC5"/>
            <w:numPr>
              <w:ilvl w:val="2"/>
              <w:numId w:val="1"/>
            </w:numPr>
            <w:tabs>
              <w:tab w:pos="2168" w:val="left" w:leader="none"/>
              <w:tab w:pos="9623" w:val="right" w:leader="dot"/>
            </w:tabs>
            <w:spacing w:line="240" w:lineRule="auto" w:before="137" w:after="0"/>
            <w:ind w:left="2167" w:right="0" w:hanging="600"/>
            <w:jc w:val="left"/>
          </w:pPr>
          <w:hyperlink w:history="true" w:anchor="_bookmark8">
            <w:r>
              <w:rPr/>
              <w:t>Doğal</w:t>
            </w:r>
            <w:r>
              <w:rPr>
                <w:spacing w:val="-1"/>
              </w:rPr>
              <w:t> </w:t>
            </w:r>
            <w:r>
              <w:rPr/>
              <w:t>Afetler</w:t>
              <w:tab/>
              <w:t>6</w:t>
            </w:r>
          </w:hyperlink>
        </w:p>
        <w:p>
          <w:pPr>
            <w:pStyle w:val="TOC7"/>
            <w:numPr>
              <w:ilvl w:val="3"/>
              <w:numId w:val="1"/>
            </w:numPr>
            <w:tabs>
              <w:tab w:pos="2569" w:val="left" w:leader="none"/>
              <w:tab w:pos="9623" w:val="right" w:leader="dot"/>
            </w:tabs>
            <w:spacing w:line="240" w:lineRule="auto" w:before="139" w:after="0"/>
            <w:ind w:left="2568" w:right="0" w:hanging="780"/>
            <w:jc w:val="left"/>
          </w:pPr>
          <w:hyperlink w:history="true" w:anchor="_bookmark9">
            <w:r>
              <w:rPr/>
              <w:t>Deprem</w:t>
              <w:tab/>
              <w:t>7</w:t>
            </w:r>
          </w:hyperlink>
        </w:p>
        <w:p>
          <w:pPr>
            <w:pStyle w:val="TOC7"/>
            <w:numPr>
              <w:ilvl w:val="3"/>
              <w:numId w:val="1"/>
            </w:numPr>
            <w:tabs>
              <w:tab w:pos="2569" w:val="left" w:leader="none"/>
              <w:tab w:pos="9623" w:val="right" w:leader="dot"/>
            </w:tabs>
            <w:spacing w:line="240" w:lineRule="auto" w:before="137" w:after="20"/>
            <w:ind w:left="2568" w:right="0" w:hanging="780"/>
            <w:jc w:val="left"/>
          </w:pPr>
          <w:hyperlink w:history="true" w:anchor="_bookmark10">
            <w:r>
              <w:rPr/>
              <w:t>Sel</w:t>
              <w:tab/>
              <w:t>9</w:t>
            </w:r>
          </w:hyperlink>
        </w:p>
        <w:p>
          <w:pPr>
            <w:pStyle w:val="TOC7"/>
            <w:numPr>
              <w:ilvl w:val="3"/>
              <w:numId w:val="1"/>
            </w:numPr>
            <w:tabs>
              <w:tab w:pos="2569" w:val="left" w:leader="none"/>
              <w:tab w:pos="9623" w:val="right" w:leader="dot"/>
            </w:tabs>
            <w:spacing w:line="240" w:lineRule="auto" w:before="98" w:after="0"/>
            <w:ind w:left="2568" w:right="0" w:hanging="780"/>
            <w:jc w:val="left"/>
          </w:pPr>
          <w:hyperlink w:history="true" w:anchor="_bookmark11">
            <w:r>
              <w:rPr/>
              <w:t>Heyelan</w:t>
              <w:tab/>
              <w:t>9</w:t>
            </w:r>
          </w:hyperlink>
        </w:p>
        <w:p>
          <w:pPr>
            <w:pStyle w:val="TOC7"/>
            <w:numPr>
              <w:ilvl w:val="3"/>
              <w:numId w:val="1"/>
            </w:numPr>
            <w:tabs>
              <w:tab w:pos="2569" w:val="left" w:leader="none"/>
              <w:tab w:pos="9623" w:val="right" w:leader="dot"/>
            </w:tabs>
            <w:spacing w:line="240" w:lineRule="auto" w:before="136" w:after="0"/>
            <w:ind w:left="2568" w:right="0" w:hanging="780"/>
            <w:jc w:val="left"/>
          </w:pPr>
          <w:hyperlink w:history="true" w:anchor="_bookmark12">
            <w:r>
              <w:rPr/>
              <w:t>Çığ</w:t>
              <w:tab/>
              <w:t>10</w:t>
            </w:r>
          </w:hyperlink>
        </w:p>
        <w:p>
          <w:pPr>
            <w:pStyle w:val="TOC7"/>
            <w:numPr>
              <w:ilvl w:val="3"/>
              <w:numId w:val="1"/>
            </w:numPr>
            <w:tabs>
              <w:tab w:pos="2569" w:val="left" w:leader="none"/>
              <w:tab w:pos="9623" w:val="right" w:leader="dot"/>
            </w:tabs>
            <w:spacing w:line="240" w:lineRule="auto" w:before="140" w:after="0"/>
            <w:ind w:left="2568" w:right="0" w:hanging="780"/>
            <w:jc w:val="left"/>
          </w:pPr>
          <w:hyperlink w:history="true" w:anchor="_bookmark13">
            <w:r>
              <w:rPr/>
              <w:t>Orman</w:t>
            </w:r>
            <w:r>
              <w:rPr>
                <w:spacing w:val="-1"/>
              </w:rPr>
              <w:t> </w:t>
            </w:r>
            <w:r>
              <w:rPr/>
              <w:t>Yangınları</w:t>
              <w:tab/>
              <w:t>10</w:t>
            </w:r>
          </w:hyperlink>
        </w:p>
        <w:p>
          <w:pPr>
            <w:pStyle w:val="TOC5"/>
            <w:numPr>
              <w:ilvl w:val="2"/>
              <w:numId w:val="1"/>
            </w:numPr>
            <w:tabs>
              <w:tab w:pos="2170" w:val="left" w:leader="none"/>
              <w:tab w:pos="9623" w:val="right" w:leader="dot"/>
            </w:tabs>
            <w:spacing w:line="240" w:lineRule="auto" w:before="137" w:after="0"/>
            <w:ind w:left="2169" w:right="0" w:hanging="602"/>
            <w:jc w:val="left"/>
          </w:pPr>
          <w:hyperlink w:history="true" w:anchor="_bookmark14">
            <w:r>
              <w:rPr/>
              <w:t>İnsan (Teknoloji)</w:t>
            </w:r>
            <w:r>
              <w:rPr>
                <w:spacing w:val="1"/>
              </w:rPr>
              <w:t> </w:t>
            </w:r>
            <w:r>
              <w:rPr/>
              <w:t>Kaynaklı Afetler</w:t>
              <w:tab/>
              <w:t>11</w:t>
            </w:r>
          </w:hyperlink>
        </w:p>
        <w:p>
          <w:pPr>
            <w:pStyle w:val="TOC4"/>
            <w:spacing w:before="556"/>
            <w:ind w:left="1453"/>
          </w:pPr>
          <w:hyperlink w:history="true" w:anchor="_TOC_250001">
            <w:r>
              <w:rPr/>
              <w:t>İKİNCİ BÖLÜM</w:t>
            </w:r>
          </w:hyperlink>
        </w:p>
        <w:p>
          <w:pPr>
            <w:pStyle w:val="TOC6"/>
            <w:numPr>
              <w:ilvl w:val="0"/>
              <w:numId w:val="1"/>
            </w:numPr>
            <w:tabs>
              <w:tab w:pos="1907" w:val="left" w:leader="none"/>
              <w:tab w:pos="9073" w:val="left" w:leader="dot"/>
            </w:tabs>
            <w:spacing w:line="360" w:lineRule="auto" w:before="552" w:after="0"/>
            <w:ind w:left="1128" w:right="611" w:firstLine="598"/>
            <w:jc w:val="left"/>
          </w:pPr>
          <w:hyperlink w:history="true" w:anchor="_bookmark15">
            <w:r>
              <w:rPr/>
              <w:t>AFET YÖNETİMİ, TÜRKİYEDE VE BAZI ÜLKELERDEKİ AFET</w:t>
            </w:r>
          </w:hyperlink>
          <w:hyperlink w:history="true" w:anchor="_bookmark15">
            <w:r>
              <w:rPr/>
              <w:t> YÖNETİM</w:t>
            </w:r>
            <w:r>
              <w:rPr>
                <w:spacing w:val="-5"/>
              </w:rPr>
              <w:t> </w:t>
            </w:r>
            <w:r>
              <w:rPr/>
              <w:t>SİSTEMLERİ</w:t>
              <w:tab/>
              <w:t>12</w:t>
            </w:r>
          </w:hyperlink>
          <w:r>
            <w:rPr/>
            <w:t>-31</w:t>
          </w:r>
        </w:p>
        <w:p>
          <w:pPr>
            <w:pStyle w:val="TOC3"/>
            <w:numPr>
              <w:ilvl w:val="1"/>
              <w:numId w:val="3"/>
            </w:numPr>
            <w:tabs>
              <w:tab w:pos="1770" w:val="left" w:leader="none"/>
              <w:tab w:pos="9623" w:val="right" w:leader="dot"/>
            </w:tabs>
            <w:spacing w:line="272" w:lineRule="exact" w:before="0" w:after="0"/>
            <w:ind w:left="1769" w:right="0" w:hanging="420"/>
            <w:jc w:val="left"/>
          </w:pPr>
          <w:hyperlink w:history="true" w:anchor="_bookmark16">
            <w:r>
              <w:rPr/>
              <w:t>Afet</w:t>
            </w:r>
            <w:r>
              <w:rPr>
                <w:spacing w:val="-1"/>
              </w:rPr>
              <w:t> </w:t>
            </w:r>
            <w:r>
              <w:rPr/>
              <w:t>Yönetimi</w:t>
              <w:tab/>
              <w:t>12</w:t>
            </w:r>
          </w:hyperlink>
        </w:p>
        <w:p>
          <w:pPr>
            <w:pStyle w:val="TOC3"/>
            <w:numPr>
              <w:ilvl w:val="1"/>
              <w:numId w:val="3"/>
            </w:numPr>
            <w:tabs>
              <w:tab w:pos="1770" w:val="left" w:leader="none"/>
              <w:tab w:pos="9623" w:val="right" w:leader="dot"/>
            </w:tabs>
            <w:spacing w:line="240" w:lineRule="auto" w:before="140" w:after="0"/>
            <w:ind w:left="1769" w:right="0" w:hanging="420"/>
            <w:jc w:val="left"/>
          </w:pPr>
          <w:hyperlink w:history="true" w:anchor="_bookmark17">
            <w:r>
              <w:rPr/>
              <w:t>Afet</w:t>
            </w:r>
            <w:r>
              <w:rPr>
                <w:spacing w:val="-1"/>
              </w:rPr>
              <w:t> </w:t>
            </w:r>
            <w:r>
              <w:rPr/>
              <w:t>Yönetim Evreleri</w:t>
              <w:tab/>
              <w:t>12</w:t>
            </w:r>
          </w:hyperlink>
        </w:p>
        <w:p>
          <w:pPr>
            <w:pStyle w:val="TOC5"/>
            <w:numPr>
              <w:ilvl w:val="2"/>
              <w:numId w:val="3"/>
            </w:numPr>
            <w:tabs>
              <w:tab w:pos="2168" w:val="left" w:leader="none"/>
              <w:tab w:pos="9623" w:val="right" w:leader="dot"/>
            </w:tabs>
            <w:spacing w:line="240" w:lineRule="auto" w:before="136" w:after="0"/>
            <w:ind w:left="2167" w:right="0" w:hanging="600"/>
            <w:jc w:val="left"/>
          </w:pPr>
          <w:hyperlink w:history="true" w:anchor="_bookmark18">
            <w:r>
              <w:rPr/>
              <w:t>Risk\Zarar</w:t>
            </w:r>
            <w:r>
              <w:rPr>
                <w:spacing w:val="-1"/>
              </w:rPr>
              <w:t> </w:t>
            </w:r>
            <w:r>
              <w:rPr/>
              <w:t>Azaltma Evresi</w:t>
              <w:tab/>
              <w:t>14</w:t>
            </w:r>
          </w:hyperlink>
        </w:p>
        <w:p>
          <w:pPr>
            <w:pStyle w:val="TOC5"/>
            <w:numPr>
              <w:ilvl w:val="2"/>
              <w:numId w:val="3"/>
            </w:numPr>
            <w:tabs>
              <w:tab w:pos="2168" w:val="left" w:leader="none"/>
              <w:tab w:pos="9623" w:val="right" w:leader="dot"/>
            </w:tabs>
            <w:spacing w:line="240" w:lineRule="auto" w:before="140" w:after="0"/>
            <w:ind w:left="2167" w:right="0" w:hanging="600"/>
            <w:jc w:val="left"/>
          </w:pPr>
          <w:hyperlink w:history="true" w:anchor="_bookmark19">
            <w:r>
              <w:rPr/>
              <w:t>Hazırlık</w:t>
            </w:r>
            <w:r>
              <w:rPr>
                <w:spacing w:val="-1"/>
              </w:rPr>
              <w:t> </w:t>
            </w:r>
            <w:r>
              <w:rPr/>
              <w:t>Evresi</w:t>
              <w:tab/>
              <w:t>15</w:t>
            </w:r>
          </w:hyperlink>
        </w:p>
        <w:p>
          <w:pPr>
            <w:pStyle w:val="TOC5"/>
            <w:numPr>
              <w:ilvl w:val="2"/>
              <w:numId w:val="3"/>
            </w:numPr>
            <w:tabs>
              <w:tab w:pos="2168" w:val="left" w:leader="none"/>
              <w:tab w:pos="9623" w:val="right" w:leader="dot"/>
            </w:tabs>
            <w:spacing w:line="240" w:lineRule="auto" w:before="136" w:after="0"/>
            <w:ind w:left="2167" w:right="0" w:hanging="600"/>
            <w:jc w:val="left"/>
          </w:pPr>
          <w:hyperlink w:history="true" w:anchor="_bookmark20">
            <w:r>
              <w:rPr/>
              <w:t>Müdahale</w:t>
            </w:r>
            <w:r>
              <w:rPr>
                <w:spacing w:val="-1"/>
              </w:rPr>
              <w:t> </w:t>
            </w:r>
            <w:r>
              <w:rPr/>
              <w:t>Evresi</w:t>
              <w:tab/>
              <w:t>16</w:t>
            </w:r>
          </w:hyperlink>
        </w:p>
        <w:p>
          <w:pPr>
            <w:pStyle w:val="TOC5"/>
            <w:numPr>
              <w:ilvl w:val="2"/>
              <w:numId w:val="3"/>
            </w:numPr>
            <w:tabs>
              <w:tab w:pos="2170" w:val="left" w:leader="none"/>
              <w:tab w:pos="9623" w:val="right" w:leader="dot"/>
            </w:tabs>
            <w:spacing w:line="240" w:lineRule="auto" w:before="140" w:after="0"/>
            <w:ind w:left="2169" w:right="0" w:hanging="602"/>
            <w:jc w:val="left"/>
          </w:pPr>
          <w:hyperlink w:history="true" w:anchor="_bookmark21">
            <w:r>
              <w:rPr/>
              <w:t>İyileştirme</w:t>
            </w:r>
            <w:r>
              <w:rPr>
                <w:spacing w:val="-3"/>
              </w:rPr>
              <w:t> </w:t>
            </w:r>
            <w:r>
              <w:rPr/>
              <w:t>Evresi</w:t>
              <w:tab/>
              <w:t>17</w:t>
            </w:r>
          </w:hyperlink>
        </w:p>
        <w:p>
          <w:pPr>
            <w:pStyle w:val="TOC5"/>
            <w:numPr>
              <w:ilvl w:val="2"/>
              <w:numId w:val="3"/>
            </w:numPr>
            <w:tabs>
              <w:tab w:pos="2168" w:val="left" w:leader="none"/>
              <w:tab w:pos="9623" w:val="right" w:leader="dot"/>
            </w:tabs>
            <w:spacing w:line="240" w:lineRule="auto" w:before="136" w:after="0"/>
            <w:ind w:left="2167" w:right="0" w:hanging="600"/>
            <w:jc w:val="left"/>
          </w:pPr>
          <w:hyperlink w:history="true" w:anchor="_bookmark22">
            <w:r>
              <w:rPr/>
              <w:t>Yeniden</w:t>
            </w:r>
            <w:r>
              <w:rPr>
                <w:spacing w:val="-1"/>
              </w:rPr>
              <w:t> </w:t>
            </w:r>
            <w:r>
              <w:rPr/>
              <w:t>Yapılandırma</w:t>
            </w:r>
            <w:r>
              <w:rPr>
                <w:spacing w:val="-2"/>
              </w:rPr>
              <w:t> </w:t>
            </w:r>
            <w:r>
              <w:rPr/>
              <w:t>Evresi</w:t>
              <w:tab/>
              <w:t>18</w:t>
            </w:r>
          </w:hyperlink>
        </w:p>
        <w:p>
          <w:pPr>
            <w:pStyle w:val="TOC3"/>
            <w:numPr>
              <w:ilvl w:val="1"/>
              <w:numId w:val="3"/>
            </w:numPr>
            <w:tabs>
              <w:tab w:pos="1770" w:val="left" w:leader="none"/>
              <w:tab w:pos="9623" w:val="right" w:leader="dot"/>
            </w:tabs>
            <w:spacing w:line="240" w:lineRule="auto" w:before="140" w:after="0"/>
            <w:ind w:left="1769" w:right="0" w:hanging="420"/>
            <w:jc w:val="left"/>
          </w:pPr>
          <w:hyperlink w:history="true" w:anchor="_bookmark23">
            <w:r>
              <w:rPr/>
              <w:t>Türkiye’de</w:t>
            </w:r>
            <w:r>
              <w:rPr>
                <w:spacing w:val="-1"/>
              </w:rPr>
              <w:t> </w:t>
            </w:r>
            <w:r>
              <w:rPr/>
              <w:t>Afet Yönetimi</w:t>
              <w:tab/>
              <w:t>18</w:t>
            </w:r>
          </w:hyperlink>
        </w:p>
        <w:p>
          <w:pPr>
            <w:pStyle w:val="TOC5"/>
            <w:numPr>
              <w:ilvl w:val="2"/>
              <w:numId w:val="3"/>
            </w:numPr>
            <w:tabs>
              <w:tab w:pos="2168" w:val="left" w:leader="none"/>
              <w:tab w:pos="9623" w:val="right" w:leader="dot"/>
            </w:tabs>
            <w:spacing w:line="240" w:lineRule="auto" w:before="137" w:after="0"/>
            <w:ind w:left="2167" w:right="0" w:hanging="600"/>
            <w:jc w:val="left"/>
          </w:pPr>
          <w:hyperlink w:history="true" w:anchor="_bookmark24">
            <w:r>
              <w:rPr/>
              <w:t>5902 Sayılı Yasa’da Afet</w:t>
            </w:r>
            <w:r>
              <w:rPr>
                <w:spacing w:val="-2"/>
              </w:rPr>
              <w:t> </w:t>
            </w:r>
            <w:r>
              <w:rPr/>
              <w:t>Yönetim</w:t>
            </w:r>
            <w:r>
              <w:rPr>
                <w:spacing w:val="-1"/>
              </w:rPr>
              <w:t> </w:t>
            </w:r>
            <w:r>
              <w:rPr/>
              <w:t>Yapılanması</w:t>
              <w:tab/>
              <w:t>21</w:t>
            </w:r>
          </w:hyperlink>
        </w:p>
        <w:p>
          <w:pPr>
            <w:pStyle w:val="TOC7"/>
            <w:numPr>
              <w:ilvl w:val="3"/>
              <w:numId w:val="3"/>
            </w:numPr>
            <w:tabs>
              <w:tab w:pos="2569" w:val="left" w:leader="none"/>
              <w:tab w:pos="9623" w:val="right" w:leader="dot"/>
            </w:tabs>
            <w:spacing w:line="240" w:lineRule="auto" w:before="137" w:after="0"/>
            <w:ind w:left="2568" w:right="0" w:hanging="780"/>
            <w:jc w:val="left"/>
          </w:pPr>
          <w:hyperlink w:history="true" w:anchor="_bookmark25">
            <w:r>
              <w:rPr/>
              <w:t>Merkez Örgütlenmesi</w:t>
              <w:tab/>
              <w:t>21</w:t>
            </w:r>
          </w:hyperlink>
        </w:p>
        <w:p>
          <w:pPr>
            <w:pStyle w:val="TOC7"/>
            <w:numPr>
              <w:ilvl w:val="3"/>
              <w:numId w:val="3"/>
            </w:numPr>
            <w:tabs>
              <w:tab w:pos="2569" w:val="left" w:leader="none"/>
              <w:tab w:pos="9623" w:val="right" w:leader="dot"/>
            </w:tabs>
            <w:spacing w:line="240" w:lineRule="auto" w:before="139" w:after="0"/>
            <w:ind w:left="2568" w:right="0" w:hanging="780"/>
            <w:jc w:val="left"/>
          </w:pPr>
          <w:hyperlink w:history="true" w:anchor="_bookmark26">
            <w:r>
              <w:rPr/>
              <w:t>Taşra</w:t>
            </w:r>
            <w:r>
              <w:rPr>
                <w:spacing w:val="-3"/>
              </w:rPr>
              <w:t> </w:t>
            </w:r>
            <w:r>
              <w:rPr/>
              <w:t>Örgütlenmesi</w:t>
              <w:tab/>
              <w:t>24</w:t>
            </w:r>
          </w:hyperlink>
        </w:p>
        <w:p>
          <w:pPr>
            <w:pStyle w:val="TOC8"/>
            <w:numPr>
              <w:ilvl w:val="4"/>
              <w:numId w:val="3"/>
            </w:numPr>
            <w:tabs>
              <w:tab w:pos="2973" w:val="left" w:leader="none"/>
              <w:tab w:pos="9623" w:val="right" w:leader="dot"/>
            </w:tabs>
            <w:spacing w:line="240" w:lineRule="auto" w:before="137" w:after="0"/>
            <w:ind w:left="2972" w:right="0" w:hanging="963"/>
            <w:jc w:val="left"/>
          </w:pPr>
          <w:hyperlink w:history="true" w:anchor="_bookmark27">
            <w:r>
              <w:rPr>
                <w:spacing w:val="-3"/>
              </w:rPr>
              <w:t>İl </w:t>
            </w:r>
            <w:r>
              <w:rPr/>
              <w:t>Afet ve Acil</w:t>
            </w:r>
            <w:r>
              <w:rPr>
                <w:spacing w:val="2"/>
              </w:rPr>
              <w:t> </w:t>
            </w:r>
            <w:r>
              <w:rPr/>
              <w:t>Durum</w:t>
            </w:r>
            <w:r>
              <w:rPr>
                <w:spacing w:val="-1"/>
              </w:rPr>
              <w:t> </w:t>
            </w:r>
            <w:r>
              <w:rPr/>
              <w:t>Müdürlükleri</w:t>
              <w:tab/>
              <w:t>24</w:t>
            </w:r>
          </w:hyperlink>
        </w:p>
        <w:p>
          <w:pPr>
            <w:pStyle w:val="TOC8"/>
            <w:numPr>
              <w:ilvl w:val="4"/>
              <w:numId w:val="3"/>
            </w:numPr>
            <w:tabs>
              <w:tab w:pos="2970" w:val="left" w:leader="none"/>
              <w:tab w:pos="9623" w:val="right" w:leader="dot"/>
            </w:tabs>
            <w:spacing w:line="240" w:lineRule="auto" w:before="139" w:after="0"/>
            <w:ind w:left="2969" w:right="0" w:hanging="960"/>
            <w:jc w:val="left"/>
          </w:pPr>
          <w:hyperlink w:history="true" w:anchor="_bookmark28">
            <w:r>
              <w:rPr/>
              <w:t>Afet ve Acil Durum Arama ve Kurtarma</w:t>
            </w:r>
            <w:r>
              <w:rPr>
                <w:spacing w:val="-8"/>
              </w:rPr>
              <w:t> </w:t>
            </w:r>
            <w:r>
              <w:rPr/>
              <w:t>Birlik</w:t>
            </w:r>
            <w:r>
              <w:rPr>
                <w:spacing w:val="-1"/>
              </w:rPr>
              <w:t> </w:t>
            </w:r>
            <w:r>
              <w:rPr/>
              <w:t>Müdürlükleri</w:t>
              <w:tab/>
              <w:t>25</w:t>
            </w:r>
          </w:hyperlink>
        </w:p>
        <w:p>
          <w:pPr>
            <w:pStyle w:val="TOC3"/>
            <w:numPr>
              <w:ilvl w:val="1"/>
              <w:numId w:val="3"/>
            </w:numPr>
            <w:tabs>
              <w:tab w:pos="1770" w:val="left" w:leader="none"/>
              <w:tab w:pos="9623" w:val="right" w:leader="dot"/>
            </w:tabs>
            <w:spacing w:line="240" w:lineRule="auto" w:before="137" w:after="0"/>
            <w:ind w:left="1769" w:right="0" w:hanging="420"/>
            <w:jc w:val="left"/>
          </w:pPr>
          <w:hyperlink w:history="true" w:anchor="_bookmark29">
            <w:r>
              <w:rPr/>
              <w:t>Bazı Ülkelerdeki Afet</w:t>
            </w:r>
            <w:r>
              <w:rPr>
                <w:spacing w:val="-1"/>
              </w:rPr>
              <w:t> </w:t>
            </w:r>
            <w:r>
              <w:rPr/>
              <w:t>Yönetim Sistemleri</w:t>
              <w:tab/>
              <w:t>25</w:t>
            </w:r>
          </w:hyperlink>
        </w:p>
        <w:p>
          <w:pPr>
            <w:pStyle w:val="TOC5"/>
            <w:numPr>
              <w:ilvl w:val="2"/>
              <w:numId w:val="3"/>
            </w:numPr>
            <w:tabs>
              <w:tab w:pos="2168" w:val="left" w:leader="none"/>
              <w:tab w:pos="9623" w:val="right" w:leader="dot"/>
            </w:tabs>
            <w:spacing w:line="240" w:lineRule="auto" w:before="139" w:after="0"/>
            <w:ind w:left="2167" w:right="0" w:hanging="600"/>
            <w:jc w:val="left"/>
          </w:pPr>
          <w:hyperlink w:history="true" w:anchor="_bookmark30">
            <w:r>
              <w:rPr/>
              <w:t>Amerika</w:t>
            </w:r>
            <w:r>
              <w:rPr>
                <w:spacing w:val="-1"/>
              </w:rPr>
              <w:t> </w:t>
            </w:r>
            <w:r>
              <w:rPr/>
              <w:t>Birleşik</w:t>
            </w:r>
            <w:r>
              <w:rPr>
                <w:spacing w:val="2"/>
              </w:rPr>
              <w:t> </w:t>
            </w:r>
            <w:r>
              <w:rPr/>
              <w:t>Devletleri</w:t>
              <w:tab/>
              <w:t>25</w:t>
            </w:r>
          </w:hyperlink>
        </w:p>
        <w:p>
          <w:pPr>
            <w:pStyle w:val="TOC5"/>
            <w:numPr>
              <w:ilvl w:val="2"/>
              <w:numId w:val="3"/>
            </w:numPr>
            <w:tabs>
              <w:tab w:pos="2168" w:val="left" w:leader="none"/>
              <w:tab w:pos="9623" w:val="right" w:leader="dot"/>
            </w:tabs>
            <w:spacing w:line="240" w:lineRule="auto" w:before="137" w:after="0"/>
            <w:ind w:left="2167" w:right="0" w:hanging="600"/>
            <w:jc w:val="left"/>
          </w:pPr>
          <w:hyperlink w:history="true" w:anchor="_bookmark31">
            <w:r>
              <w:rPr/>
              <w:t>Japonya</w:t>
              <w:tab/>
              <w:t>26</w:t>
            </w:r>
          </w:hyperlink>
        </w:p>
        <w:p>
          <w:pPr>
            <w:pStyle w:val="TOC5"/>
            <w:numPr>
              <w:ilvl w:val="2"/>
              <w:numId w:val="3"/>
            </w:numPr>
            <w:tabs>
              <w:tab w:pos="2168" w:val="left" w:leader="none"/>
              <w:tab w:pos="9623" w:val="right" w:leader="dot"/>
            </w:tabs>
            <w:spacing w:line="240" w:lineRule="auto" w:before="139" w:after="0"/>
            <w:ind w:left="2167" w:right="0" w:hanging="600"/>
            <w:jc w:val="left"/>
          </w:pPr>
          <w:hyperlink w:history="true" w:anchor="_bookmark32">
            <w:r>
              <w:rPr/>
              <w:t>Fransa</w:t>
              <w:tab/>
              <w:t>29</w:t>
            </w:r>
          </w:hyperlink>
        </w:p>
        <w:p>
          <w:pPr>
            <w:pStyle w:val="TOC5"/>
            <w:numPr>
              <w:ilvl w:val="2"/>
              <w:numId w:val="3"/>
            </w:numPr>
            <w:tabs>
              <w:tab w:pos="2168" w:val="left" w:leader="none"/>
              <w:tab w:pos="9623" w:val="right" w:leader="dot"/>
            </w:tabs>
            <w:spacing w:line="240" w:lineRule="auto" w:before="138" w:after="240"/>
            <w:ind w:left="2167" w:right="0" w:hanging="600"/>
            <w:jc w:val="left"/>
          </w:pPr>
          <w:hyperlink w:history="true" w:anchor="_bookmark33">
            <w:r>
              <w:rPr/>
              <w:t>Kanada</w:t>
              <w:tab/>
              <w:t>30</w:t>
            </w:r>
          </w:hyperlink>
        </w:p>
        <w:p>
          <w:pPr>
            <w:pStyle w:val="TOC4"/>
          </w:pPr>
          <w:hyperlink w:history="true" w:anchor="_TOC_250000">
            <w:r>
              <w:rPr/>
              <w:t>ÜÇÜNCÜ BÖLÜM</w:t>
            </w:r>
          </w:hyperlink>
        </w:p>
        <w:p>
          <w:pPr>
            <w:pStyle w:val="TOC2"/>
            <w:numPr>
              <w:ilvl w:val="0"/>
              <w:numId w:val="1"/>
            </w:numPr>
            <w:tabs>
              <w:tab w:pos="1561" w:val="left" w:leader="none"/>
              <w:tab w:pos="9073" w:val="left" w:leader="dot"/>
            </w:tabs>
            <w:spacing w:line="360" w:lineRule="auto" w:before="552" w:after="0"/>
            <w:ind w:left="1128" w:right="611" w:firstLine="192"/>
            <w:jc w:val="left"/>
          </w:pPr>
          <w:hyperlink w:history="true" w:anchor="_bookmark34">
            <w:r>
              <w:rPr/>
              <w:t>GÜMÜŞHANE İLİ İLGİLİ GENEL BİLGİLER VE GÜMÜŞHANE İLİNİN</w:t>
            </w:r>
          </w:hyperlink>
          <w:hyperlink w:history="true" w:anchor="_bookmark34">
            <w:r>
              <w:rPr/>
              <w:t> AFETSELLİĞİ</w:t>
              <w:tab/>
              <w:t>32</w:t>
            </w:r>
          </w:hyperlink>
          <w:r>
            <w:rPr/>
            <w:t>-38</w:t>
          </w:r>
        </w:p>
        <w:p>
          <w:pPr>
            <w:pStyle w:val="TOC3"/>
            <w:numPr>
              <w:ilvl w:val="1"/>
              <w:numId w:val="1"/>
            </w:numPr>
            <w:tabs>
              <w:tab w:pos="1772" w:val="left" w:leader="none"/>
              <w:tab w:pos="9383" w:val="left" w:leader="dot"/>
            </w:tabs>
            <w:spacing w:line="271" w:lineRule="exact" w:before="0" w:after="0"/>
            <w:ind w:left="1771" w:right="0" w:hanging="422"/>
            <w:jc w:val="left"/>
          </w:pPr>
          <w:hyperlink w:history="true" w:anchor="_bookmark35">
            <w:r>
              <w:rPr/>
              <w:t>İlin Genel Durumu ve</w:t>
            </w:r>
            <w:r>
              <w:rPr>
                <w:spacing w:val="-8"/>
              </w:rPr>
              <w:t> </w:t>
            </w:r>
            <w:r>
              <w:rPr/>
              <w:t>Coğrafi</w:t>
            </w:r>
            <w:r>
              <w:rPr>
                <w:spacing w:val="-2"/>
              </w:rPr>
              <w:t> </w:t>
            </w:r>
            <w:r>
              <w:rPr/>
              <w:t>Konumu</w:t>
              <w:tab/>
              <w:t>32</w:t>
            </w:r>
          </w:hyperlink>
        </w:p>
        <w:p>
          <w:pPr>
            <w:pStyle w:val="TOC3"/>
            <w:numPr>
              <w:ilvl w:val="1"/>
              <w:numId w:val="1"/>
            </w:numPr>
            <w:tabs>
              <w:tab w:pos="1770" w:val="left" w:leader="none"/>
              <w:tab w:pos="9383" w:val="left" w:leader="dot"/>
            </w:tabs>
            <w:spacing w:line="240" w:lineRule="auto" w:before="137" w:after="0"/>
            <w:ind w:left="1769" w:right="0" w:hanging="420"/>
            <w:jc w:val="left"/>
          </w:pPr>
          <w:hyperlink w:history="true" w:anchor="_bookmark36">
            <w:r>
              <w:rPr/>
              <w:t>Gümüşhane İlinin Afetselliği ve</w:t>
            </w:r>
            <w:r>
              <w:rPr>
                <w:spacing w:val="-7"/>
              </w:rPr>
              <w:t> </w:t>
            </w:r>
            <w:r>
              <w:rPr/>
              <w:t>Afet</w:t>
            </w:r>
            <w:r>
              <w:rPr>
                <w:spacing w:val="-2"/>
              </w:rPr>
              <w:t> </w:t>
            </w:r>
            <w:r>
              <w:rPr/>
              <w:t>Geçmişi</w:t>
              <w:tab/>
              <w:t>33</w:t>
            </w:r>
          </w:hyperlink>
        </w:p>
        <w:p>
          <w:pPr>
            <w:pStyle w:val="TOC5"/>
            <w:numPr>
              <w:ilvl w:val="2"/>
              <w:numId w:val="1"/>
            </w:numPr>
            <w:tabs>
              <w:tab w:pos="2168" w:val="left" w:leader="none"/>
              <w:tab w:pos="9383" w:val="left" w:leader="dot"/>
            </w:tabs>
            <w:spacing w:line="240" w:lineRule="auto" w:before="140" w:after="0"/>
            <w:ind w:left="2167" w:right="0" w:hanging="600"/>
            <w:jc w:val="left"/>
          </w:pPr>
          <w:hyperlink w:history="true" w:anchor="_bookmark37">
            <w:r>
              <w:rPr/>
              <w:t>Deprem</w:t>
              <w:tab/>
              <w:t>33</w:t>
            </w:r>
          </w:hyperlink>
        </w:p>
        <w:p>
          <w:pPr>
            <w:pStyle w:val="TOC5"/>
            <w:numPr>
              <w:ilvl w:val="2"/>
              <w:numId w:val="1"/>
            </w:numPr>
            <w:tabs>
              <w:tab w:pos="2168" w:val="left" w:leader="none"/>
              <w:tab w:pos="9383" w:val="left" w:leader="dot"/>
            </w:tabs>
            <w:spacing w:line="240" w:lineRule="auto" w:before="136" w:after="0"/>
            <w:ind w:left="2167" w:right="0" w:hanging="600"/>
            <w:jc w:val="left"/>
          </w:pPr>
          <w:hyperlink w:history="true" w:anchor="_bookmark38">
            <w:r>
              <w:rPr/>
              <w:t>Sel</w:t>
              <w:tab/>
              <w:t>35</w:t>
            </w:r>
          </w:hyperlink>
        </w:p>
        <w:p>
          <w:pPr>
            <w:pStyle w:val="TOC5"/>
            <w:numPr>
              <w:ilvl w:val="2"/>
              <w:numId w:val="1"/>
            </w:numPr>
            <w:tabs>
              <w:tab w:pos="2168" w:val="left" w:leader="none"/>
              <w:tab w:pos="9383" w:val="left" w:leader="dot"/>
            </w:tabs>
            <w:spacing w:line="240" w:lineRule="auto" w:before="140" w:after="0"/>
            <w:ind w:left="2167" w:right="0" w:hanging="600"/>
            <w:jc w:val="left"/>
          </w:pPr>
          <w:hyperlink w:history="true" w:anchor="_bookmark39">
            <w:r>
              <w:rPr/>
              <w:t>Heyelan</w:t>
              <w:tab/>
              <w:t>37</w:t>
            </w:r>
          </w:hyperlink>
        </w:p>
      </w:sdtContent>
    </w:sdt>
    <w:p>
      <w:pPr>
        <w:spacing w:after="0" w:line="240" w:lineRule="auto"/>
        <w:jc w:val="left"/>
        <w:sectPr>
          <w:type w:val="continuous"/>
          <w:pgSz w:w="11910" w:h="16840"/>
          <w:pgMar w:top="1599" w:bottom="1769" w:left="1140" w:right="520"/>
        </w:sectPr>
      </w:pPr>
    </w:p>
    <w:p>
      <w:pPr>
        <w:pStyle w:val="BodyText"/>
        <w:rPr>
          <w:sz w:val="26"/>
        </w:rPr>
      </w:pPr>
    </w:p>
    <w:p>
      <w:pPr>
        <w:pStyle w:val="BodyText"/>
        <w:spacing w:before="5"/>
        <w:rPr>
          <w:sz w:val="22"/>
        </w:rPr>
      </w:pPr>
    </w:p>
    <w:p>
      <w:pPr>
        <w:spacing w:before="0"/>
        <w:ind w:left="1453" w:right="943" w:firstLine="0"/>
        <w:jc w:val="center"/>
        <w:rPr>
          <w:b/>
          <w:sz w:val="24"/>
        </w:rPr>
      </w:pPr>
      <w:r>
        <w:rPr>
          <w:b/>
          <w:sz w:val="24"/>
        </w:rPr>
        <w:t>DÖRDÜNCÜ BÖLÜM</w:t>
      </w:r>
    </w:p>
    <w:p>
      <w:pPr>
        <w:pStyle w:val="BodyText"/>
        <w:rPr>
          <w:b/>
          <w:sz w:val="26"/>
        </w:rPr>
      </w:pPr>
    </w:p>
    <w:p>
      <w:pPr>
        <w:pStyle w:val="BodyText"/>
        <w:rPr>
          <w:b/>
          <w:sz w:val="22"/>
        </w:rPr>
      </w:pPr>
    </w:p>
    <w:p>
      <w:pPr>
        <w:pStyle w:val="ListParagraph"/>
        <w:numPr>
          <w:ilvl w:val="0"/>
          <w:numId w:val="1"/>
        </w:numPr>
        <w:tabs>
          <w:tab w:pos="1942" w:val="left" w:leader="none"/>
          <w:tab w:pos="9393" w:val="left" w:leader="dot"/>
        </w:tabs>
        <w:spacing w:line="360" w:lineRule="auto" w:before="0" w:after="0"/>
        <w:ind w:left="1128" w:right="611" w:firstLine="574"/>
        <w:jc w:val="left"/>
        <w:rPr>
          <w:b/>
          <w:sz w:val="24"/>
        </w:rPr>
      </w:pPr>
      <w:hyperlink w:history="true" w:anchor="_bookmark40">
        <w:r>
          <w:rPr>
            <w:b/>
            <w:sz w:val="24"/>
          </w:rPr>
          <w:t>112’DE ÇALIŞAN PERSONELİN AFETE HAZIRLIK DÜZEYİNİN</w:t>
        </w:r>
      </w:hyperlink>
      <w:hyperlink w:history="true" w:anchor="_bookmark40">
        <w:r>
          <w:rPr>
            <w:b/>
            <w:sz w:val="24"/>
          </w:rPr>
          <w:t> İNCELENMESİ: GÜMÜŞHANE</w:t>
        </w:r>
        <w:r>
          <w:rPr>
            <w:b/>
            <w:spacing w:val="-8"/>
            <w:sz w:val="24"/>
          </w:rPr>
          <w:t> </w:t>
        </w:r>
        <w:r>
          <w:rPr>
            <w:b/>
            <w:sz w:val="24"/>
          </w:rPr>
          <w:t>İLİ</w:t>
        </w:r>
        <w:r>
          <w:rPr>
            <w:b/>
            <w:spacing w:val="-5"/>
            <w:sz w:val="24"/>
          </w:rPr>
          <w:t> </w:t>
        </w:r>
        <w:r>
          <w:rPr>
            <w:b/>
            <w:sz w:val="24"/>
          </w:rPr>
          <w:t>ÖRNEĞİ</w:t>
          <w:tab/>
          <w:t>33</w:t>
        </w:r>
      </w:hyperlink>
    </w:p>
    <w:p>
      <w:pPr>
        <w:pStyle w:val="ListParagraph"/>
        <w:numPr>
          <w:ilvl w:val="1"/>
          <w:numId w:val="4"/>
        </w:numPr>
        <w:tabs>
          <w:tab w:pos="1770" w:val="left" w:leader="none"/>
          <w:tab w:pos="9383" w:val="left" w:leader="dot"/>
        </w:tabs>
        <w:spacing w:line="271" w:lineRule="exact" w:before="0" w:after="0"/>
        <w:ind w:left="1769" w:right="0" w:hanging="420"/>
        <w:jc w:val="left"/>
        <w:rPr>
          <w:sz w:val="24"/>
        </w:rPr>
      </w:pPr>
      <w:hyperlink w:history="true" w:anchor="_bookmark41">
        <w:r>
          <w:rPr>
            <w:sz w:val="24"/>
          </w:rPr>
          <w:t>Problemin</w:t>
        </w:r>
        <w:r>
          <w:rPr>
            <w:spacing w:val="-1"/>
            <w:sz w:val="24"/>
          </w:rPr>
          <w:t> </w:t>
        </w:r>
        <w:r>
          <w:rPr>
            <w:sz w:val="24"/>
          </w:rPr>
          <w:t>Durumu</w:t>
          <w:tab/>
          <w:t>33</w:t>
        </w:r>
      </w:hyperlink>
    </w:p>
    <w:p>
      <w:pPr>
        <w:pStyle w:val="ListParagraph"/>
        <w:numPr>
          <w:ilvl w:val="1"/>
          <w:numId w:val="4"/>
        </w:numPr>
        <w:tabs>
          <w:tab w:pos="1770" w:val="left" w:leader="none"/>
          <w:tab w:pos="9383" w:val="left" w:leader="dot"/>
        </w:tabs>
        <w:spacing w:line="240" w:lineRule="auto" w:before="137" w:after="0"/>
        <w:ind w:left="1769" w:right="0" w:hanging="420"/>
        <w:jc w:val="left"/>
        <w:rPr>
          <w:sz w:val="24"/>
        </w:rPr>
      </w:pPr>
      <w:hyperlink w:history="true" w:anchor="_bookmark42">
        <w:r>
          <w:rPr>
            <w:sz w:val="24"/>
          </w:rPr>
          <w:t>Konunun</w:t>
        </w:r>
        <w:r>
          <w:rPr>
            <w:spacing w:val="-4"/>
            <w:sz w:val="24"/>
          </w:rPr>
          <w:t> </w:t>
        </w:r>
        <w:r>
          <w:rPr>
            <w:sz w:val="24"/>
          </w:rPr>
          <w:t>Önemi</w:t>
          <w:tab/>
          <w:t>33</w:t>
        </w:r>
      </w:hyperlink>
    </w:p>
    <w:p>
      <w:pPr>
        <w:pStyle w:val="ListParagraph"/>
        <w:numPr>
          <w:ilvl w:val="1"/>
          <w:numId w:val="4"/>
        </w:numPr>
        <w:tabs>
          <w:tab w:pos="1770" w:val="left" w:leader="none"/>
          <w:tab w:pos="9383" w:val="left" w:leader="dot"/>
        </w:tabs>
        <w:spacing w:line="240" w:lineRule="auto" w:before="139" w:after="0"/>
        <w:ind w:left="1769" w:right="0" w:hanging="420"/>
        <w:jc w:val="left"/>
        <w:rPr>
          <w:sz w:val="24"/>
        </w:rPr>
      </w:pPr>
      <w:hyperlink w:history="true" w:anchor="_bookmark43">
        <w:r>
          <w:rPr>
            <w:sz w:val="24"/>
          </w:rPr>
          <w:t>Araştırmanın</w:t>
        </w:r>
        <w:r>
          <w:rPr>
            <w:spacing w:val="-4"/>
            <w:sz w:val="24"/>
          </w:rPr>
          <w:t> </w:t>
        </w:r>
        <w:r>
          <w:rPr>
            <w:sz w:val="24"/>
          </w:rPr>
          <w:t>Amacı</w:t>
          <w:tab/>
          <w:t>40</w:t>
        </w:r>
      </w:hyperlink>
    </w:p>
    <w:p>
      <w:pPr>
        <w:pStyle w:val="ListParagraph"/>
        <w:numPr>
          <w:ilvl w:val="1"/>
          <w:numId w:val="4"/>
        </w:numPr>
        <w:tabs>
          <w:tab w:pos="1770" w:val="left" w:leader="none"/>
          <w:tab w:pos="9383" w:val="left" w:leader="dot"/>
        </w:tabs>
        <w:spacing w:line="240" w:lineRule="auto" w:before="137" w:after="0"/>
        <w:ind w:left="1769" w:right="0" w:hanging="420"/>
        <w:jc w:val="left"/>
        <w:rPr>
          <w:sz w:val="24"/>
        </w:rPr>
      </w:pPr>
      <w:hyperlink w:history="true" w:anchor="_bookmark44">
        <w:r>
          <w:rPr>
            <w:sz w:val="24"/>
          </w:rPr>
          <w:t>Beklenen</w:t>
        </w:r>
        <w:r>
          <w:rPr>
            <w:spacing w:val="-2"/>
            <w:sz w:val="24"/>
          </w:rPr>
          <w:t> </w:t>
        </w:r>
        <w:r>
          <w:rPr>
            <w:sz w:val="24"/>
          </w:rPr>
          <w:t>Yararlar</w:t>
          <w:tab/>
          <w:t>41</w:t>
        </w:r>
      </w:hyperlink>
    </w:p>
    <w:p>
      <w:pPr>
        <w:pStyle w:val="ListParagraph"/>
        <w:numPr>
          <w:ilvl w:val="1"/>
          <w:numId w:val="4"/>
        </w:numPr>
        <w:tabs>
          <w:tab w:pos="1770" w:val="left" w:leader="none"/>
          <w:tab w:pos="9383" w:val="left" w:leader="dot"/>
        </w:tabs>
        <w:spacing w:line="240" w:lineRule="auto" w:before="137" w:after="0"/>
        <w:ind w:left="1769" w:right="0" w:hanging="420"/>
        <w:jc w:val="left"/>
        <w:rPr>
          <w:sz w:val="24"/>
        </w:rPr>
      </w:pPr>
      <w:hyperlink w:history="true" w:anchor="_bookmark45">
        <w:r>
          <w:rPr>
            <w:sz w:val="24"/>
          </w:rPr>
          <w:t>Araştırmanın</w:t>
        </w:r>
        <w:r>
          <w:rPr>
            <w:spacing w:val="-4"/>
            <w:sz w:val="24"/>
          </w:rPr>
          <w:t> </w:t>
        </w:r>
        <w:r>
          <w:rPr>
            <w:sz w:val="24"/>
          </w:rPr>
          <w:t>Varsayımları</w:t>
          <w:tab/>
          <w:t>41</w:t>
        </w:r>
      </w:hyperlink>
    </w:p>
    <w:p>
      <w:pPr>
        <w:pStyle w:val="ListParagraph"/>
        <w:numPr>
          <w:ilvl w:val="1"/>
          <w:numId w:val="4"/>
        </w:numPr>
        <w:tabs>
          <w:tab w:pos="1770" w:val="left" w:leader="none"/>
          <w:tab w:pos="9383" w:val="left" w:leader="dot"/>
        </w:tabs>
        <w:spacing w:line="240" w:lineRule="auto" w:before="139" w:after="0"/>
        <w:ind w:left="1769" w:right="0" w:hanging="420"/>
        <w:jc w:val="left"/>
        <w:rPr>
          <w:sz w:val="24"/>
        </w:rPr>
      </w:pPr>
      <w:hyperlink w:history="true" w:anchor="_bookmark46">
        <w:r>
          <w:rPr>
            <w:sz w:val="24"/>
          </w:rPr>
          <w:t>Araştırmanın</w:t>
        </w:r>
        <w:r>
          <w:rPr>
            <w:spacing w:val="-4"/>
            <w:sz w:val="24"/>
          </w:rPr>
          <w:t> </w:t>
        </w:r>
        <w:r>
          <w:rPr>
            <w:sz w:val="24"/>
          </w:rPr>
          <w:t>Kısıtlılıkları</w:t>
          <w:tab/>
          <w:t>41</w:t>
        </w:r>
      </w:hyperlink>
    </w:p>
    <w:p>
      <w:pPr>
        <w:pStyle w:val="ListParagraph"/>
        <w:numPr>
          <w:ilvl w:val="1"/>
          <w:numId w:val="4"/>
        </w:numPr>
        <w:tabs>
          <w:tab w:pos="1770" w:val="left" w:leader="none"/>
          <w:tab w:pos="9383" w:val="left" w:leader="dot"/>
        </w:tabs>
        <w:spacing w:line="240" w:lineRule="auto" w:before="137" w:after="0"/>
        <w:ind w:left="1769" w:right="0" w:hanging="420"/>
        <w:jc w:val="left"/>
        <w:rPr>
          <w:sz w:val="24"/>
        </w:rPr>
      </w:pPr>
      <w:hyperlink w:history="true" w:anchor="_bookmark47">
        <w:r>
          <w:rPr>
            <w:sz w:val="24"/>
          </w:rPr>
          <w:t>Araştırmanın</w:t>
        </w:r>
        <w:r>
          <w:rPr>
            <w:spacing w:val="-5"/>
            <w:sz w:val="24"/>
          </w:rPr>
          <w:t> </w:t>
        </w:r>
        <w:r>
          <w:rPr>
            <w:sz w:val="24"/>
          </w:rPr>
          <w:t>Modeli</w:t>
          <w:tab/>
          <w:t>41</w:t>
        </w:r>
      </w:hyperlink>
    </w:p>
    <w:p>
      <w:pPr>
        <w:pStyle w:val="ListParagraph"/>
        <w:numPr>
          <w:ilvl w:val="1"/>
          <w:numId w:val="4"/>
        </w:numPr>
        <w:tabs>
          <w:tab w:pos="1770" w:val="left" w:leader="none"/>
          <w:tab w:pos="9383" w:val="left" w:leader="dot"/>
        </w:tabs>
        <w:spacing w:line="240" w:lineRule="auto" w:before="139" w:after="0"/>
        <w:ind w:left="1769" w:right="0" w:hanging="420"/>
        <w:jc w:val="left"/>
        <w:rPr>
          <w:sz w:val="24"/>
        </w:rPr>
      </w:pPr>
      <w:hyperlink w:history="true" w:anchor="_bookmark48">
        <w:r>
          <w:rPr>
            <w:sz w:val="24"/>
          </w:rPr>
          <w:t>Araştırmanın</w:t>
        </w:r>
        <w:r>
          <w:rPr>
            <w:spacing w:val="-3"/>
            <w:sz w:val="24"/>
          </w:rPr>
          <w:t> </w:t>
        </w:r>
        <w:r>
          <w:rPr>
            <w:sz w:val="24"/>
          </w:rPr>
          <w:t>Kapsamı</w:t>
          <w:tab/>
          <w:t>42</w:t>
        </w:r>
      </w:hyperlink>
    </w:p>
    <w:p>
      <w:pPr>
        <w:pStyle w:val="ListParagraph"/>
        <w:numPr>
          <w:ilvl w:val="1"/>
          <w:numId w:val="4"/>
        </w:numPr>
        <w:tabs>
          <w:tab w:pos="1770" w:val="left" w:leader="none"/>
          <w:tab w:pos="9383" w:val="left" w:leader="dot"/>
        </w:tabs>
        <w:spacing w:line="240" w:lineRule="auto" w:before="137" w:after="0"/>
        <w:ind w:left="1769" w:right="0" w:hanging="420"/>
        <w:jc w:val="left"/>
        <w:rPr>
          <w:sz w:val="24"/>
        </w:rPr>
      </w:pPr>
      <w:hyperlink w:history="true" w:anchor="_bookmark49">
        <w:r>
          <w:rPr>
            <w:sz w:val="24"/>
          </w:rPr>
          <w:t>Veri Toplama Araçları</w:t>
        </w:r>
        <w:r>
          <w:rPr>
            <w:spacing w:val="-5"/>
            <w:sz w:val="24"/>
          </w:rPr>
          <w:t> </w:t>
        </w:r>
        <w:r>
          <w:rPr>
            <w:sz w:val="24"/>
          </w:rPr>
          <w:t>ve</w:t>
        </w:r>
        <w:r>
          <w:rPr>
            <w:spacing w:val="-4"/>
            <w:sz w:val="24"/>
          </w:rPr>
          <w:t> </w:t>
        </w:r>
        <w:r>
          <w:rPr>
            <w:sz w:val="24"/>
          </w:rPr>
          <w:t>Yöntem</w:t>
          <w:tab/>
          <w:t>42</w:t>
        </w:r>
      </w:hyperlink>
    </w:p>
    <w:p>
      <w:pPr>
        <w:pStyle w:val="ListParagraph"/>
        <w:numPr>
          <w:ilvl w:val="1"/>
          <w:numId w:val="4"/>
        </w:numPr>
        <w:tabs>
          <w:tab w:pos="1890" w:val="left" w:leader="none"/>
          <w:tab w:pos="9383" w:val="left" w:leader="dot"/>
        </w:tabs>
        <w:spacing w:line="240" w:lineRule="auto" w:before="140" w:after="0"/>
        <w:ind w:left="1889" w:right="0" w:hanging="540"/>
        <w:jc w:val="left"/>
        <w:rPr>
          <w:sz w:val="24"/>
        </w:rPr>
      </w:pPr>
      <w:hyperlink w:history="true" w:anchor="_bookmark50">
        <w:r>
          <w:rPr>
            <w:sz w:val="24"/>
          </w:rPr>
          <w:t>Hipotezler</w:t>
          <w:tab/>
          <w:t>43</w:t>
        </w:r>
      </w:hyperlink>
    </w:p>
    <w:p>
      <w:pPr>
        <w:pStyle w:val="ListParagraph"/>
        <w:numPr>
          <w:ilvl w:val="1"/>
          <w:numId w:val="4"/>
        </w:numPr>
        <w:tabs>
          <w:tab w:pos="1890" w:val="left" w:leader="none"/>
          <w:tab w:pos="9383" w:val="left" w:leader="dot"/>
        </w:tabs>
        <w:spacing w:line="240" w:lineRule="auto" w:before="136" w:after="0"/>
        <w:ind w:left="1889" w:right="0" w:hanging="540"/>
        <w:jc w:val="left"/>
        <w:rPr>
          <w:sz w:val="24"/>
        </w:rPr>
      </w:pPr>
      <w:hyperlink w:history="true" w:anchor="_bookmark51">
        <w:r>
          <w:rPr>
            <w:sz w:val="24"/>
          </w:rPr>
          <w:t>Güvenirlik</w:t>
        </w:r>
        <w:r>
          <w:rPr>
            <w:spacing w:val="-3"/>
            <w:sz w:val="24"/>
          </w:rPr>
          <w:t> </w:t>
        </w:r>
        <w:r>
          <w:rPr>
            <w:sz w:val="24"/>
          </w:rPr>
          <w:t>Analizi</w:t>
          <w:tab/>
          <w:t>44</w:t>
        </w:r>
      </w:hyperlink>
    </w:p>
    <w:p>
      <w:pPr>
        <w:pStyle w:val="ListParagraph"/>
        <w:numPr>
          <w:ilvl w:val="1"/>
          <w:numId w:val="4"/>
        </w:numPr>
        <w:tabs>
          <w:tab w:pos="1890" w:val="left" w:leader="none"/>
          <w:tab w:pos="9383" w:val="left" w:leader="dot"/>
        </w:tabs>
        <w:spacing w:line="240" w:lineRule="auto" w:before="140" w:after="0"/>
        <w:ind w:left="1889" w:right="0" w:hanging="540"/>
        <w:jc w:val="left"/>
        <w:rPr>
          <w:sz w:val="24"/>
        </w:rPr>
      </w:pPr>
      <w:hyperlink w:history="true" w:anchor="_bookmark52">
        <w:r>
          <w:rPr>
            <w:sz w:val="24"/>
          </w:rPr>
          <w:t>Geçerlilik Analizi – Doğrulayıcı</w:t>
        </w:r>
        <w:r>
          <w:rPr>
            <w:spacing w:val="-8"/>
            <w:sz w:val="24"/>
          </w:rPr>
          <w:t> </w:t>
        </w:r>
        <w:r>
          <w:rPr>
            <w:sz w:val="24"/>
          </w:rPr>
          <w:t>Faktör</w:t>
        </w:r>
        <w:r>
          <w:rPr>
            <w:spacing w:val="-2"/>
            <w:sz w:val="24"/>
          </w:rPr>
          <w:t> </w:t>
        </w:r>
        <w:r>
          <w:rPr>
            <w:sz w:val="24"/>
          </w:rPr>
          <w:t>Analizi</w:t>
          <w:tab/>
          <w:t>44</w:t>
        </w:r>
      </w:hyperlink>
    </w:p>
    <w:p>
      <w:pPr>
        <w:pStyle w:val="ListParagraph"/>
        <w:numPr>
          <w:ilvl w:val="1"/>
          <w:numId w:val="4"/>
        </w:numPr>
        <w:tabs>
          <w:tab w:pos="1890" w:val="left" w:leader="none"/>
          <w:tab w:pos="9383" w:val="left" w:leader="dot"/>
        </w:tabs>
        <w:spacing w:line="240" w:lineRule="auto" w:before="137" w:after="0"/>
        <w:ind w:left="1889" w:right="0" w:hanging="540"/>
        <w:jc w:val="left"/>
        <w:rPr>
          <w:sz w:val="24"/>
        </w:rPr>
      </w:pPr>
      <w:hyperlink w:history="true" w:anchor="_bookmark53">
        <w:r>
          <w:rPr>
            <w:sz w:val="24"/>
          </w:rPr>
          <w:t>Bulgular</w:t>
          <w:tab/>
          <w:t>47</w:t>
        </w:r>
      </w:hyperlink>
    </w:p>
    <w:p>
      <w:pPr>
        <w:pStyle w:val="ListParagraph"/>
        <w:numPr>
          <w:ilvl w:val="1"/>
          <w:numId w:val="4"/>
        </w:numPr>
        <w:tabs>
          <w:tab w:pos="1890" w:val="left" w:leader="none"/>
          <w:tab w:pos="9383" w:val="left" w:leader="dot"/>
        </w:tabs>
        <w:spacing w:line="240" w:lineRule="auto" w:before="139" w:after="0"/>
        <w:ind w:left="1889" w:right="0" w:hanging="540"/>
        <w:jc w:val="left"/>
        <w:rPr>
          <w:sz w:val="24"/>
        </w:rPr>
      </w:pPr>
      <w:hyperlink w:history="true" w:anchor="_bookmark54">
        <w:r>
          <w:rPr>
            <w:sz w:val="24"/>
          </w:rPr>
          <w:t>Hipotezlerin</w:t>
        </w:r>
        <w:r>
          <w:rPr>
            <w:spacing w:val="-4"/>
            <w:sz w:val="24"/>
          </w:rPr>
          <w:t> </w:t>
        </w:r>
        <w:r>
          <w:rPr>
            <w:sz w:val="24"/>
          </w:rPr>
          <w:t>Değerlendirilmesi</w:t>
          <w:tab/>
          <w:t>67</w:t>
        </w:r>
      </w:hyperlink>
    </w:p>
    <w:p>
      <w:pPr>
        <w:pStyle w:val="ListParagraph"/>
        <w:numPr>
          <w:ilvl w:val="1"/>
          <w:numId w:val="4"/>
        </w:numPr>
        <w:tabs>
          <w:tab w:pos="1890" w:val="left" w:leader="none"/>
          <w:tab w:pos="9383" w:val="left" w:leader="dot"/>
        </w:tabs>
        <w:spacing w:line="240" w:lineRule="auto" w:before="137" w:after="0"/>
        <w:ind w:left="1889" w:right="0" w:hanging="540"/>
        <w:jc w:val="left"/>
        <w:rPr>
          <w:sz w:val="24"/>
        </w:rPr>
      </w:pPr>
      <w:hyperlink w:history="true" w:anchor="_bookmark55">
        <w:r>
          <w:rPr>
            <w:sz w:val="24"/>
          </w:rPr>
          <w:t>Tartışma</w:t>
          <w:tab/>
          <w:t>81</w:t>
        </w:r>
      </w:hyperlink>
    </w:p>
    <w:p>
      <w:pPr>
        <w:pStyle w:val="Heading1"/>
        <w:tabs>
          <w:tab w:pos="8664" w:val="left" w:leader="dot"/>
        </w:tabs>
        <w:spacing w:before="557"/>
        <w:ind w:left="457"/>
        <w:jc w:val="center"/>
      </w:pPr>
      <w:r>
        <w:rPr/>
        <w:t>SONUÇ</w:t>
      </w:r>
      <w:r>
        <w:rPr>
          <w:spacing w:val="-4"/>
        </w:rPr>
        <w:t> </w:t>
      </w:r>
      <w:r>
        <w:rPr/>
        <w:t>VE</w:t>
      </w:r>
      <w:r>
        <w:rPr>
          <w:spacing w:val="-4"/>
        </w:rPr>
        <w:t> </w:t>
      </w:r>
      <w:r>
        <w:rPr/>
        <w:t>DEĞERLENDİRME</w:t>
        <w:tab/>
        <w:t>86</w:t>
      </w:r>
    </w:p>
    <w:p>
      <w:pPr>
        <w:spacing w:after="0"/>
        <w:jc w:val="center"/>
        <w:sectPr>
          <w:type w:val="continuous"/>
          <w:pgSz w:w="11910" w:h="16840"/>
          <w:pgMar w:top="1580" w:bottom="1240" w:left="1140" w:right="520"/>
        </w:sectPr>
      </w:pPr>
    </w:p>
    <w:p>
      <w:pPr>
        <w:pStyle w:val="Heading1"/>
        <w:tabs>
          <w:tab w:pos="9562" w:val="right" w:leader="dot"/>
        </w:tabs>
        <w:spacing w:before="102"/>
        <w:ind w:left="1128"/>
      </w:pPr>
      <w:r>
        <w:rPr/>
        <w:t>KAYNAKÇA</w:t>
        <w:tab/>
        <w:t>88</w:t>
      </w:r>
    </w:p>
    <w:p>
      <w:pPr>
        <w:pStyle w:val="Heading1"/>
        <w:tabs>
          <w:tab w:pos="9529" w:val="right" w:leader="dot"/>
        </w:tabs>
        <w:spacing w:before="552"/>
        <w:ind w:left="1128"/>
      </w:pPr>
      <w:r>
        <w:rPr/>
        <w:t>ÖZGEÇMİŞ</w:t>
        <w:tab/>
        <w:t>96</w:t>
      </w:r>
    </w:p>
    <w:p>
      <w:pPr>
        <w:pStyle w:val="BodyText"/>
        <w:tabs>
          <w:tab w:pos="9541" w:val="right" w:leader="dot"/>
        </w:tabs>
        <w:spacing w:before="548"/>
        <w:ind w:left="1128"/>
      </w:pPr>
      <w:r>
        <w:rPr/>
        <w:t>Ek-1. Etik Kurul</w:t>
      </w:r>
      <w:r>
        <w:rPr>
          <w:spacing w:val="-1"/>
        </w:rPr>
        <w:t> </w:t>
      </w:r>
      <w:r>
        <w:rPr/>
        <w:t>Onayı Formu</w:t>
        <w:tab/>
        <w:t>98</w:t>
      </w:r>
    </w:p>
    <w:p>
      <w:pPr>
        <w:pStyle w:val="BodyText"/>
        <w:tabs>
          <w:tab w:pos="9529" w:val="right" w:leader="dot"/>
        </w:tabs>
        <w:spacing w:before="137"/>
        <w:ind w:left="1128"/>
      </w:pPr>
      <w:r>
        <w:rPr/>
        <w:t>Ek-2. Araştırma Kurum İzni Formu</w:t>
        <w:tab/>
        <w:t>101</w:t>
      </w:r>
    </w:p>
    <w:p>
      <w:pPr>
        <w:pStyle w:val="BodyText"/>
        <w:tabs>
          <w:tab w:pos="9582" w:val="right" w:leader="dot"/>
        </w:tabs>
        <w:spacing w:before="139"/>
        <w:ind w:left="1128"/>
      </w:pPr>
      <w:r>
        <w:rPr/>
        <w:t>Ek-3. Araştırmada Kullanılan</w:t>
      </w:r>
      <w:r>
        <w:rPr>
          <w:spacing w:val="-2"/>
        </w:rPr>
        <w:t> </w:t>
      </w:r>
      <w:r>
        <w:rPr/>
        <w:t>Anket</w:t>
      </w:r>
      <w:r>
        <w:rPr>
          <w:spacing w:val="-1"/>
        </w:rPr>
        <w:t> </w:t>
      </w:r>
      <w:r>
        <w:rPr/>
        <w:t>Formu</w:t>
        <w:tab/>
        <w:t>102</w:t>
      </w:r>
    </w:p>
    <w:p>
      <w:pPr>
        <w:spacing w:after="0"/>
        <w:sectPr>
          <w:pgSz w:w="11910" w:h="16840"/>
          <w:pgMar w:header="0" w:footer="1049" w:top="1580" w:bottom="1240" w:left="1140" w:right="520"/>
        </w:sectPr>
      </w:pPr>
    </w:p>
    <w:p>
      <w:pPr>
        <w:pStyle w:val="BodyText"/>
        <w:rPr>
          <w:sz w:val="26"/>
        </w:rPr>
      </w:pPr>
    </w:p>
    <w:p>
      <w:pPr>
        <w:pStyle w:val="BodyText"/>
        <w:rPr>
          <w:sz w:val="26"/>
        </w:rPr>
      </w:pPr>
    </w:p>
    <w:p>
      <w:pPr>
        <w:pStyle w:val="BodyText"/>
        <w:rPr>
          <w:sz w:val="26"/>
        </w:rPr>
      </w:pPr>
    </w:p>
    <w:p>
      <w:pPr>
        <w:pStyle w:val="BodyText"/>
        <w:rPr>
          <w:sz w:val="26"/>
        </w:rPr>
      </w:pPr>
    </w:p>
    <w:p>
      <w:pPr>
        <w:pStyle w:val="Heading1"/>
        <w:spacing w:before="191"/>
        <w:ind w:left="1454" w:right="943"/>
        <w:jc w:val="center"/>
      </w:pPr>
      <w:bookmarkStart w:name="_TOC_250007" w:id="7"/>
      <w:bookmarkEnd w:id="7"/>
      <w:r>
        <w:rPr/>
        <w:t>TABLOLAR LİSTESİ</w:t>
      </w:r>
    </w:p>
    <w:p>
      <w:pPr>
        <w:pStyle w:val="BodyText"/>
        <w:rPr>
          <w:b/>
          <w:sz w:val="26"/>
        </w:rPr>
      </w:pPr>
    </w:p>
    <w:p>
      <w:pPr>
        <w:pStyle w:val="BodyText"/>
        <w:spacing w:before="6"/>
        <w:rPr>
          <w:b/>
          <w:sz w:val="21"/>
        </w:rPr>
      </w:pPr>
    </w:p>
    <w:p>
      <w:pPr>
        <w:pStyle w:val="BodyText"/>
        <w:tabs>
          <w:tab w:pos="9361" w:val="left" w:leader="dot"/>
        </w:tabs>
        <w:ind w:left="1128"/>
      </w:pPr>
      <w:r>
        <w:rPr/>
        <w:t>Tablo 3. 1. Gümüşhane ve Çevresindeki Depremler</w:t>
      </w:r>
      <w:r>
        <w:rPr>
          <w:spacing w:val="-18"/>
        </w:rPr>
        <w:t> </w:t>
      </w:r>
      <w:r>
        <w:rPr/>
        <w:t>ve</w:t>
      </w:r>
      <w:r>
        <w:rPr>
          <w:spacing w:val="-4"/>
        </w:rPr>
        <w:t> </w:t>
      </w:r>
      <w:r>
        <w:rPr/>
        <w:t>Etkileri</w:t>
        <w:tab/>
        <w:t>35</w:t>
      </w:r>
    </w:p>
    <w:p>
      <w:pPr>
        <w:pStyle w:val="BodyText"/>
        <w:tabs>
          <w:tab w:pos="9357" w:val="left" w:leader="dot"/>
        </w:tabs>
        <w:spacing w:before="140"/>
        <w:ind w:left="1128"/>
      </w:pPr>
      <w:r>
        <w:rPr/>
        <w:t>Tablo 3. 2.  Gümüşhane Afet ve Acil Durum Müdürlüğü Sel</w:t>
      </w:r>
      <w:r>
        <w:rPr>
          <w:spacing w:val="-18"/>
        </w:rPr>
        <w:t> </w:t>
      </w:r>
      <w:r>
        <w:rPr/>
        <w:t>Afeti</w:t>
      </w:r>
      <w:r>
        <w:rPr>
          <w:spacing w:val="-2"/>
        </w:rPr>
        <w:t> </w:t>
      </w:r>
      <w:r>
        <w:rPr/>
        <w:t>Kayıtları</w:t>
        <w:tab/>
        <w:t>36</w:t>
      </w:r>
    </w:p>
    <w:p>
      <w:pPr>
        <w:pStyle w:val="BodyText"/>
        <w:tabs>
          <w:tab w:pos="9388" w:val="left" w:leader="dot"/>
        </w:tabs>
        <w:spacing w:before="136"/>
        <w:ind w:left="1128"/>
      </w:pPr>
      <w:r>
        <w:rPr/>
        <w:t>Tablo 4. 1.</w:t>
      </w:r>
      <w:r>
        <w:rPr>
          <w:spacing w:val="-4"/>
        </w:rPr>
        <w:t> </w:t>
      </w:r>
      <w:r>
        <w:rPr/>
        <w:t>Güvenirlilik</w:t>
      </w:r>
      <w:r>
        <w:rPr>
          <w:spacing w:val="-2"/>
        </w:rPr>
        <w:t> </w:t>
      </w:r>
      <w:r>
        <w:rPr/>
        <w:t>Analizi</w:t>
        <w:tab/>
        <w:t>44</w:t>
      </w:r>
    </w:p>
    <w:p>
      <w:pPr>
        <w:pStyle w:val="BodyText"/>
        <w:tabs>
          <w:tab w:pos="9369" w:val="left" w:leader="dot"/>
        </w:tabs>
        <w:spacing w:before="140"/>
        <w:ind w:left="1128"/>
      </w:pPr>
      <w:r>
        <w:rPr/>
        <w:t>Tablo 4. 2. KMO ve</w:t>
      </w:r>
      <w:r>
        <w:rPr>
          <w:spacing w:val="-8"/>
        </w:rPr>
        <w:t> </w:t>
      </w:r>
      <w:r>
        <w:rPr/>
        <w:t>Bartlett’s</w:t>
      </w:r>
      <w:r>
        <w:rPr>
          <w:spacing w:val="-1"/>
        </w:rPr>
        <w:t> </w:t>
      </w:r>
      <w:r>
        <w:rPr/>
        <w:t>Testi</w:t>
        <w:tab/>
        <w:t>45</w:t>
      </w:r>
    </w:p>
    <w:p>
      <w:pPr>
        <w:pStyle w:val="BodyText"/>
        <w:tabs>
          <w:tab w:pos="9361" w:val="left" w:leader="dot"/>
        </w:tabs>
        <w:spacing w:before="137"/>
        <w:ind w:left="1128"/>
      </w:pPr>
      <w:r>
        <w:rPr/>
        <w:t>Tablo 4. 3. Açımlayıcı Faktör</w:t>
      </w:r>
      <w:r>
        <w:rPr>
          <w:spacing w:val="-6"/>
        </w:rPr>
        <w:t> </w:t>
      </w:r>
      <w:r>
        <w:rPr/>
        <w:t>Analizi Tablosu</w:t>
        <w:tab/>
        <w:t>46</w:t>
      </w:r>
    </w:p>
    <w:p>
      <w:pPr>
        <w:pStyle w:val="BodyText"/>
        <w:tabs>
          <w:tab w:pos="9364" w:val="left" w:leader="dot"/>
        </w:tabs>
        <w:spacing w:before="139"/>
        <w:ind w:left="1128"/>
      </w:pPr>
      <w:r>
        <w:rPr/>
        <w:t>Tablo 4. 4. Araştırma Grubundaki Kişilerin</w:t>
      </w:r>
      <w:r>
        <w:rPr>
          <w:spacing w:val="-10"/>
        </w:rPr>
        <w:t> </w:t>
      </w:r>
      <w:r>
        <w:rPr/>
        <w:t>Demografik</w:t>
      </w:r>
      <w:r>
        <w:rPr>
          <w:spacing w:val="-1"/>
        </w:rPr>
        <w:t> </w:t>
      </w:r>
      <w:r>
        <w:rPr/>
        <w:t>Verileri…</w:t>
        <w:tab/>
        <w:t>47</w:t>
      </w:r>
    </w:p>
    <w:p>
      <w:pPr>
        <w:pStyle w:val="BodyText"/>
        <w:tabs>
          <w:tab w:pos="9376" w:val="left" w:leader="dot"/>
        </w:tabs>
        <w:spacing w:before="137"/>
        <w:ind w:left="1128"/>
      </w:pPr>
      <w:r>
        <w:rPr/>
        <w:t>Tablo 4. 5. Araştırma Grubundaki Kişilerin Afetle İlgili</w:t>
      </w:r>
      <w:r>
        <w:rPr>
          <w:spacing w:val="-26"/>
        </w:rPr>
        <w:t> </w:t>
      </w:r>
      <w:r>
        <w:rPr/>
        <w:t>Bazı</w:t>
      </w:r>
      <w:r>
        <w:rPr>
          <w:spacing w:val="-2"/>
        </w:rPr>
        <w:t> </w:t>
      </w:r>
      <w:r>
        <w:rPr/>
        <w:t>Özellikleri</w:t>
        <w:tab/>
        <w:t>49</w:t>
      </w:r>
    </w:p>
    <w:p>
      <w:pPr>
        <w:pStyle w:val="BodyText"/>
        <w:tabs>
          <w:tab w:pos="9369" w:val="left" w:leader="dot"/>
        </w:tabs>
        <w:spacing w:line="360" w:lineRule="auto" w:before="139"/>
        <w:ind w:left="1128" w:right="612"/>
      </w:pPr>
      <w:r>
        <w:rPr/>
        <w:t>Tablo 4. 6. Araştırma Grubundaki Kişilerin Afet Planları İle İlgili Anket Sorularının İncelenmesi</w:t>
        <w:tab/>
        <w:t>50</w:t>
      </w:r>
    </w:p>
    <w:p>
      <w:pPr>
        <w:pStyle w:val="BodyText"/>
        <w:tabs>
          <w:tab w:pos="9369" w:val="left" w:leader="dot"/>
        </w:tabs>
        <w:spacing w:line="360" w:lineRule="auto"/>
        <w:ind w:left="1128" w:right="613"/>
      </w:pPr>
      <w:r>
        <w:rPr/>
        <w:t>Tablo 4. 7. Araştırma Grubundaki Kişilerin Afet Eğitim ve Tatbikatları İle İlgili Anket Sorularının</w:t>
      </w:r>
      <w:r>
        <w:rPr>
          <w:spacing w:val="-2"/>
        </w:rPr>
        <w:t> </w:t>
      </w:r>
      <w:r>
        <w:rPr/>
        <w:t>İncelenmesi</w:t>
        <w:tab/>
        <w:t>52</w:t>
      </w:r>
    </w:p>
    <w:p>
      <w:pPr>
        <w:pStyle w:val="BodyText"/>
        <w:tabs>
          <w:tab w:pos="9354" w:val="left" w:leader="dot"/>
        </w:tabs>
        <w:spacing w:line="360" w:lineRule="auto"/>
        <w:ind w:left="1128" w:right="616"/>
      </w:pPr>
      <w:r>
        <w:rPr/>
        <w:t>Tablo 4. 8. Araştırma Grubundaki Kişilerin KBRN Olaylarla ve Tehlikeli Maddelere Müdahale İle İlgili Anket</w:t>
      </w:r>
      <w:r>
        <w:rPr>
          <w:spacing w:val="-10"/>
        </w:rPr>
        <w:t> </w:t>
      </w:r>
      <w:r>
        <w:rPr/>
        <w:t>Sorularının</w:t>
      </w:r>
      <w:r>
        <w:rPr>
          <w:spacing w:val="-2"/>
        </w:rPr>
        <w:t> </w:t>
      </w:r>
      <w:r>
        <w:rPr/>
        <w:t>İncelenmesi</w:t>
        <w:tab/>
        <w:t>54</w:t>
      </w:r>
    </w:p>
    <w:p>
      <w:pPr>
        <w:pStyle w:val="BodyText"/>
        <w:tabs>
          <w:tab w:pos="9369" w:val="left" w:leader="dot"/>
        </w:tabs>
        <w:spacing w:line="360" w:lineRule="auto" w:before="1"/>
        <w:ind w:left="1128" w:right="613"/>
      </w:pPr>
      <w:r>
        <w:rPr/>
        <w:t>Tablo 4. 9. Araştırma Grubundaki Kişilerin Koordinasyonla İlgili Anket Sorularının İncelenmesi</w:t>
        <w:tab/>
        <w:t>56</w:t>
      </w:r>
    </w:p>
    <w:p>
      <w:pPr>
        <w:pStyle w:val="BodyText"/>
        <w:tabs>
          <w:tab w:pos="9369" w:val="left" w:leader="dot"/>
        </w:tabs>
        <w:spacing w:line="360" w:lineRule="auto"/>
        <w:ind w:left="1128" w:right="611"/>
      </w:pPr>
      <w:r>
        <w:rPr/>
        <w:t>Tablo 4. 10. Araştırma Grubundaki Kişilerin Personel ve Yöneticiler Hakkındaki Anket Sorularının</w:t>
      </w:r>
      <w:r>
        <w:rPr>
          <w:spacing w:val="-2"/>
        </w:rPr>
        <w:t> </w:t>
      </w:r>
      <w:r>
        <w:rPr/>
        <w:t>İncelenmesi</w:t>
        <w:tab/>
        <w:t>59</w:t>
      </w:r>
    </w:p>
    <w:p>
      <w:pPr>
        <w:pStyle w:val="BodyText"/>
        <w:tabs>
          <w:tab w:pos="9388" w:val="left" w:leader="dot"/>
        </w:tabs>
        <w:spacing w:line="360" w:lineRule="auto"/>
        <w:ind w:left="1128" w:right="616"/>
        <w:jc w:val="both"/>
      </w:pPr>
      <w:r>
        <w:rPr/>
        <w:t>Tablo 4. 11. Araştırma Grubundaki Kişilerin Liderlik, Ekip Yönetimi, Çalışma Yönetimi ve Stres Altında Çalışma İle İlgili Anket Sorularının İncelenmesi……62 Tablo 4. 12. Araştırma Grubundaki Kişilerin Triaj, Kayıtlar ve Özel Patolojiler Hakkında   Anket </w:t>
      </w:r>
      <w:r>
        <w:rPr>
          <w:spacing w:val="54"/>
        </w:rPr>
        <w:t> </w:t>
      </w:r>
      <w:r>
        <w:rPr/>
        <w:t>Sorularının  </w:t>
      </w:r>
      <w:r>
        <w:rPr>
          <w:spacing w:val="1"/>
        </w:rPr>
        <w:t> </w:t>
      </w:r>
      <w:r>
        <w:rPr/>
        <w:t>İncelenmesi</w:t>
        <w:tab/>
        <w:t>64</w:t>
      </w:r>
    </w:p>
    <w:p>
      <w:pPr>
        <w:pStyle w:val="BodyText"/>
        <w:tabs>
          <w:tab w:pos="9381" w:val="left" w:leader="dot"/>
        </w:tabs>
        <w:spacing w:line="360" w:lineRule="auto" w:before="1"/>
        <w:ind w:left="1128" w:right="620"/>
      </w:pPr>
      <w:r>
        <w:rPr/>
        <w:t>Tablo 4. 13. Araştırma Grubundaki Kişilerin Çevre Sağlığı, Ruh Sağlığı ve Toplum Sağlığı   Hizmetleri  İle  İlgili  Anket</w:t>
      </w:r>
      <w:r>
        <w:rPr>
          <w:spacing w:val="45"/>
        </w:rPr>
        <w:t> </w:t>
      </w:r>
      <w:r>
        <w:rPr/>
        <w:t>Sorularının </w:t>
      </w:r>
      <w:r>
        <w:rPr>
          <w:spacing w:val="1"/>
        </w:rPr>
        <w:t> </w:t>
      </w:r>
      <w:r>
        <w:rPr/>
        <w:t>İncelenmesi</w:t>
        <w:tab/>
        <w:t>66</w:t>
      </w:r>
    </w:p>
    <w:p>
      <w:pPr>
        <w:pStyle w:val="BodyText"/>
        <w:tabs>
          <w:tab w:pos="4580" w:val="left" w:leader="none"/>
          <w:tab w:pos="5660" w:val="left" w:leader="none"/>
          <w:tab w:pos="9349" w:val="left" w:leader="dot"/>
        </w:tabs>
        <w:spacing w:line="360" w:lineRule="auto"/>
        <w:ind w:left="1128" w:right="654"/>
      </w:pPr>
      <w:r>
        <w:rPr/>
        <w:t>Tablo 4. 14.</w:t>
      </w:r>
      <w:r>
        <w:rPr>
          <w:spacing w:val="-4"/>
        </w:rPr>
        <w:t> </w:t>
      </w:r>
      <w:r>
        <w:rPr/>
        <w:t>Gümüşhane </w:t>
      </w:r>
      <w:r>
        <w:rPr>
          <w:spacing w:val="58"/>
        </w:rPr>
        <w:t> </w:t>
      </w:r>
      <w:r>
        <w:rPr/>
        <w:t>112’de</w:t>
        <w:tab/>
        <w:t>Çalışan</w:t>
        <w:tab/>
        <w:t>Personelin Afet Planları İle İlgili Düşüncelerinin   Cinsiyete </w:t>
      </w:r>
      <w:r>
        <w:rPr>
          <w:spacing w:val="48"/>
        </w:rPr>
        <w:t> </w:t>
      </w:r>
      <w:r>
        <w:rPr/>
        <w:t>Göre </w:t>
      </w:r>
      <w:r>
        <w:rPr>
          <w:spacing w:val="56"/>
        </w:rPr>
        <w:t> </w:t>
      </w:r>
      <w:r>
        <w:rPr/>
        <w:t>Karşılaştırılması</w:t>
        <w:tab/>
        <w:t>68</w:t>
      </w:r>
    </w:p>
    <w:p>
      <w:pPr>
        <w:pStyle w:val="BodyText"/>
        <w:spacing w:line="360" w:lineRule="auto"/>
        <w:ind w:left="1128" w:right="616"/>
        <w:jc w:val="both"/>
      </w:pPr>
      <w:r>
        <w:rPr/>
        <w:t>Tablo 4. 15. Gümüşhane 112’de Çalışan Personelin Afet Planları İle İlgili Düşüncelerinin   Öğrenim   Durumuna  Göre  Karşılaştırılmas ı (Levene</w:t>
      </w:r>
      <w:r>
        <w:rPr>
          <w:spacing w:val="-22"/>
        </w:rPr>
        <w:t> </w:t>
      </w:r>
      <w:r>
        <w:rPr/>
        <w:t>Testi)………69</w:t>
      </w:r>
    </w:p>
    <w:p>
      <w:pPr>
        <w:spacing w:after="0" w:line="360" w:lineRule="auto"/>
        <w:jc w:val="both"/>
        <w:sectPr>
          <w:pgSz w:w="11910" w:h="16840"/>
          <w:pgMar w:header="0" w:footer="1049" w:top="1580" w:bottom="1240" w:left="1140" w:right="520"/>
        </w:sectPr>
      </w:pPr>
    </w:p>
    <w:p>
      <w:pPr>
        <w:pStyle w:val="BodyText"/>
        <w:tabs>
          <w:tab w:pos="3855" w:val="left" w:leader="none"/>
          <w:tab w:pos="4820" w:val="left" w:leader="none"/>
          <w:tab w:pos="5840" w:val="left" w:leader="none"/>
          <w:tab w:pos="9378" w:val="left" w:leader="dot"/>
        </w:tabs>
        <w:spacing w:line="360" w:lineRule="auto" w:before="98"/>
        <w:ind w:left="1128" w:right="625"/>
      </w:pPr>
      <w:r>
        <w:rPr/>
        <w:t>Tablo 4.</w:t>
      </w:r>
      <w:r>
        <w:rPr>
          <w:spacing w:val="-4"/>
        </w:rPr>
        <w:t> </w:t>
      </w:r>
      <w:r>
        <w:rPr/>
        <w:t>16.</w:t>
      </w:r>
      <w:r>
        <w:rPr>
          <w:spacing w:val="-2"/>
        </w:rPr>
        <w:t> </w:t>
      </w:r>
      <w:r>
        <w:rPr/>
        <w:t>Gümüşhane</w:t>
        <w:tab/>
        <w:t>112’de</w:t>
        <w:tab/>
        <w:t>Çalışan</w:t>
        <w:tab/>
        <w:t>Personelin Afet Planları İle İlgili Düşüncelerinin  Öğrenim   Durumuna  Göre  Karşılaştırılması</w:t>
      </w:r>
      <w:r>
        <w:rPr>
          <w:spacing w:val="44"/>
        </w:rPr>
        <w:t> </w:t>
      </w:r>
      <w:r>
        <w:rPr/>
        <w:t>(Anova</w:t>
      </w:r>
      <w:r>
        <w:rPr>
          <w:spacing w:val="-2"/>
        </w:rPr>
        <w:t> </w:t>
      </w:r>
      <w:r>
        <w:rPr/>
        <w:t>Testi)</w:t>
        <w:tab/>
        <w:t>69</w:t>
      </w:r>
    </w:p>
    <w:p>
      <w:pPr>
        <w:pStyle w:val="BodyText"/>
        <w:spacing w:line="360" w:lineRule="auto"/>
        <w:ind w:left="1128" w:right="616"/>
        <w:jc w:val="both"/>
      </w:pPr>
      <w:r>
        <w:rPr/>
        <w:t>Tablo 4. 17. Gümüşhane 112’de Çalışan Personelin Afet Eğitim ve Tatbikatları İle İlgili Düşüncelerinin Daha Önce Eğitim Alıp Almama Durumuna Göre Karşılaştırılması….70 Tablo 4. 18. Gümüşhane 112’de Çalışan Personelin Koordinasyon İle İlgili Düşüncelerinin Kurumdaki Görevine Göre Karşılaştırılması (Levene Testi)……71 Tablo 4. 19. Gümüşhane 112’de Çalışan Personelin Koordinasyon İle İlgili Düşüncelerinin   Kurumdaki   Görevine  Göre  Karşılaştırılması  (Anova Testi)         </w:t>
      </w:r>
      <w:r>
        <w:rPr>
          <w:spacing w:val="34"/>
        </w:rPr>
        <w:t> </w:t>
      </w:r>
      <w:r>
        <w:rPr/>
        <w:t>71</w:t>
      </w:r>
    </w:p>
    <w:p>
      <w:pPr>
        <w:pStyle w:val="BodyText"/>
        <w:tabs>
          <w:tab w:pos="9342" w:val="left" w:leader="dot"/>
        </w:tabs>
        <w:spacing w:line="360" w:lineRule="auto"/>
        <w:ind w:left="1128" w:right="650"/>
      </w:pPr>
      <w:r>
        <w:rPr/>
        <w:t>Tablo 4. 20. Gümüşhane 112’de Çalışan Personelin Afete Hazırlık Düzeyinin Değerlendirilmesi</w:t>
        <w:tab/>
        <w:t>72</w:t>
      </w:r>
    </w:p>
    <w:p>
      <w:pPr>
        <w:pStyle w:val="BodyText"/>
        <w:tabs>
          <w:tab w:pos="9342" w:val="left" w:leader="dot"/>
        </w:tabs>
        <w:spacing w:line="360" w:lineRule="auto" w:before="1"/>
        <w:ind w:left="1128" w:right="650"/>
      </w:pPr>
      <w:r>
        <w:rPr/>
        <w:t>Tablo 4. 21. Gümüşhane 112’de Çalışan Personelin Afete Hazırlık Düzeyinin Değerlendirilmesi</w:t>
        <w:tab/>
        <w:t>73</w:t>
      </w:r>
    </w:p>
    <w:p>
      <w:pPr>
        <w:pStyle w:val="BodyText"/>
        <w:tabs>
          <w:tab w:pos="9342" w:val="left" w:leader="dot"/>
        </w:tabs>
        <w:spacing w:line="360" w:lineRule="auto"/>
        <w:ind w:left="1128" w:right="650"/>
      </w:pPr>
      <w:r>
        <w:rPr/>
        <w:t>Tablo 4. 22. Gümüşhane 112’de Çalışan Personelin Afete Hazırlık Düzeyinin Değerlendirilmesi</w:t>
        <w:tab/>
        <w:t>73</w:t>
      </w:r>
    </w:p>
    <w:p>
      <w:pPr>
        <w:pStyle w:val="BodyText"/>
        <w:tabs>
          <w:tab w:pos="9354" w:val="left" w:leader="dot"/>
        </w:tabs>
        <w:spacing w:line="360" w:lineRule="auto"/>
        <w:ind w:left="1128" w:right="621"/>
      </w:pPr>
      <w:r>
        <w:rPr/>
        <w:t>Tablo 4. 23. Gümüşhane 112’de Çalışan Personelin KBRN Olaylarına ve Tehlikeli Maddelere Müdahale İle İlgili Düşüncelerinin Cinsiyete</w:t>
      </w:r>
      <w:r>
        <w:rPr>
          <w:spacing w:val="-11"/>
        </w:rPr>
        <w:t> </w:t>
      </w:r>
      <w:r>
        <w:rPr/>
        <w:t>Göre</w:t>
      </w:r>
      <w:r>
        <w:rPr>
          <w:spacing w:val="-4"/>
        </w:rPr>
        <w:t> </w:t>
      </w:r>
      <w:r>
        <w:rPr/>
        <w:t>Karşılaştırılması</w:t>
        <w:tab/>
        <w:t>74</w:t>
      </w:r>
    </w:p>
    <w:p>
      <w:pPr>
        <w:pStyle w:val="BodyText"/>
        <w:tabs>
          <w:tab w:pos="9369" w:val="left" w:leader="dot"/>
        </w:tabs>
        <w:spacing w:line="360" w:lineRule="auto"/>
        <w:ind w:left="1128" w:right="617"/>
      </w:pPr>
      <w:r>
        <w:rPr/>
        <w:t>Tablo 4. 24. Gümüşhane 112’de Çalışan Personelin KBRN Olaylarına ve Tehlikeli Maddelere Müdahale İle İlgili Düşüncelerinin Mesleğe Göre Karşılaştırılması (Levene Testi)</w:t>
        <w:tab/>
        <w:t>75</w:t>
      </w:r>
    </w:p>
    <w:p>
      <w:pPr>
        <w:pStyle w:val="BodyText"/>
        <w:tabs>
          <w:tab w:pos="9369" w:val="left" w:leader="dot"/>
        </w:tabs>
        <w:spacing w:line="360" w:lineRule="auto"/>
        <w:ind w:left="1128" w:right="617"/>
      </w:pPr>
      <w:r>
        <w:rPr/>
        <w:t>Tablo 4. 25. Gümüşhane 112’de Çalışan Personelin KBRN Olaylarına ve Tehlikeli Maddelere Müdahale İle İlgili Düşüncelerinin Mesleğe Göre Karşılaştırılması (Anova Testi)</w:t>
        <w:tab/>
        <w:t>75</w:t>
      </w:r>
    </w:p>
    <w:p>
      <w:pPr>
        <w:pStyle w:val="BodyText"/>
        <w:tabs>
          <w:tab w:pos="9349" w:val="left" w:leader="dot"/>
        </w:tabs>
        <w:spacing w:line="360" w:lineRule="auto"/>
        <w:ind w:left="1128" w:right="626"/>
        <w:jc w:val="both"/>
      </w:pPr>
      <w:r>
        <w:rPr/>
        <w:t>Tablo 4. 26. Gümüşhane 112’de Çalışan Personelin Personel ve Yöneticiler Hakkında Düşünceleri ile Liderlik, Ekip Yönetimi, Çalışma Yönetimi ve Stres Altında Çalışmasına </w:t>
      </w:r>
      <w:r>
        <w:rPr>
          <w:spacing w:val="54"/>
        </w:rPr>
        <w:t> </w:t>
      </w:r>
      <w:r>
        <w:rPr/>
        <w:t>Göre </w:t>
      </w:r>
      <w:r>
        <w:rPr>
          <w:spacing w:val="53"/>
        </w:rPr>
        <w:t> </w:t>
      </w:r>
      <w:r>
        <w:rPr/>
        <w:t>Karşılaştırılması</w:t>
        <w:tab/>
        <w:t>76</w:t>
      </w:r>
    </w:p>
    <w:p>
      <w:pPr>
        <w:pStyle w:val="BodyText"/>
        <w:tabs>
          <w:tab w:pos="9381" w:val="left" w:leader="dot"/>
        </w:tabs>
        <w:spacing w:line="360" w:lineRule="auto"/>
        <w:ind w:left="1128" w:right="623"/>
      </w:pPr>
      <w:r>
        <w:rPr/>
        <w:t>Tablo 4. 27. Gümüşhane 112’de Çalışan Personelin Triaj, Kayıtlar ve Özel Patolojiler İle İlgili Düşüncelerinin Daha Önce Bir Afette veya Olağan Dışı Durumda Görev Alma Durumuna</w:t>
      </w:r>
      <w:r>
        <w:rPr>
          <w:spacing w:val="57"/>
        </w:rPr>
        <w:t> </w:t>
      </w:r>
      <w:r>
        <w:rPr/>
        <w:t>Göre</w:t>
      </w:r>
      <w:r>
        <w:rPr>
          <w:spacing w:val="58"/>
        </w:rPr>
        <w:t> </w:t>
      </w:r>
      <w:r>
        <w:rPr/>
        <w:t>Karşılaştırılması</w:t>
        <w:tab/>
        <w:t>78</w:t>
      </w:r>
    </w:p>
    <w:p>
      <w:pPr>
        <w:pStyle w:val="BodyText"/>
        <w:tabs>
          <w:tab w:pos="9342" w:val="left" w:leader="dot"/>
        </w:tabs>
        <w:spacing w:line="360" w:lineRule="auto"/>
        <w:ind w:left="1128" w:right="661"/>
      </w:pPr>
      <w:r>
        <w:rPr/>
        <w:t>Tablo 4. 28. Gümüşhane 112’de Çalışan Personelin Liderlik, Ekip Yönetimi, Çalışma Yönetimi ve Stres Altına Çalışma İle İlgili Düşüncelerinin Çalıştığı Kuruma Göre Karşılaştırılması</w:t>
      </w:r>
      <w:r>
        <w:rPr>
          <w:spacing w:val="-3"/>
        </w:rPr>
        <w:t> </w:t>
      </w:r>
      <w:r>
        <w:rPr/>
        <w:t>(Levene</w:t>
      </w:r>
      <w:r>
        <w:rPr>
          <w:spacing w:val="-1"/>
        </w:rPr>
        <w:t> </w:t>
      </w:r>
      <w:r>
        <w:rPr/>
        <w:t>Testi)</w:t>
        <w:tab/>
        <w:t>78</w:t>
      </w:r>
    </w:p>
    <w:p>
      <w:pPr>
        <w:spacing w:after="0" w:line="360" w:lineRule="auto"/>
        <w:sectPr>
          <w:footerReference w:type="default" r:id="rId8"/>
          <w:pgSz w:w="11910" w:h="16840"/>
          <w:pgMar w:footer="1049" w:header="0" w:top="1580" w:bottom="1240" w:left="1140" w:right="520"/>
          <w:pgNumType w:start="14"/>
        </w:sectPr>
      </w:pPr>
    </w:p>
    <w:p>
      <w:pPr>
        <w:pStyle w:val="BodyText"/>
        <w:tabs>
          <w:tab w:pos="9335" w:val="left" w:leader="dot"/>
        </w:tabs>
        <w:spacing w:line="360" w:lineRule="auto" w:before="98"/>
        <w:ind w:left="1128" w:right="648"/>
        <w:jc w:val="both"/>
      </w:pPr>
      <w:r>
        <w:rPr/>
        <w:t>Tablo 4. 29. Gümüşhane 112’de Çalışan Personelin Liderlik, Ekip Yönetimi, Çalışma Yönetimi ve Stres Altına Çalışma ile İlgili Düşüncelerinin Çalıştığı Kuruma Göre Karşılaştırılması</w:t>
      </w:r>
      <w:r>
        <w:rPr>
          <w:spacing w:val="-2"/>
        </w:rPr>
        <w:t> </w:t>
      </w:r>
      <w:r>
        <w:rPr/>
        <w:t>(Anova Testi)</w:t>
        <w:tab/>
        <w:t>79</w:t>
      </w:r>
    </w:p>
    <w:p>
      <w:pPr>
        <w:pStyle w:val="BodyText"/>
        <w:tabs>
          <w:tab w:pos="9376" w:val="left" w:leader="dot"/>
        </w:tabs>
        <w:spacing w:line="360" w:lineRule="auto"/>
        <w:ind w:left="1128" w:right="628"/>
        <w:jc w:val="both"/>
      </w:pPr>
      <w:r>
        <w:rPr/>
        <w:t>Tablo 4. 30. Gümüşhane 112’de Çalışan Personelin Triaj, Kayıtlar ve Özel Patolojiler ile İlgili Düşünceler ile Çevre Sağlığı, Ruh Sağlığı ve Toplum Sağlığına Göre Karşılaştırılması</w:t>
        <w:tab/>
        <w:t>80</w:t>
      </w:r>
    </w:p>
    <w:p>
      <w:pPr>
        <w:spacing w:after="0" w:line="360" w:lineRule="auto"/>
        <w:jc w:val="both"/>
        <w:sectPr>
          <w:footerReference w:type="default" r:id="rId9"/>
          <w:pgSz w:w="11910" w:h="16840"/>
          <w:pgMar w:footer="1049" w:header="0" w:top="1580" w:bottom="1240" w:left="1140" w:right="520"/>
          <w:pgNumType w:start="15"/>
        </w:sectPr>
      </w:pPr>
    </w:p>
    <w:p>
      <w:pPr>
        <w:pStyle w:val="BodyText"/>
        <w:rPr>
          <w:sz w:val="26"/>
        </w:rPr>
      </w:pPr>
    </w:p>
    <w:p>
      <w:pPr>
        <w:pStyle w:val="BodyText"/>
        <w:rPr>
          <w:sz w:val="26"/>
        </w:rPr>
      </w:pPr>
    </w:p>
    <w:p>
      <w:pPr>
        <w:pStyle w:val="BodyText"/>
        <w:spacing w:before="10"/>
        <w:rPr>
          <w:sz w:val="28"/>
        </w:rPr>
      </w:pPr>
    </w:p>
    <w:p>
      <w:pPr>
        <w:pStyle w:val="Heading1"/>
        <w:spacing w:before="1"/>
        <w:ind w:left="1455" w:right="943"/>
        <w:jc w:val="center"/>
      </w:pPr>
      <w:bookmarkStart w:name="_TOC_250006" w:id="8"/>
      <w:bookmarkEnd w:id="8"/>
      <w:r>
        <w:rPr/>
        <w:t>ŞEKİLLER LİSTESİ</w:t>
      </w:r>
    </w:p>
    <w:p>
      <w:pPr>
        <w:pStyle w:val="BodyText"/>
        <w:rPr>
          <w:b/>
          <w:sz w:val="26"/>
        </w:rPr>
      </w:pPr>
    </w:p>
    <w:p>
      <w:pPr>
        <w:pStyle w:val="BodyText"/>
        <w:spacing w:before="6"/>
        <w:rPr>
          <w:b/>
          <w:sz w:val="21"/>
        </w:rPr>
      </w:pPr>
    </w:p>
    <w:p>
      <w:pPr>
        <w:pStyle w:val="BodyText"/>
        <w:tabs>
          <w:tab w:pos="9477" w:val="left" w:leader="dot"/>
        </w:tabs>
        <w:ind w:left="1128"/>
      </w:pPr>
      <w:r>
        <w:rPr/>
        <w:t>Şekil 1. 1. Afet, Tehlike ve</w:t>
      </w:r>
      <w:r>
        <w:rPr>
          <w:spacing w:val="-5"/>
        </w:rPr>
        <w:t> </w:t>
      </w:r>
      <w:r>
        <w:rPr/>
        <w:t>Savunmasızlık</w:t>
      </w:r>
      <w:r>
        <w:rPr>
          <w:spacing w:val="-1"/>
        </w:rPr>
        <w:t> </w:t>
      </w:r>
      <w:r>
        <w:rPr/>
        <w:t>Şekli</w:t>
        <w:tab/>
        <w:t>4</w:t>
      </w:r>
    </w:p>
    <w:p>
      <w:pPr>
        <w:pStyle w:val="BodyText"/>
        <w:tabs>
          <w:tab w:pos="9491" w:val="left" w:leader="dot"/>
        </w:tabs>
        <w:spacing w:before="137"/>
        <w:ind w:left="1128"/>
      </w:pPr>
      <w:r>
        <w:rPr/>
        <w:t>Şekil 1. 2. Deprem</w:t>
      </w:r>
      <w:r>
        <w:rPr>
          <w:spacing w:val="-7"/>
        </w:rPr>
        <w:t> </w:t>
      </w:r>
      <w:r>
        <w:rPr/>
        <w:t>Bölge</w:t>
      </w:r>
      <w:r>
        <w:rPr>
          <w:spacing w:val="-1"/>
        </w:rPr>
        <w:t> </w:t>
      </w:r>
      <w:r>
        <w:rPr/>
        <w:t>Haritası</w:t>
        <w:tab/>
        <w:t>8</w:t>
      </w:r>
    </w:p>
    <w:p>
      <w:pPr>
        <w:pStyle w:val="BodyText"/>
        <w:tabs>
          <w:tab w:pos="9361" w:val="left" w:leader="dot"/>
        </w:tabs>
        <w:spacing w:before="139"/>
        <w:ind w:left="1128"/>
      </w:pPr>
      <w:r>
        <w:rPr/>
        <w:t>Şekil 2. 1. Afet</w:t>
      </w:r>
      <w:r>
        <w:rPr>
          <w:spacing w:val="-8"/>
        </w:rPr>
        <w:t> </w:t>
      </w:r>
      <w:r>
        <w:rPr/>
        <w:t>Yönetim</w:t>
      </w:r>
      <w:r>
        <w:rPr>
          <w:spacing w:val="-1"/>
        </w:rPr>
        <w:t> </w:t>
      </w:r>
      <w:r>
        <w:rPr/>
        <w:t>Evreleri</w:t>
        <w:tab/>
        <w:t>13</w:t>
      </w:r>
    </w:p>
    <w:p>
      <w:pPr>
        <w:pStyle w:val="BodyText"/>
        <w:tabs>
          <w:tab w:pos="9383" w:val="left" w:leader="dot"/>
        </w:tabs>
        <w:spacing w:before="137"/>
        <w:ind w:left="1128"/>
      </w:pPr>
      <w:r>
        <w:rPr/>
        <w:t>Şekil 2. 2. AFAD</w:t>
      </w:r>
      <w:r>
        <w:rPr>
          <w:spacing w:val="-6"/>
        </w:rPr>
        <w:t> </w:t>
      </w:r>
      <w:r>
        <w:rPr/>
        <w:t>Teşkilat</w:t>
      </w:r>
      <w:r>
        <w:rPr>
          <w:spacing w:val="-2"/>
        </w:rPr>
        <w:t> </w:t>
      </w:r>
      <w:r>
        <w:rPr/>
        <w:t>Şeması</w:t>
        <w:tab/>
        <w:t>22</w:t>
      </w:r>
    </w:p>
    <w:p>
      <w:pPr>
        <w:pStyle w:val="BodyText"/>
        <w:tabs>
          <w:tab w:pos="9335" w:val="left" w:leader="dot"/>
        </w:tabs>
        <w:spacing w:before="139"/>
        <w:ind w:left="1128"/>
      </w:pPr>
      <w:r>
        <w:rPr/>
        <w:t>Şekil 2. 3. Japonya Daimi Örgütlenme</w:t>
      </w:r>
      <w:r>
        <w:rPr>
          <w:spacing w:val="-13"/>
        </w:rPr>
        <w:t> </w:t>
      </w:r>
      <w:r>
        <w:rPr/>
        <w:t>Teşkilat</w:t>
      </w:r>
      <w:r>
        <w:rPr>
          <w:spacing w:val="-2"/>
        </w:rPr>
        <w:t> </w:t>
      </w:r>
      <w:r>
        <w:rPr/>
        <w:t>Yapısı</w:t>
        <w:tab/>
        <w:t>28</w:t>
      </w:r>
    </w:p>
    <w:p>
      <w:pPr>
        <w:pStyle w:val="BodyText"/>
        <w:tabs>
          <w:tab w:pos="9369" w:val="left" w:leader="dot"/>
        </w:tabs>
        <w:spacing w:before="138"/>
        <w:ind w:left="1128"/>
      </w:pPr>
      <w:r>
        <w:rPr/>
        <w:t>Şekil 3. 1. Gümüşhane Merkez ve</w:t>
      </w:r>
      <w:r>
        <w:rPr>
          <w:spacing w:val="-12"/>
        </w:rPr>
        <w:t> </w:t>
      </w:r>
      <w:r>
        <w:rPr/>
        <w:t>İlçeleri</w:t>
      </w:r>
      <w:r>
        <w:rPr>
          <w:spacing w:val="-3"/>
        </w:rPr>
        <w:t> </w:t>
      </w:r>
      <w:r>
        <w:rPr/>
        <w:t>Haritası</w:t>
        <w:tab/>
        <w:t>32</w:t>
      </w:r>
    </w:p>
    <w:p>
      <w:pPr>
        <w:pStyle w:val="BodyText"/>
        <w:tabs>
          <w:tab w:pos="9342" w:val="left" w:leader="dot"/>
        </w:tabs>
        <w:spacing w:before="139"/>
        <w:ind w:left="1128"/>
      </w:pPr>
      <w:r>
        <w:rPr/>
        <w:t>Şekil 3. 2. Gümüşhane</w:t>
      </w:r>
      <w:r>
        <w:rPr>
          <w:spacing w:val="-9"/>
        </w:rPr>
        <w:t> </w:t>
      </w:r>
      <w:r>
        <w:rPr/>
        <w:t>Deprem</w:t>
      </w:r>
      <w:r>
        <w:rPr>
          <w:spacing w:val="-1"/>
        </w:rPr>
        <w:t> </w:t>
      </w:r>
      <w:r>
        <w:rPr/>
        <w:t>Haritası</w:t>
        <w:tab/>
        <w:t>34</w:t>
      </w:r>
    </w:p>
    <w:p>
      <w:pPr>
        <w:pStyle w:val="BodyText"/>
        <w:tabs>
          <w:tab w:pos="9361" w:val="left" w:leader="dot"/>
        </w:tabs>
        <w:spacing w:before="137"/>
        <w:ind w:left="1128"/>
      </w:pPr>
      <w:r>
        <w:rPr/>
        <w:t>Şekil 3. 3. Gümüşhane İli Heyelan</w:t>
      </w:r>
      <w:r>
        <w:rPr>
          <w:spacing w:val="-11"/>
        </w:rPr>
        <w:t> </w:t>
      </w:r>
      <w:r>
        <w:rPr/>
        <w:t>Risk</w:t>
      </w:r>
      <w:r>
        <w:rPr>
          <w:spacing w:val="-4"/>
        </w:rPr>
        <w:t> </w:t>
      </w:r>
      <w:r>
        <w:rPr/>
        <w:t>Haritası</w:t>
        <w:tab/>
        <w:t>37</w:t>
      </w:r>
    </w:p>
    <w:p>
      <w:pPr>
        <w:pStyle w:val="BodyText"/>
        <w:tabs>
          <w:tab w:pos="9342" w:val="left" w:leader="dot"/>
        </w:tabs>
        <w:spacing w:before="139"/>
        <w:ind w:left="1128"/>
      </w:pPr>
      <w:r>
        <w:rPr/>
        <w:t>Şekil 4. 1.</w:t>
      </w:r>
      <w:r>
        <w:rPr>
          <w:spacing w:val="-8"/>
        </w:rPr>
        <w:t> </w:t>
      </w:r>
      <w:r>
        <w:rPr/>
        <w:t>Araştırmanın</w:t>
      </w:r>
      <w:r>
        <w:rPr>
          <w:spacing w:val="-2"/>
        </w:rPr>
        <w:t> </w:t>
      </w:r>
      <w:r>
        <w:rPr/>
        <w:t>Modeli</w:t>
        <w:tab/>
        <w:t>41</w:t>
      </w:r>
    </w:p>
    <w:p>
      <w:pPr>
        <w:spacing w:after="0"/>
        <w:sectPr>
          <w:pgSz w:w="11910" w:h="16840"/>
          <w:pgMar w:header="0" w:footer="1049"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3975"/>
      </w:pPr>
      <w:bookmarkStart w:name="_TOC_250005" w:id="9"/>
      <w:bookmarkEnd w:id="9"/>
      <w:r>
        <w:rPr/>
        <w:t>KISALTMALAR LİSTESİ</w:t>
      </w:r>
    </w:p>
    <w:p>
      <w:pPr>
        <w:pStyle w:val="BodyText"/>
        <w:rPr>
          <w:b/>
          <w:sz w:val="26"/>
        </w:rPr>
      </w:pPr>
    </w:p>
    <w:p>
      <w:pPr>
        <w:pStyle w:val="BodyText"/>
        <w:spacing w:before="6"/>
        <w:rPr>
          <w:b/>
          <w:sz w:val="21"/>
        </w:rPr>
      </w:pPr>
    </w:p>
    <w:p>
      <w:pPr>
        <w:pStyle w:val="BodyText"/>
        <w:tabs>
          <w:tab w:pos="2544" w:val="left" w:leader="none"/>
          <w:tab w:pos="3252" w:val="left" w:leader="none"/>
        </w:tabs>
        <w:spacing w:line="463" w:lineRule="auto"/>
        <w:ind w:left="1128" w:right="2907"/>
      </w:pPr>
      <w:r>
        <w:rPr>
          <w:b/>
        </w:rPr>
        <w:t>AADKK</w:t>
        <w:tab/>
      </w:r>
      <w:r>
        <w:rPr/>
        <w:t>:</w:t>
        <w:tab/>
        <w:t>Afet ve Acil Durum Koordinasyon Kurulu </w:t>
      </w:r>
      <w:r>
        <w:rPr>
          <w:b/>
        </w:rPr>
        <w:t>AADYK</w:t>
        <w:tab/>
      </w:r>
      <w:r>
        <w:rPr/>
        <w:t>:</w:t>
        <w:tab/>
        <w:t>Afet ve Acil Durum Yüksek Kurulu </w:t>
      </w:r>
      <w:r>
        <w:rPr>
          <w:b/>
        </w:rPr>
        <w:t>AADYM</w:t>
        <w:tab/>
      </w:r>
      <w:r>
        <w:rPr/>
        <w:t>:</w:t>
        <w:tab/>
        <w:t>Afet ve Acil Durum Yönetim Merkezi </w:t>
      </w:r>
      <w:r>
        <w:rPr>
          <w:b/>
        </w:rPr>
        <w:t>ABD</w:t>
        <w:tab/>
      </w:r>
      <w:r>
        <w:rPr/>
        <w:t>:</w:t>
        <w:tab/>
        <w:t>Amerika Birleşik</w:t>
      </w:r>
      <w:r>
        <w:rPr>
          <w:spacing w:val="-2"/>
        </w:rPr>
        <w:t> </w:t>
      </w:r>
      <w:r>
        <w:rPr/>
        <w:t>Devletleri</w:t>
      </w:r>
    </w:p>
    <w:p>
      <w:pPr>
        <w:pStyle w:val="BodyText"/>
        <w:tabs>
          <w:tab w:pos="2544" w:val="left" w:leader="none"/>
          <w:tab w:pos="3252" w:val="left" w:leader="none"/>
        </w:tabs>
        <w:spacing w:before="6"/>
        <w:ind w:left="1128"/>
      </w:pPr>
      <w:r>
        <w:rPr>
          <w:b/>
        </w:rPr>
        <w:t>AFAD</w:t>
        <w:tab/>
      </w:r>
      <w:r>
        <w:rPr/>
        <w:t>:</w:t>
        <w:tab/>
        <w:t>Afet ve Acil Durum Yönetimi</w:t>
      </w:r>
      <w:r>
        <w:rPr>
          <w:spacing w:val="-2"/>
        </w:rPr>
        <w:t> </w:t>
      </w:r>
      <w:r>
        <w:rPr/>
        <w:t>Başkanlığı</w:t>
      </w:r>
    </w:p>
    <w:p>
      <w:pPr>
        <w:pStyle w:val="BodyText"/>
        <w:spacing w:before="4"/>
        <w:rPr>
          <w:sz w:val="22"/>
        </w:rPr>
      </w:pPr>
    </w:p>
    <w:p>
      <w:pPr>
        <w:pStyle w:val="BodyText"/>
        <w:tabs>
          <w:tab w:pos="2544" w:val="left" w:leader="none"/>
          <w:tab w:pos="3252" w:val="left" w:leader="none"/>
        </w:tabs>
        <w:ind w:left="1128"/>
      </w:pPr>
      <w:r>
        <w:rPr>
          <w:b/>
        </w:rPr>
        <w:t>EPC</w:t>
        <w:tab/>
      </w:r>
      <w:r>
        <w:rPr/>
        <w:t>:</w:t>
        <w:tab/>
        <w:t>Emegency Preparedness</w:t>
      </w:r>
      <w:r>
        <w:rPr>
          <w:spacing w:val="-4"/>
        </w:rPr>
        <w:t> </w:t>
      </w:r>
      <w:r>
        <w:rPr/>
        <w:t>Canada</w:t>
      </w:r>
    </w:p>
    <w:p>
      <w:pPr>
        <w:pStyle w:val="BodyText"/>
        <w:spacing w:before="6"/>
        <w:rPr>
          <w:sz w:val="22"/>
        </w:rPr>
      </w:pPr>
    </w:p>
    <w:p>
      <w:pPr>
        <w:pStyle w:val="BodyText"/>
        <w:tabs>
          <w:tab w:pos="2544" w:val="left" w:leader="none"/>
          <w:tab w:pos="3252" w:val="left" w:leader="none"/>
        </w:tabs>
        <w:ind w:left="1128"/>
      </w:pPr>
      <w:r>
        <w:rPr>
          <w:b/>
        </w:rPr>
        <w:t>FEMA</w:t>
        <w:tab/>
      </w:r>
      <w:r>
        <w:rPr/>
        <w:t>:</w:t>
        <w:tab/>
        <w:t>Federal Emergency Management</w:t>
      </w:r>
      <w:r>
        <w:rPr>
          <w:spacing w:val="-5"/>
        </w:rPr>
        <w:t> </w:t>
      </w:r>
      <w:r>
        <w:rPr/>
        <w:t>Agency</w:t>
      </w:r>
    </w:p>
    <w:p>
      <w:pPr>
        <w:pStyle w:val="BodyText"/>
        <w:spacing w:before="4"/>
        <w:rPr>
          <w:sz w:val="22"/>
        </w:rPr>
      </w:pPr>
    </w:p>
    <w:p>
      <w:pPr>
        <w:pStyle w:val="BodyText"/>
        <w:tabs>
          <w:tab w:pos="2544" w:val="left" w:leader="none"/>
          <w:tab w:pos="3312" w:val="left" w:leader="none"/>
        </w:tabs>
        <w:ind w:left="1128"/>
      </w:pPr>
      <w:r>
        <w:rPr>
          <w:b/>
        </w:rPr>
        <w:t>KBRN</w:t>
        <w:tab/>
      </w:r>
      <w:r>
        <w:rPr/>
        <w:t>:</w:t>
        <w:tab/>
        <w:t>Kimyasal Biyolojik Radyolojik Nükleer Tehlikeli Maddeler</w:t>
      </w:r>
    </w:p>
    <w:p>
      <w:pPr>
        <w:pStyle w:val="BodyText"/>
        <w:spacing w:before="6"/>
        <w:rPr>
          <w:sz w:val="22"/>
        </w:rPr>
      </w:pPr>
    </w:p>
    <w:p>
      <w:pPr>
        <w:pStyle w:val="BodyText"/>
        <w:tabs>
          <w:tab w:pos="2544" w:val="left" w:leader="none"/>
          <w:tab w:pos="3252" w:val="left" w:leader="none"/>
        </w:tabs>
        <w:spacing w:before="1"/>
        <w:ind w:left="1128"/>
      </w:pPr>
      <w:r>
        <w:rPr>
          <w:b/>
        </w:rPr>
        <w:t>KMO</w:t>
        <w:tab/>
      </w:r>
      <w:r>
        <w:rPr/>
        <w:t>:</w:t>
        <w:tab/>
        <w:t>Kaiser-Meyer-Olkin</w:t>
      </w:r>
    </w:p>
    <w:p>
      <w:pPr>
        <w:pStyle w:val="BodyText"/>
        <w:spacing w:before="3"/>
        <w:rPr>
          <w:sz w:val="22"/>
        </w:rPr>
      </w:pPr>
    </w:p>
    <w:p>
      <w:pPr>
        <w:pStyle w:val="BodyText"/>
        <w:tabs>
          <w:tab w:pos="2544" w:val="left" w:leader="none"/>
          <w:tab w:pos="3252" w:val="left" w:leader="none"/>
        </w:tabs>
        <w:ind w:left="1128"/>
      </w:pPr>
      <w:r>
        <w:rPr>
          <w:b/>
        </w:rPr>
        <w:t>NLA</w:t>
        <w:tab/>
      </w:r>
      <w:r>
        <w:rPr/>
        <w:t>:</w:t>
        <w:tab/>
        <w:t>National Land</w:t>
      </w:r>
      <w:r>
        <w:rPr>
          <w:spacing w:val="1"/>
        </w:rPr>
        <w:t> </w:t>
      </w:r>
      <w:r>
        <w:rPr/>
        <w:t>Agecy</w:t>
      </w:r>
    </w:p>
    <w:p>
      <w:pPr>
        <w:pStyle w:val="BodyText"/>
        <w:spacing w:before="7"/>
        <w:rPr>
          <w:sz w:val="22"/>
        </w:rPr>
      </w:pPr>
    </w:p>
    <w:p>
      <w:pPr>
        <w:pStyle w:val="BodyText"/>
        <w:tabs>
          <w:tab w:pos="2544" w:val="left" w:leader="none"/>
          <w:tab w:pos="3252" w:val="left" w:leader="none"/>
        </w:tabs>
        <w:spacing w:line="463" w:lineRule="auto"/>
        <w:ind w:left="1128" w:right="2935"/>
      </w:pPr>
      <w:r>
        <w:rPr>
          <w:b/>
        </w:rPr>
        <w:t>SPSS</w:t>
        <w:tab/>
      </w:r>
      <w:r>
        <w:rPr/>
        <w:t>:</w:t>
        <w:tab/>
        <w:t>Statiscal Package For The Social Sciences </w:t>
      </w:r>
      <w:r>
        <w:rPr>
          <w:b/>
        </w:rPr>
        <w:t>TMMOB</w:t>
        <w:tab/>
      </w:r>
      <w:r>
        <w:rPr/>
        <w:t>:</w:t>
        <w:tab/>
        <w:t>Türk Mühendis ve Mimar Odaları Birliği </w:t>
      </w:r>
      <w:r>
        <w:rPr>
          <w:b/>
        </w:rPr>
        <w:t>TUİK</w:t>
        <w:tab/>
      </w:r>
      <w:r>
        <w:rPr/>
        <w:t>:</w:t>
        <w:tab/>
        <w:t>Türkiye İstatistik</w:t>
      </w:r>
      <w:r>
        <w:rPr>
          <w:spacing w:val="1"/>
        </w:rPr>
        <w:t> </w:t>
      </w:r>
      <w:r>
        <w:rPr/>
        <w:t>Kurumu</w:t>
      </w:r>
    </w:p>
    <w:p>
      <w:pPr>
        <w:spacing w:after="0" w:line="463" w:lineRule="auto"/>
        <w:sectPr>
          <w:pgSz w:w="11910" w:h="16840"/>
          <w:pgMar w:header="0" w:footer="1049"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5041"/>
      </w:pPr>
      <w:bookmarkStart w:name="_TOC_250004" w:id="10"/>
      <w:bookmarkEnd w:id="10"/>
      <w:r>
        <w:rPr/>
        <w:t>GİRİŞ</w:t>
      </w:r>
    </w:p>
    <w:p>
      <w:pPr>
        <w:pStyle w:val="BodyText"/>
        <w:rPr>
          <w:b/>
          <w:sz w:val="26"/>
        </w:rPr>
      </w:pPr>
    </w:p>
    <w:p>
      <w:pPr>
        <w:pStyle w:val="BodyText"/>
        <w:spacing w:before="6"/>
        <w:rPr>
          <w:b/>
          <w:sz w:val="21"/>
        </w:rPr>
      </w:pPr>
    </w:p>
    <w:p>
      <w:pPr>
        <w:pStyle w:val="BodyText"/>
        <w:spacing w:line="360" w:lineRule="auto"/>
        <w:ind w:left="1128" w:right="608" w:firstLine="708"/>
        <w:jc w:val="both"/>
      </w:pPr>
      <w:r>
        <w:rPr/>
        <w:t>Afet; toplumun direnç gösterebilme kapasitesinin üzerinde kaynaklar gerektiren ve birçok kurumun koordineli bir şekilde müdahale etmesi gereken olaylarda; bir toplumun olumsuz etkilenmesini sağlayan ve gerçekleşmesi olası bir tehlikenin neticesinde;</w:t>
      </w:r>
      <w:r>
        <w:rPr>
          <w:spacing w:val="-10"/>
        </w:rPr>
        <w:t> </w:t>
      </w:r>
      <w:r>
        <w:rPr/>
        <w:t>doğal</w:t>
      </w:r>
      <w:r>
        <w:rPr>
          <w:spacing w:val="-9"/>
        </w:rPr>
        <w:t> </w:t>
      </w:r>
      <w:r>
        <w:rPr/>
        <w:t>bir</w:t>
      </w:r>
      <w:r>
        <w:rPr>
          <w:spacing w:val="-10"/>
        </w:rPr>
        <w:t> </w:t>
      </w:r>
      <w:r>
        <w:rPr/>
        <w:t>tehlikeye</w:t>
      </w:r>
      <w:r>
        <w:rPr>
          <w:spacing w:val="-9"/>
        </w:rPr>
        <w:t> </w:t>
      </w:r>
      <w:r>
        <w:rPr/>
        <w:t>bağlı</w:t>
      </w:r>
      <w:r>
        <w:rPr>
          <w:spacing w:val="-10"/>
        </w:rPr>
        <w:t> </w:t>
      </w:r>
      <w:r>
        <w:rPr/>
        <w:t>olarak</w:t>
      </w:r>
      <w:r>
        <w:rPr>
          <w:spacing w:val="-9"/>
        </w:rPr>
        <w:t> </w:t>
      </w:r>
      <w:r>
        <w:rPr/>
        <w:t>gerçekleşen,</w:t>
      </w:r>
      <w:r>
        <w:rPr>
          <w:spacing w:val="-8"/>
        </w:rPr>
        <w:t> </w:t>
      </w:r>
      <w:r>
        <w:rPr/>
        <w:t>yaralanma,</w:t>
      </w:r>
      <w:r>
        <w:rPr>
          <w:spacing w:val="-9"/>
        </w:rPr>
        <w:t> </w:t>
      </w:r>
      <w:r>
        <w:rPr/>
        <w:t>hastalık</w:t>
      </w:r>
      <w:r>
        <w:rPr>
          <w:spacing w:val="-9"/>
        </w:rPr>
        <w:t> </w:t>
      </w:r>
      <w:r>
        <w:rPr/>
        <w:t>ve</w:t>
      </w:r>
      <w:r>
        <w:rPr>
          <w:spacing w:val="-11"/>
        </w:rPr>
        <w:t> </w:t>
      </w:r>
      <w:r>
        <w:rPr/>
        <w:t>ölümlere neden olan, günlük yaşamı etkileyen bir bölgede </w:t>
      </w:r>
      <w:r>
        <w:rPr>
          <w:spacing w:val="-3"/>
        </w:rPr>
        <w:t>ya </w:t>
      </w:r>
      <w:r>
        <w:rPr/>
        <w:t>da insanlar üzerinde etkili olan bir olay; doğal (deprem vb.) </w:t>
      </w:r>
      <w:r>
        <w:rPr>
          <w:spacing w:val="-3"/>
        </w:rPr>
        <w:t>ya </w:t>
      </w:r>
      <w:r>
        <w:rPr/>
        <w:t>da insan kaynaklı (terör eylemleri vb.), ani </w:t>
      </w:r>
      <w:r>
        <w:rPr>
          <w:spacing w:val="-3"/>
        </w:rPr>
        <w:t>ya </w:t>
      </w:r>
      <w:r>
        <w:rPr/>
        <w:t>da bir süreç sonrasında gerçekleşen, etkisiyle toplumu etkileyen bir olay gibi tanımlarla ifade edilmektedir (CAL E.M.A.,</w:t>
      </w:r>
      <w:r>
        <w:rPr>
          <w:spacing w:val="-4"/>
        </w:rPr>
        <w:t> </w:t>
      </w:r>
      <w:r>
        <w:rPr/>
        <w:t>2008).</w:t>
      </w:r>
    </w:p>
    <w:p>
      <w:pPr>
        <w:pStyle w:val="BodyText"/>
        <w:spacing w:line="360" w:lineRule="auto" w:before="1"/>
        <w:ind w:left="1128" w:right="611" w:firstLine="708"/>
        <w:jc w:val="both"/>
      </w:pPr>
      <w:r>
        <w:rPr/>
        <w:t>Bir olayın afet olarak nitelendirilmesi için, insan topluluklarına ve yerleşim yerlerinde kayıplara neden olması ve insan faaliyetlerini kesintiye uğratması </w:t>
      </w:r>
      <w:r>
        <w:rPr>
          <w:spacing w:val="-3"/>
        </w:rPr>
        <w:t>ya </w:t>
      </w:r>
      <w:r>
        <w:rPr/>
        <w:t>da durdurmasıyla bir </w:t>
      </w:r>
      <w:r>
        <w:rPr>
          <w:spacing w:val="-3"/>
        </w:rPr>
        <w:t>ya </w:t>
      </w:r>
      <w:r>
        <w:rPr/>
        <w:t>da birden fazla yerleşim yerinin etkilemesi gerekmektedir. Bu tanımlamadan</w:t>
      </w:r>
      <w:r>
        <w:rPr>
          <w:spacing w:val="-18"/>
        </w:rPr>
        <w:t> </w:t>
      </w:r>
      <w:r>
        <w:rPr/>
        <w:t>da</w:t>
      </w:r>
      <w:r>
        <w:rPr>
          <w:spacing w:val="-15"/>
        </w:rPr>
        <w:t> </w:t>
      </w:r>
      <w:r>
        <w:rPr/>
        <w:t>anlaşıldığı</w:t>
      </w:r>
      <w:r>
        <w:rPr>
          <w:spacing w:val="-13"/>
        </w:rPr>
        <w:t> </w:t>
      </w:r>
      <w:r>
        <w:rPr/>
        <w:t>gibi</w:t>
      </w:r>
      <w:r>
        <w:rPr>
          <w:spacing w:val="-16"/>
        </w:rPr>
        <w:t> </w:t>
      </w:r>
      <w:r>
        <w:rPr/>
        <w:t>afet,</w:t>
      </w:r>
      <w:r>
        <w:rPr>
          <w:spacing w:val="-16"/>
        </w:rPr>
        <w:t> </w:t>
      </w:r>
      <w:r>
        <w:rPr/>
        <w:t>olayın</w:t>
      </w:r>
      <w:r>
        <w:rPr>
          <w:spacing w:val="-14"/>
        </w:rPr>
        <w:t> </w:t>
      </w:r>
      <w:r>
        <w:rPr/>
        <w:t>kendisinden</w:t>
      </w:r>
      <w:r>
        <w:rPr>
          <w:spacing w:val="-17"/>
        </w:rPr>
        <w:t> </w:t>
      </w:r>
      <w:r>
        <w:rPr/>
        <w:t>çok</w:t>
      </w:r>
      <w:r>
        <w:rPr>
          <w:spacing w:val="-17"/>
        </w:rPr>
        <w:t> </w:t>
      </w:r>
      <w:r>
        <w:rPr/>
        <w:t>oluşturduğu</w:t>
      </w:r>
      <w:r>
        <w:rPr>
          <w:spacing w:val="-14"/>
        </w:rPr>
        <w:t> </w:t>
      </w:r>
      <w:r>
        <w:rPr/>
        <w:t>sonuçlar</w:t>
      </w:r>
      <w:r>
        <w:rPr>
          <w:spacing w:val="-18"/>
        </w:rPr>
        <w:t> </w:t>
      </w:r>
      <w:r>
        <w:rPr/>
        <w:t>olarak görülmektedir. Bir afetin büyüklüğü ise insanlarda neden olduğu can ve</w:t>
      </w:r>
      <w:r>
        <w:rPr>
          <w:spacing w:val="38"/>
        </w:rPr>
        <w:t> </w:t>
      </w:r>
      <w:r>
        <w:rPr/>
        <w:t>ekonomik kayıplarla ölçülmektedir (Kadıoğlu ve Özdamar, 2005:</w:t>
      </w:r>
      <w:r>
        <w:rPr>
          <w:spacing w:val="-1"/>
        </w:rPr>
        <w:t> </w:t>
      </w:r>
      <w:r>
        <w:rPr/>
        <w:t>5).</w:t>
      </w:r>
    </w:p>
    <w:p>
      <w:pPr>
        <w:pStyle w:val="BodyText"/>
        <w:spacing w:line="360" w:lineRule="auto"/>
        <w:ind w:left="1128" w:right="610" w:firstLine="708"/>
        <w:jc w:val="both"/>
      </w:pPr>
      <w:r>
        <w:rPr/>
        <w:t>Türkiye, jeolojik, topografik yapısı ve iklim özellikleriyle doğal afetlerle sıklıkla karşılaşan bir ülkedir. Türkiye’de özellikle en başta deprem olmak üzere sel, yangın, heyelan gibi doğal ya da teknolojik afetlerle karşılaşmaktadır. Bu afetler farklı derecelerde insan ve mal kayıplarına neden olmaktadır. Afetlerin olduğu yerlerde nüfus yoğunluğu ve endüstrileşme derece arttıkça afetin oluşturacağı zararda artmaktadır (İB- İTÜ, 2002: 1).</w:t>
      </w:r>
    </w:p>
    <w:p>
      <w:pPr>
        <w:pStyle w:val="BodyText"/>
        <w:spacing w:line="360" w:lineRule="auto"/>
        <w:ind w:left="1128" w:right="611" w:firstLine="708"/>
        <w:jc w:val="both"/>
      </w:pPr>
      <w:r>
        <w:rPr/>
        <w:t>Türkiye’de meydana gelen doğal afetlerin etkileri açısından, yüzde olarak sıralaması: %64 deprem, %15 sel, %16 heyelan, %4 yangın, %1’lik kısım çığ ve</w:t>
      </w:r>
    </w:p>
    <w:p>
      <w:pPr>
        <w:pStyle w:val="BodyText"/>
        <w:ind w:left="1128"/>
      </w:pPr>
      <w:r>
        <w:rPr/>
        <w:t>diğerleridir (Erkoç, 2004: 1).</w:t>
      </w:r>
    </w:p>
    <w:p>
      <w:pPr>
        <w:pStyle w:val="BodyText"/>
        <w:spacing w:line="360" w:lineRule="auto" w:before="138"/>
        <w:ind w:left="1128" w:right="610" w:firstLine="708"/>
        <w:jc w:val="both"/>
      </w:pPr>
      <w:r>
        <w:rPr/>
        <w:t>Afet yönetimi günümüzde her türlü oluşabilecek tehlikeye karşı hazırlıklı olma, zarar ve risk azaltma, müdahale etme ve iyileştirme amacıyla elde bulunan kaynakları organize edip, analiz, planlama, karar alma ve değerlendirme süreçlerinin tümüne denir (BİB, 2009: 5).</w:t>
      </w:r>
    </w:p>
    <w:p>
      <w:pPr>
        <w:spacing w:after="0" w:line="360" w:lineRule="auto"/>
        <w:jc w:val="both"/>
        <w:sectPr>
          <w:footerReference w:type="default" r:id="rId10"/>
          <w:pgSz w:w="11910" w:h="16840"/>
          <w:pgMar w:footer="1049" w:header="0" w:top="1580" w:bottom="1240" w:left="1140" w:right="520"/>
          <w:pgNumType w:start="1"/>
        </w:sectPr>
      </w:pPr>
    </w:p>
    <w:p>
      <w:pPr>
        <w:pStyle w:val="BodyText"/>
        <w:rPr>
          <w:sz w:val="20"/>
        </w:rPr>
      </w:pPr>
    </w:p>
    <w:p>
      <w:pPr>
        <w:pStyle w:val="BodyText"/>
        <w:rPr>
          <w:sz w:val="20"/>
        </w:rPr>
      </w:pPr>
    </w:p>
    <w:p>
      <w:pPr>
        <w:pStyle w:val="BodyText"/>
        <w:spacing w:line="360" w:lineRule="auto" w:before="211"/>
        <w:ind w:left="1128" w:right="608" w:firstLine="708"/>
        <w:jc w:val="both"/>
      </w:pPr>
      <w:r>
        <w:rPr/>
        <w:t>Modern afet yönetimi literatüründe; kayıp ve zarar azaltma ile hazırlık (bunlara tahmin ve erken uyarı, afetler, etki analizi de dâhil edilebilir) gibi afet gerçekleşmeden önce korumaya yönelik olan çalışmalar “risk yönetimi” olarak değerlendirilmektedir. Kriz yönetimi ise; müdahale ve iyileştirme (yeniden yapılanma da dâhil edilebilir) gibi afet gerçekleştikten sonraki çalışmaları içerir. Afet yönetimi döngüsünün daha önemli yarısı</w:t>
      </w:r>
      <w:r>
        <w:rPr>
          <w:spacing w:val="-10"/>
        </w:rPr>
        <w:t> </w:t>
      </w:r>
      <w:r>
        <w:rPr/>
        <w:t>“risk</w:t>
      </w:r>
      <w:r>
        <w:rPr>
          <w:spacing w:val="-7"/>
        </w:rPr>
        <w:t> </w:t>
      </w:r>
      <w:r>
        <w:rPr/>
        <w:t>yönetimi”</w:t>
      </w:r>
      <w:r>
        <w:rPr>
          <w:spacing w:val="-14"/>
        </w:rPr>
        <w:t> </w:t>
      </w:r>
      <w:r>
        <w:rPr/>
        <w:t>sürecidir.</w:t>
      </w:r>
      <w:r>
        <w:rPr>
          <w:spacing w:val="-13"/>
        </w:rPr>
        <w:t> </w:t>
      </w:r>
      <w:r>
        <w:rPr/>
        <w:t>Döngünün</w:t>
      </w:r>
      <w:r>
        <w:rPr>
          <w:spacing w:val="-12"/>
        </w:rPr>
        <w:t> </w:t>
      </w:r>
      <w:r>
        <w:rPr/>
        <w:t>diğer</w:t>
      </w:r>
      <w:r>
        <w:rPr>
          <w:spacing w:val="-9"/>
        </w:rPr>
        <w:t> </w:t>
      </w:r>
      <w:r>
        <w:rPr/>
        <w:t>yarısı</w:t>
      </w:r>
      <w:r>
        <w:rPr>
          <w:spacing w:val="-12"/>
        </w:rPr>
        <w:t> </w:t>
      </w:r>
      <w:r>
        <w:rPr/>
        <w:t>olan</w:t>
      </w:r>
      <w:r>
        <w:rPr>
          <w:spacing w:val="-13"/>
        </w:rPr>
        <w:t> </w:t>
      </w:r>
      <w:r>
        <w:rPr/>
        <w:t>“kriz</w:t>
      </w:r>
      <w:r>
        <w:rPr>
          <w:spacing w:val="-10"/>
        </w:rPr>
        <w:t> </w:t>
      </w:r>
      <w:r>
        <w:rPr/>
        <w:t>yönetimi”</w:t>
      </w:r>
      <w:r>
        <w:rPr>
          <w:spacing w:val="-13"/>
        </w:rPr>
        <w:t> </w:t>
      </w:r>
      <w:r>
        <w:rPr/>
        <w:t>ancak</w:t>
      </w:r>
      <w:r>
        <w:rPr>
          <w:spacing w:val="-12"/>
        </w:rPr>
        <w:t> </w:t>
      </w:r>
      <w:r>
        <w:rPr/>
        <w:t>önceki süreçte gerekli çalışmalar yapıldığı zaman başarıya ulaşabilir (Kadıoğlu, 2008a:</w:t>
      </w:r>
      <w:r>
        <w:rPr>
          <w:spacing w:val="-13"/>
        </w:rPr>
        <w:t> </w:t>
      </w:r>
      <w:r>
        <w:rPr/>
        <w:t>2).</w:t>
      </w:r>
    </w:p>
    <w:p>
      <w:pPr>
        <w:pStyle w:val="BodyText"/>
        <w:spacing w:line="360" w:lineRule="auto" w:before="161"/>
        <w:ind w:left="1128" w:right="609" w:firstLine="708"/>
        <w:jc w:val="both"/>
      </w:pPr>
      <w:r>
        <w:rPr/>
        <w:t>Afet</w:t>
      </w:r>
      <w:r>
        <w:rPr>
          <w:spacing w:val="-9"/>
        </w:rPr>
        <w:t> </w:t>
      </w:r>
      <w:r>
        <w:rPr/>
        <w:t>yönetimi</w:t>
      </w:r>
      <w:r>
        <w:rPr>
          <w:spacing w:val="-12"/>
        </w:rPr>
        <w:t> </w:t>
      </w:r>
      <w:r>
        <w:rPr/>
        <w:t>stratejik</w:t>
      </w:r>
      <w:r>
        <w:rPr>
          <w:spacing w:val="-10"/>
        </w:rPr>
        <w:t> </w:t>
      </w:r>
      <w:r>
        <w:rPr/>
        <w:t>yönetim</w:t>
      </w:r>
      <w:r>
        <w:rPr>
          <w:spacing w:val="-13"/>
        </w:rPr>
        <w:t> </w:t>
      </w:r>
      <w:r>
        <w:rPr/>
        <w:t>anlayışı</w:t>
      </w:r>
      <w:r>
        <w:rPr>
          <w:spacing w:val="-12"/>
        </w:rPr>
        <w:t> </w:t>
      </w:r>
      <w:r>
        <w:rPr/>
        <w:t>içerisinde</w:t>
      </w:r>
      <w:r>
        <w:rPr>
          <w:spacing w:val="-12"/>
        </w:rPr>
        <w:t> </w:t>
      </w:r>
      <w:r>
        <w:rPr/>
        <w:t>bulunmak</w:t>
      </w:r>
      <w:r>
        <w:rPr>
          <w:spacing w:val="-13"/>
        </w:rPr>
        <w:t> </w:t>
      </w:r>
      <w:r>
        <w:rPr/>
        <w:t>zorundadır.</w:t>
      </w:r>
      <w:r>
        <w:rPr>
          <w:spacing w:val="-13"/>
        </w:rPr>
        <w:t> </w:t>
      </w:r>
      <w:r>
        <w:rPr/>
        <w:t>Stratejik yönetim, etkili stratejileri geliştirmeyi, uygulamayı ve sonuçlarını değerlendirip kontrol etmeye yönelik kararlar ve faaliyetler bütününe denilmektedir (Dinçer, 1998:</w:t>
      </w:r>
      <w:r>
        <w:rPr>
          <w:spacing w:val="-5"/>
        </w:rPr>
        <w:t> </w:t>
      </w:r>
      <w:r>
        <w:rPr/>
        <w:t>35).</w:t>
      </w:r>
    </w:p>
    <w:p>
      <w:pPr>
        <w:pStyle w:val="BodyText"/>
        <w:spacing w:line="360" w:lineRule="auto" w:before="159"/>
        <w:ind w:left="1128" w:right="612" w:firstLine="708"/>
        <w:jc w:val="both"/>
      </w:pPr>
      <w:r>
        <w:rPr/>
        <w:t>Çalışmanın</w:t>
      </w:r>
      <w:r>
        <w:rPr>
          <w:spacing w:val="-14"/>
        </w:rPr>
        <w:t> </w:t>
      </w:r>
      <w:r>
        <w:rPr/>
        <w:t>birinci</w:t>
      </w:r>
      <w:r>
        <w:rPr>
          <w:spacing w:val="-14"/>
        </w:rPr>
        <w:t> </w:t>
      </w:r>
      <w:r>
        <w:rPr/>
        <w:t>bölümünde</w:t>
      </w:r>
      <w:r>
        <w:rPr>
          <w:spacing w:val="-15"/>
        </w:rPr>
        <w:t> </w:t>
      </w:r>
      <w:r>
        <w:rPr/>
        <w:t>literatür</w:t>
      </w:r>
      <w:r>
        <w:rPr>
          <w:spacing w:val="-15"/>
        </w:rPr>
        <w:t> </w:t>
      </w:r>
      <w:r>
        <w:rPr/>
        <w:t>taraması</w:t>
      </w:r>
      <w:r>
        <w:rPr>
          <w:spacing w:val="-9"/>
        </w:rPr>
        <w:t> </w:t>
      </w:r>
      <w:r>
        <w:rPr/>
        <w:t>yapılarak</w:t>
      </w:r>
      <w:r>
        <w:rPr>
          <w:spacing w:val="-14"/>
        </w:rPr>
        <w:t> </w:t>
      </w:r>
      <w:r>
        <w:rPr/>
        <w:t>temel</w:t>
      </w:r>
      <w:r>
        <w:rPr>
          <w:spacing w:val="-14"/>
        </w:rPr>
        <w:t> </w:t>
      </w:r>
      <w:r>
        <w:rPr/>
        <w:t>kavramlar</w:t>
      </w:r>
      <w:r>
        <w:rPr>
          <w:spacing w:val="-14"/>
        </w:rPr>
        <w:t> </w:t>
      </w:r>
      <w:r>
        <w:rPr/>
        <w:t>ve</w:t>
      </w:r>
      <w:r>
        <w:rPr>
          <w:spacing w:val="-15"/>
        </w:rPr>
        <w:t> </w:t>
      </w:r>
      <w:r>
        <w:rPr/>
        <w:t>afet türlerinden bahsedilmiştir. İkinci bölümde afet yönetimi, Türkiye’de ve diğer ülkelerde afet yönetimi konuları yer almıştır. Üçüncü bölümde Gümüşhane’nin afetselliğinden bahsedilmiştir. Çalışmanın dördüncü bölümünde ise Gümüşhane 112’de çalışan personellere uygulanan anket sonuçları analiz edilmiş ve elde edilen veriler bulunmaktadır.</w:t>
      </w:r>
    </w:p>
    <w:p>
      <w:pPr>
        <w:pStyle w:val="BodyText"/>
        <w:spacing w:line="360" w:lineRule="auto" w:before="162"/>
        <w:ind w:left="1128" w:right="614" w:firstLine="708"/>
        <w:jc w:val="both"/>
      </w:pPr>
      <w:r>
        <w:rPr/>
        <w:t>Çalışmanın</w:t>
      </w:r>
      <w:r>
        <w:rPr>
          <w:spacing w:val="-8"/>
        </w:rPr>
        <w:t> </w:t>
      </w:r>
      <w:r>
        <w:rPr/>
        <w:t>amacı</w:t>
      </w:r>
      <w:r>
        <w:rPr>
          <w:spacing w:val="-8"/>
        </w:rPr>
        <w:t> </w:t>
      </w:r>
      <w:r>
        <w:rPr/>
        <w:t>Gümüşhane</w:t>
      </w:r>
      <w:r>
        <w:rPr>
          <w:spacing w:val="-9"/>
        </w:rPr>
        <w:t> </w:t>
      </w:r>
      <w:r>
        <w:rPr/>
        <w:t>112’de</w:t>
      </w:r>
      <w:r>
        <w:rPr>
          <w:spacing w:val="-9"/>
        </w:rPr>
        <w:t> </w:t>
      </w:r>
      <w:r>
        <w:rPr/>
        <w:t>çalışan</w:t>
      </w:r>
      <w:r>
        <w:rPr>
          <w:spacing w:val="-8"/>
        </w:rPr>
        <w:t> </w:t>
      </w:r>
      <w:r>
        <w:rPr/>
        <w:t>sağlık</w:t>
      </w:r>
      <w:r>
        <w:rPr>
          <w:spacing w:val="-8"/>
        </w:rPr>
        <w:t> </w:t>
      </w:r>
      <w:r>
        <w:rPr/>
        <w:t>personellerinin</w:t>
      </w:r>
      <w:r>
        <w:rPr>
          <w:spacing w:val="-8"/>
        </w:rPr>
        <w:t> </w:t>
      </w:r>
      <w:r>
        <w:rPr/>
        <w:t>afete</w:t>
      </w:r>
      <w:r>
        <w:rPr>
          <w:spacing w:val="-9"/>
        </w:rPr>
        <w:t> </w:t>
      </w:r>
      <w:r>
        <w:rPr/>
        <w:t>hazırlık düzeyini ortaya çıkarmak ve hazırlık düzeylerini</w:t>
      </w:r>
      <w:r>
        <w:rPr>
          <w:spacing w:val="-2"/>
        </w:rPr>
        <w:t> </w:t>
      </w:r>
      <w:r>
        <w:rPr/>
        <w:t>değerlendirmektir.</w:t>
      </w:r>
    </w:p>
    <w:p>
      <w:pPr>
        <w:spacing w:after="0" w:line="360" w:lineRule="auto"/>
        <w:jc w:val="both"/>
        <w:sectPr>
          <w:pgSz w:w="11910" w:h="16840"/>
          <w:pgMar w:header="0" w:footer="1049"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1747" w:right="526"/>
        <w:jc w:val="center"/>
      </w:pPr>
      <w:bookmarkStart w:name="_TOC_250003" w:id="11"/>
      <w:bookmarkEnd w:id="11"/>
      <w:r>
        <w:rPr/>
        <w:t>BİRİNCİ BÖLÜM</w:t>
      </w:r>
    </w:p>
    <w:p>
      <w:pPr>
        <w:pStyle w:val="BodyText"/>
        <w:rPr>
          <w:b/>
          <w:sz w:val="20"/>
        </w:rPr>
      </w:pPr>
    </w:p>
    <w:p>
      <w:pPr>
        <w:pStyle w:val="BodyText"/>
        <w:spacing w:before="2"/>
        <w:rPr>
          <w:b/>
          <w:sz w:val="20"/>
        </w:rPr>
      </w:pPr>
    </w:p>
    <w:p>
      <w:pPr>
        <w:pStyle w:val="Heading1"/>
        <w:numPr>
          <w:ilvl w:val="2"/>
          <w:numId w:val="4"/>
        </w:numPr>
        <w:tabs>
          <w:tab w:pos="2018" w:val="left" w:leader="none"/>
        </w:tabs>
        <w:spacing w:line="240" w:lineRule="auto" w:before="90" w:after="0"/>
        <w:ind w:left="1128" w:right="0" w:firstLine="708"/>
        <w:jc w:val="left"/>
      </w:pPr>
      <w:bookmarkStart w:name="_TOC_250002" w:id="12"/>
      <w:r>
        <w:rPr/>
        <w:t>TEMEL</w:t>
      </w:r>
      <w:r>
        <w:rPr>
          <w:spacing w:val="-1"/>
        </w:rPr>
        <w:t> </w:t>
      </w:r>
      <w:bookmarkEnd w:id="12"/>
      <w:r>
        <w:rPr/>
        <w:t>KAVRAMLAR</w:t>
      </w:r>
    </w:p>
    <w:p>
      <w:pPr>
        <w:pStyle w:val="BodyText"/>
        <w:rPr>
          <w:b/>
          <w:sz w:val="26"/>
        </w:rPr>
      </w:pPr>
    </w:p>
    <w:p>
      <w:pPr>
        <w:pStyle w:val="BodyText"/>
        <w:spacing w:before="11"/>
        <w:rPr>
          <w:b/>
          <w:sz w:val="21"/>
        </w:rPr>
      </w:pPr>
    </w:p>
    <w:p>
      <w:pPr>
        <w:pStyle w:val="Heading1"/>
        <w:numPr>
          <w:ilvl w:val="3"/>
          <w:numId w:val="4"/>
        </w:numPr>
        <w:tabs>
          <w:tab w:pos="2257" w:val="left" w:leader="none"/>
        </w:tabs>
        <w:spacing w:line="240" w:lineRule="auto" w:before="0" w:after="0"/>
        <w:ind w:left="2256" w:right="0" w:hanging="420"/>
        <w:jc w:val="left"/>
      </w:pPr>
      <w:bookmarkStart w:name="_bookmark0" w:id="13"/>
      <w:bookmarkEnd w:id="13"/>
      <w:r>
        <w:rPr>
          <w:b w:val="0"/>
        </w:rPr>
      </w:r>
      <w:bookmarkStart w:name="_bookmark0" w:id="14"/>
      <w:bookmarkEnd w:id="14"/>
      <w:r>
        <w:rPr/>
        <w:t>Af</w:t>
      </w:r>
      <w:r>
        <w:rPr/>
        <w:t>et ve Afetle İlgili Temel</w:t>
      </w:r>
      <w:r>
        <w:rPr>
          <w:spacing w:val="-3"/>
        </w:rPr>
        <w:t> </w:t>
      </w:r>
      <w:r>
        <w:rPr/>
        <w:t>Kavramlar</w:t>
      </w:r>
    </w:p>
    <w:p>
      <w:pPr>
        <w:pStyle w:val="BodyText"/>
        <w:spacing w:line="360" w:lineRule="auto" w:before="168"/>
        <w:ind w:left="1836" w:right="616"/>
      </w:pPr>
      <w:r>
        <w:rPr/>
        <w:t>Afet’le ilgili çok sayıda tanım yapılmıştır. Bunlardan bazıları aşağıda verilmiştir. Afet: Arapça kökenli bir kelime olup çeşitli doğa olayların neden olduğu bela,</w:t>
      </w:r>
    </w:p>
    <w:p>
      <w:pPr>
        <w:pStyle w:val="BodyText"/>
        <w:spacing w:line="360" w:lineRule="auto"/>
        <w:ind w:left="1128" w:right="610"/>
        <w:jc w:val="both"/>
      </w:pPr>
      <w:r>
        <w:rPr/>
        <w:t>yıkım, felaket vb. anlamlarına gelmektedir (Yılmaz, 2003: 1). Toplumun tamamında ya da belirli kesimlerini etkileyen fiziksel, ekonomik ve sosyal kayıplara sebep olup, insan faaliyetlerini ve normal hayatı durduran veya sekteye uğratan, olaydan etkilenmiş toplumların başa çıkma kapasitelerinin yetersiz olduğu doğa, insan ya da teknoloji kaynaklı olay olarak tanımlanır (AFAD, 2014a: 23).</w:t>
      </w:r>
    </w:p>
    <w:p>
      <w:pPr>
        <w:pStyle w:val="BodyText"/>
        <w:spacing w:line="360" w:lineRule="auto"/>
        <w:ind w:left="1128" w:right="609" w:firstLine="708"/>
        <w:jc w:val="both"/>
      </w:pPr>
      <w:r>
        <w:rPr/>
        <w:t>Afet,</w:t>
      </w:r>
      <w:r>
        <w:rPr>
          <w:spacing w:val="-7"/>
        </w:rPr>
        <w:t> </w:t>
      </w:r>
      <w:r>
        <w:rPr/>
        <w:t>birçok</w:t>
      </w:r>
      <w:r>
        <w:rPr>
          <w:spacing w:val="-7"/>
        </w:rPr>
        <w:t> </w:t>
      </w:r>
      <w:r>
        <w:rPr/>
        <w:t>kuruluş</w:t>
      </w:r>
      <w:r>
        <w:rPr>
          <w:spacing w:val="-6"/>
        </w:rPr>
        <w:t> </w:t>
      </w:r>
      <w:r>
        <w:rPr/>
        <w:t>ve</w:t>
      </w:r>
      <w:r>
        <w:rPr>
          <w:spacing w:val="-8"/>
        </w:rPr>
        <w:t> </w:t>
      </w:r>
      <w:r>
        <w:rPr/>
        <w:t>kurumların</w:t>
      </w:r>
      <w:r>
        <w:rPr>
          <w:spacing w:val="-7"/>
        </w:rPr>
        <w:t> </w:t>
      </w:r>
      <w:r>
        <w:rPr/>
        <w:t>koordineli</w:t>
      </w:r>
      <w:r>
        <w:rPr>
          <w:spacing w:val="-6"/>
        </w:rPr>
        <w:t> </w:t>
      </w:r>
      <w:r>
        <w:rPr/>
        <w:t>bir</w:t>
      </w:r>
      <w:r>
        <w:rPr>
          <w:spacing w:val="-8"/>
        </w:rPr>
        <w:t> </w:t>
      </w:r>
      <w:r>
        <w:rPr/>
        <w:t>biçimde</w:t>
      </w:r>
      <w:r>
        <w:rPr>
          <w:spacing w:val="-4"/>
        </w:rPr>
        <w:t> </w:t>
      </w:r>
      <w:r>
        <w:rPr/>
        <w:t>yetki</w:t>
      </w:r>
      <w:r>
        <w:rPr>
          <w:spacing w:val="-6"/>
        </w:rPr>
        <w:t> </w:t>
      </w:r>
      <w:r>
        <w:rPr/>
        <w:t>almayı</w:t>
      </w:r>
      <w:r>
        <w:rPr>
          <w:spacing w:val="-4"/>
        </w:rPr>
        <w:t> </w:t>
      </w:r>
      <w:r>
        <w:rPr/>
        <w:t>gerektiren ve insanlarda sosyal, ekonomik ve fiziksel kayıplara sebep olup, insan faaliyetlerini ve hayatını durdurarak </w:t>
      </w:r>
      <w:r>
        <w:rPr>
          <w:spacing w:val="-3"/>
        </w:rPr>
        <w:t>ya </w:t>
      </w:r>
      <w:r>
        <w:rPr/>
        <w:t>da kesintiye uğratarak toplumları </w:t>
      </w:r>
      <w:r>
        <w:rPr>
          <w:spacing w:val="-3"/>
        </w:rPr>
        <w:t>ya </w:t>
      </w:r>
      <w:r>
        <w:rPr/>
        <w:t>da insan topluluklarını etkileyen doğal ve insan kaynaklı olaylar sonucu olarak tanımlanmaktadır. Deprem, sel, kaya düşmesi, heyelan gibi doğada kendiliğinden gerçekleşen olaylara “doğal tehlike” denilir</w:t>
      </w:r>
      <w:r>
        <w:rPr>
          <w:spacing w:val="-7"/>
        </w:rPr>
        <w:t> </w:t>
      </w:r>
      <w:r>
        <w:rPr/>
        <w:t>ve</w:t>
      </w:r>
      <w:r>
        <w:rPr>
          <w:spacing w:val="-8"/>
        </w:rPr>
        <w:t> </w:t>
      </w:r>
      <w:r>
        <w:rPr/>
        <w:t>“afet”</w:t>
      </w:r>
      <w:r>
        <w:rPr>
          <w:spacing w:val="-7"/>
        </w:rPr>
        <w:t> </w:t>
      </w:r>
      <w:r>
        <w:rPr/>
        <w:t>olarak</w:t>
      </w:r>
      <w:r>
        <w:rPr>
          <w:spacing w:val="-6"/>
        </w:rPr>
        <w:t> </w:t>
      </w:r>
      <w:r>
        <w:rPr/>
        <w:t>adlandırılması</w:t>
      </w:r>
      <w:r>
        <w:rPr>
          <w:spacing w:val="-6"/>
        </w:rPr>
        <w:t> </w:t>
      </w:r>
      <w:r>
        <w:rPr/>
        <w:t>için</w:t>
      </w:r>
      <w:r>
        <w:rPr>
          <w:spacing w:val="-7"/>
        </w:rPr>
        <w:t> </w:t>
      </w:r>
      <w:r>
        <w:rPr/>
        <w:t>toplumda</w:t>
      </w:r>
      <w:r>
        <w:rPr>
          <w:spacing w:val="-7"/>
        </w:rPr>
        <w:t> </w:t>
      </w:r>
      <w:r>
        <w:rPr/>
        <w:t>can</w:t>
      </w:r>
      <w:r>
        <w:rPr>
          <w:spacing w:val="-7"/>
        </w:rPr>
        <w:t> </w:t>
      </w:r>
      <w:r>
        <w:rPr/>
        <w:t>ve</w:t>
      </w:r>
      <w:r>
        <w:rPr>
          <w:spacing w:val="-8"/>
        </w:rPr>
        <w:t> </w:t>
      </w:r>
      <w:r>
        <w:rPr/>
        <w:t>mal</w:t>
      </w:r>
      <w:r>
        <w:rPr>
          <w:spacing w:val="-6"/>
        </w:rPr>
        <w:t> </w:t>
      </w:r>
      <w:r>
        <w:rPr/>
        <w:t>kayıplarına</w:t>
      </w:r>
      <w:r>
        <w:rPr>
          <w:spacing w:val="-5"/>
        </w:rPr>
        <w:t> </w:t>
      </w:r>
      <w:r>
        <w:rPr/>
        <w:t>sebep</w:t>
      </w:r>
      <w:r>
        <w:rPr>
          <w:spacing w:val="-7"/>
        </w:rPr>
        <w:t> </w:t>
      </w:r>
      <w:r>
        <w:rPr/>
        <w:t>olması gereklidir (Şahin ve Sipahioğlu, 2002: 15).</w:t>
      </w:r>
    </w:p>
    <w:p>
      <w:pPr>
        <w:pStyle w:val="BodyText"/>
        <w:spacing w:line="360" w:lineRule="auto"/>
        <w:ind w:left="1128" w:right="609" w:firstLine="708"/>
        <w:jc w:val="both"/>
      </w:pPr>
      <w:r>
        <w:rPr/>
        <w:t>Afet,</w:t>
      </w:r>
      <w:r>
        <w:rPr>
          <w:spacing w:val="-12"/>
        </w:rPr>
        <w:t> </w:t>
      </w:r>
      <w:r>
        <w:rPr/>
        <w:t>tehdit</w:t>
      </w:r>
      <w:r>
        <w:rPr>
          <w:spacing w:val="-11"/>
        </w:rPr>
        <w:t> </w:t>
      </w:r>
      <w:r>
        <w:rPr/>
        <w:t>altında</w:t>
      </w:r>
      <w:r>
        <w:rPr>
          <w:spacing w:val="-11"/>
        </w:rPr>
        <w:t> </w:t>
      </w:r>
      <w:r>
        <w:rPr/>
        <w:t>olan</w:t>
      </w:r>
      <w:r>
        <w:rPr>
          <w:spacing w:val="-11"/>
        </w:rPr>
        <w:t> </w:t>
      </w:r>
      <w:r>
        <w:rPr/>
        <w:t>bir</w:t>
      </w:r>
      <w:r>
        <w:rPr>
          <w:spacing w:val="-11"/>
        </w:rPr>
        <w:t> </w:t>
      </w:r>
      <w:r>
        <w:rPr/>
        <w:t>toplumun,</w:t>
      </w:r>
      <w:r>
        <w:rPr>
          <w:spacing w:val="-11"/>
        </w:rPr>
        <w:t> </w:t>
      </w:r>
      <w:r>
        <w:rPr/>
        <w:t>mahallî</w:t>
      </w:r>
      <w:r>
        <w:rPr>
          <w:spacing w:val="-10"/>
        </w:rPr>
        <w:t> </w:t>
      </w:r>
      <w:r>
        <w:rPr/>
        <w:t>müdahalenin</w:t>
      </w:r>
      <w:r>
        <w:rPr>
          <w:spacing w:val="-6"/>
        </w:rPr>
        <w:t> </w:t>
      </w:r>
      <w:r>
        <w:rPr/>
        <w:t>yeterli</w:t>
      </w:r>
      <w:r>
        <w:rPr>
          <w:spacing w:val="-11"/>
        </w:rPr>
        <w:t> </w:t>
      </w:r>
      <w:r>
        <w:rPr/>
        <w:t>olmadığı,</w:t>
      </w:r>
      <w:r>
        <w:rPr>
          <w:spacing w:val="-9"/>
        </w:rPr>
        <w:t> </w:t>
      </w:r>
      <w:r>
        <w:rPr/>
        <w:t>milli kaynakların seferber edilerek, toplumda çok can ve mal kayıplarına sebep olduğu beklenmeyen ve istenmeyen olaylardır. Heyelan küçük boyuttaki depremler, seller afet olarak değerlendirilmektedir (Drabek, 1996: 2-3).</w:t>
      </w:r>
    </w:p>
    <w:p>
      <w:pPr>
        <w:pStyle w:val="BodyText"/>
        <w:spacing w:line="360" w:lineRule="auto"/>
        <w:ind w:left="1128" w:right="613" w:firstLine="708"/>
        <w:jc w:val="both"/>
      </w:pPr>
      <w:r>
        <w:rPr/>
        <w:t>Afetin büyüklüğü meydana gelen olayda can kaybı, yaralanma, yapısal hasarlar ve sebep olduğu ekonomik ve sosyal kayıplarla ölçülür. Bu kavramlar arasında en önemlisi insan olduğundan afetin büyüklüğü can kayıpları ve yaralanmalar ile değerlendirme eğilimi bulunur (Ergünay, 2009: 3).</w:t>
      </w:r>
    </w:p>
    <w:p>
      <w:pPr>
        <w:spacing w:after="0" w:line="360" w:lineRule="auto"/>
        <w:jc w:val="both"/>
        <w:sectPr>
          <w:pgSz w:w="11910" w:h="16840"/>
          <w:pgMar w:header="0" w:footer="1049" w:top="1580" w:bottom="1240" w:left="1140" w:right="520"/>
        </w:sectPr>
      </w:pPr>
    </w:p>
    <w:p>
      <w:pPr>
        <w:pStyle w:val="BodyText"/>
        <w:spacing w:line="360" w:lineRule="auto" w:before="98"/>
        <w:ind w:left="1128" w:right="611" w:firstLine="708"/>
        <w:jc w:val="both"/>
      </w:pPr>
      <w:r>
        <w:rPr/>
        <w:t>Afet, insanların sosyo - ekonomik ve sosyokültürel yapılarını sekteye uğratıp büyük ölçüde can ve mal kaybına sebep olup, ekosistemde onarması uzun süreçler gerektiren büyük yıkımlar ve hatta tamamen yok olmalara sebep olan doğa olaylarıdır (Koç vd., 2005: 5).</w:t>
      </w:r>
    </w:p>
    <w:p>
      <w:pPr>
        <w:pStyle w:val="BodyText"/>
        <w:spacing w:line="360" w:lineRule="auto"/>
        <w:ind w:left="1128" w:right="614" w:firstLine="708"/>
        <w:jc w:val="both"/>
      </w:pPr>
      <w:r>
        <w:rPr/>
        <w:t>Afet, insanların sosyal, fiziksel, ekonomik etkinliklerini kesintiye uğratarak</w:t>
      </w:r>
      <w:r>
        <w:rPr>
          <w:spacing w:val="-43"/>
        </w:rPr>
        <w:t> </w:t>
      </w:r>
      <w:r>
        <w:rPr>
          <w:spacing w:val="-3"/>
        </w:rPr>
        <w:t>ya </w:t>
      </w:r>
      <w:r>
        <w:rPr/>
        <w:t>da durdurarak insanları olumsuz yönde etkileyen doğal, insan(teknolojik) kaynaklı olaylardır (Akdağ, 2002:</w:t>
      </w:r>
      <w:r>
        <w:rPr>
          <w:spacing w:val="-2"/>
        </w:rPr>
        <w:t> </w:t>
      </w:r>
      <w:r>
        <w:rPr/>
        <w:t>5).</w:t>
      </w:r>
    </w:p>
    <w:p>
      <w:pPr>
        <w:pStyle w:val="BodyText"/>
        <w:spacing w:line="360" w:lineRule="auto"/>
        <w:ind w:left="1128" w:right="611" w:firstLine="708"/>
        <w:jc w:val="both"/>
      </w:pPr>
      <w:r>
        <w:rPr/>
        <w:t>Afet, insanlarda doğal ve kültürel kaynaklar için sosyal, fiziksel ve ekonomik kayıplar oluşturan, insan faaliyetlerini ve normal yaşamı durdurması </w:t>
      </w:r>
      <w:r>
        <w:rPr>
          <w:spacing w:val="-3"/>
        </w:rPr>
        <w:t>ya </w:t>
      </w:r>
      <w:r>
        <w:rPr/>
        <w:t>da kesintiye uğratmasıyla toplumu etkileyen ve toplumun yerel kaynak ve imkânlarından kullanıp üstesinden</w:t>
      </w:r>
      <w:r>
        <w:rPr>
          <w:spacing w:val="-8"/>
        </w:rPr>
        <w:t> </w:t>
      </w:r>
      <w:r>
        <w:rPr/>
        <w:t>gelemeyeceği</w:t>
      </w:r>
      <w:r>
        <w:rPr>
          <w:spacing w:val="-2"/>
        </w:rPr>
        <w:t> </w:t>
      </w:r>
      <w:r>
        <w:rPr/>
        <w:t>doğal</w:t>
      </w:r>
      <w:r>
        <w:rPr>
          <w:spacing w:val="-6"/>
        </w:rPr>
        <w:t> </w:t>
      </w:r>
      <w:r>
        <w:rPr/>
        <w:t>ve</w:t>
      </w:r>
      <w:r>
        <w:rPr>
          <w:spacing w:val="-7"/>
        </w:rPr>
        <w:t> </w:t>
      </w:r>
      <w:r>
        <w:rPr/>
        <w:t>insan</w:t>
      </w:r>
      <w:r>
        <w:rPr>
          <w:spacing w:val="-6"/>
        </w:rPr>
        <w:t> </w:t>
      </w:r>
      <w:r>
        <w:rPr/>
        <w:t>kaynaklı</w:t>
      </w:r>
      <w:r>
        <w:rPr>
          <w:spacing w:val="-4"/>
        </w:rPr>
        <w:t> </w:t>
      </w:r>
      <w:r>
        <w:rPr/>
        <w:t>bir</w:t>
      </w:r>
      <w:r>
        <w:rPr>
          <w:spacing w:val="-6"/>
        </w:rPr>
        <w:t> </w:t>
      </w:r>
      <w:r>
        <w:rPr/>
        <w:t>olayın</w:t>
      </w:r>
      <w:r>
        <w:rPr>
          <w:spacing w:val="-4"/>
        </w:rPr>
        <w:t> </w:t>
      </w:r>
      <w:r>
        <w:rPr/>
        <w:t>sonucuna</w:t>
      </w:r>
      <w:r>
        <w:rPr>
          <w:spacing w:val="-7"/>
        </w:rPr>
        <w:t> </w:t>
      </w:r>
      <w:r>
        <w:rPr/>
        <w:t>denir</w:t>
      </w:r>
      <w:r>
        <w:rPr>
          <w:spacing w:val="-6"/>
        </w:rPr>
        <w:t> </w:t>
      </w:r>
      <w:r>
        <w:rPr/>
        <w:t>(Kadıoğlu</w:t>
      </w:r>
      <w:r>
        <w:rPr>
          <w:spacing w:val="-5"/>
        </w:rPr>
        <w:t> </w:t>
      </w:r>
      <w:r>
        <w:rPr/>
        <w:t>ve Özdamar, 2008:</w:t>
      </w:r>
      <w:r>
        <w:rPr>
          <w:spacing w:val="-1"/>
        </w:rPr>
        <w:t> </w:t>
      </w:r>
      <w:r>
        <w:rPr/>
        <w:t>5).</w:t>
      </w:r>
    </w:p>
    <w:p>
      <w:pPr>
        <w:pStyle w:val="BodyText"/>
        <w:spacing w:before="1"/>
        <w:ind w:left="2268"/>
      </w:pPr>
      <w:r>
        <w:rPr/>
        <w:t>Afet = tehlike ve savunmasızlıkla orantılıdır Şekil 1. 1’de gösterilmiştir.</w:t>
      </w:r>
    </w:p>
    <w:p>
      <w:pPr>
        <w:pStyle w:val="BodyText"/>
        <w:rPr>
          <w:sz w:val="26"/>
        </w:rPr>
      </w:pPr>
    </w:p>
    <w:p>
      <w:pPr>
        <w:pStyle w:val="BodyText"/>
        <w:spacing w:before="4"/>
        <w:rPr>
          <w:sz w:val="22"/>
        </w:rPr>
      </w:pPr>
    </w:p>
    <w:p>
      <w:pPr>
        <w:pStyle w:val="Heading1"/>
        <w:spacing w:before="1"/>
        <w:ind w:left="3173"/>
      </w:pPr>
      <w:r>
        <w:rPr/>
        <w:t>Şekil 1. 1. (Afet=Tehlike *</w:t>
      </w:r>
      <w:r>
        <w:rPr>
          <w:spacing w:val="57"/>
        </w:rPr>
        <w:t> </w:t>
      </w:r>
      <w:r>
        <w:rPr/>
        <w:t>Savunmasızlık).</w:t>
      </w:r>
    </w:p>
    <w:p>
      <w:pPr>
        <w:pStyle w:val="BodyText"/>
        <w:rPr>
          <w:b/>
          <w:sz w:val="20"/>
        </w:rPr>
      </w:pPr>
    </w:p>
    <w:p>
      <w:pPr>
        <w:pStyle w:val="BodyText"/>
        <w:spacing w:before="3"/>
        <w:rPr>
          <w:b/>
          <w:sz w:val="28"/>
        </w:rPr>
      </w:pPr>
      <w:r>
        <w:rPr/>
        <w:drawing>
          <wp:anchor distT="0" distB="0" distL="0" distR="0" allowOverlap="1" layoutInCell="1" locked="0" behindDoc="1" simplePos="0" relativeHeight="268434503">
            <wp:simplePos x="0" y="0"/>
            <wp:positionH relativeFrom="page">
              <wp:posOffset>2654300</wp:posOffset>
            </wp:positionH>
            <wp:positionV relativeFrom="paragraph">
              <wp:posOffset>231733</wp:posOffset>
            </wp:positionV>
            <wp:extent cx="2971312" cy="1456944"/>
            <wp:effectExtent l="0" t="0" r="0" b="0"/>
            <wp:wrapTopAndBottom/>
            <wp:docPr id="3" name="image2.png" descr=""/>
            <wp:cNvGraphicFramePr>
              <a:graphicFrameLocks noChangeAspect="1"/>
            </wp:cNvGraphicFramePr>
            <a:graphic>
              <a:graphicData uri="http://schemas.openxmlformats.org/drawingml/2006/picture">
                <pic:pic>
                  <pic:nvPicPr>
                    <pic:cNvPr id="4" name="image2.png"/>
                    <pic:cNvPicPr/>
                  </pic:nvPicPr>
                  <pic:blipFill>
                    <a:blip r:embed="rId11" cstate="print"/>
                    <a:stretch>
                      <a:fillRect/>
                    </a:stretch>
                  </pic:blipFill>
                  <pic:spPr>
                    <a:xfrm>
                      <a:off x="0" y="0"/>
                      <a:ext cx="2971312" cy="1456944"/>
                    </a:xfrm>
                    <a:prstGeom prst="rect">
                      <a:avLst/>
                    </a:prstGeom>
                  </pic:spPr>
                </pic:pic>
              </a:graphicData>
            </a:graphic>
          </wp:anchor>
        </w:drawing>
      </w:r>
    </w:p>
    <w:p>
      <w:pPr>
        <w:spacing w:before="145"/>
        <w:ind w:left="1836" w:right="0" w:firstLine="0"/>
        <w:jc w:val="left"/>
        <w:rPr>
          <w:sz w:val="20"/>
        </w:rPr>
      </w:pPr>
      <w:r>
        <w:rPr>
          <w:b/>
          <w:sz w:val="20"/>
        </w:rPr>
        <w:t>Kaynak: </w:t>
      </w:r>
      <w:r>
        <w:rPr>
          <w:sz w:val="20"/>
        </w:rPr>
        <w:t>Kadıoğlu, 2008a: 5</w:t>
      </w:r>
    </w:p>
    <w:p>
      <w:pPr>
        <w:pStyle w:val="BodyText"/>
        <w:spacing w:line="360" w:lineRule="auto" w:before="179"/>
        <w:ind w:left="1128" w:right="618" w:firstLine="708"/>
        <w:jc w:val="both"/>
      </w:pPr>
      <w:r>
        <w:rPr/>
        <w:t>Eğer bir tehlike ortaya çıktığı veya meydana geldiği toplumun cevap kapasitesini aşmıyorsa afet olarak kabul edilmemektedir. Afetler toplumun sahip olduğu kaynakların nasıl yönetildiği hakkında ciddi ipuçları verir. Topluma kaynaklarının ne derece etkin ve verimli kullanıldığını gösterir (Karabıyık, 2010: 23).</w:t>
      </w:r>
    </w:p>
    <w:p>
      <w:pPr>
        <w:spacing w:after="0" w:line="360" w:lineRule="auto"/>
        <w:jc w:val="both"/>
        <w:sectPr>
          <w:pgSz w:w="11910" w:h="16840"/>
          <w:pgMar w:header="0" w:footer="1049" w:top="1580" w:bottom="1240" w:left="1140" w:right="520"/>
        </w:sectPr>
      </w:pPr>
    </w:p>
    <w:p>
      <w:pPr>
        <w:pStyle w:val="Heading1"/>
        <w:numPr>
          <w:ilvl w:val="3"/>
          <w:numId w:val="4"/>
        </w:numPr>
        <w:tabs>
          <w:tab w:pos="2257" w:val="left" w:leader="none"/>
        </w:tabs>
        <w:spacing w:line="240" w:lineRule="auto" w:before="102" w:after="0"/>
        <w:ind w:left="2256" w:right="0" w:hanging="420"/>
        <w:jc w:val="left"/>
      </w:pPr>
      <w:bookmarkStart w:name="_bookmark1" w:id="15"/>
      <w:bookmarkEnd w:id="15"/>
      <w:r>
        <w:rPr>
          <w:b w:val="0"/>
        </w:rPr>
      </w:r>
      <w:bookmarkStart w:name="_bookmark1" w:id="16"/>
      <w:bookmarkEnd w:id="16"/>
      <w:r>
        <w:rPr/>
        <w:t>A</w:t>
      </w:r>
      <w:r>
        <w:rPr/>
        <w:t>fetle İlgili Temel</w:t>
      </w:r>
      <w:r>
        <w:rPr>
          <w:spacing w:val="1"/>
        </w:rPr>
        <w:t> </w:t>
      </w:r>
      <w:r>
        <w:rPr/>
        <w:t>Kavramlar</w:t>
      </w:r>
    </w:p>
    <w:p>
      <w:pPr>
        <w:pStyle w:val="BodyText"/>
        <w:rPr>
          <w:b/>
          <w:sz w:val="26"/>
        </w:rPr>
      </w:pPr>
    </w:p>
    <w:p>
      <w:pPr>
        <w:pStyle w:val="BodyText"/>
        <w:rPr>
          <w:b/>
          <w:sz w:val="22"/>
        </w:rPr>
      </w:pPr>
    </w:p>
    <w:p>
      <w:pPr>
        <w:pStyle w:val="Heading1"/>
        <w:numPr>
          <w:ilvl w:val="4"/>
          <w:numId w:val="4"/>
        </w:numPr>
        <w:tabs>
          <w:tab w:pos="2437" w:val="left" w:leader="none"/>
        </w:tabs>
        <w:spacing w:line="240" w:lineRule="auto" w:before="1" w:after="0"/>
        <w:ind w:left="2436" w:right="0" w:hanging="600"/>
        <w:jc w:val="left"/>
      </w:pPr>
      <w:bookmarkStart w:name="_bookmark2" w:id="17"/>
      <w:bookmarkEnd w:id="17"/>
      <w:r>
        <w:rPr>
          <w:b w:val="0"/>
        </w:rPr>
      </w:r>
      <w:bookmarkStart w:name="_bookmark2" w:id="18"/>
      <w:bookmarkEnd w:id="18"/>
      <w:r>
        <w:rPr/>
        <w:t>A</w:t>
      </w:r>
      <w:r>
        <w:rPr/>
        <w:t>cil</w:t>
      </w:r>
      <w:r>
        <w:rPr>
          <w:spacing w:val="-1"/>
        </w:rPr>
        <w:t> </w:t>
      </w:r>
      <w:r>
        <w:rPr/>
        <w:t>durum</w:t>
      </w:r>
    </w:p>
    <w:p>
      <w:pPr>
        <w:pStyle w:val="BodyText"/>
        <w:spacing w:line="360" w:lineRule="auto" w:before="132"/>
        <w:ind w:left="1128" w:right="611" w:firstLine="708"/>
        <w:jc w:val="right"/>
      </w:pPr>
      <w:r>
        <w:rPr/>
        <w:t>Hızlıca acil yardım ve müdahale çalışmasını yürütmeyi</w:t>
      </w:r>
      <w:r>
        <w:rPr>
          <w:spacing w:val="4"/>
        </w:rPr>
        <w:t> </w:t>
      </w:r>
      <w:r>
        <w:rPr/>
        <w:t>gerektiren,</w:t>
      </w:r>
      <w:r>
        <w:rPr>
          <w:spacing w:val="8"/>
        </w:rPr>
        <w:t> </w:t>
      </w:r>
      <w:r>
        <w:rPr/>
        <w:t>yerleşim yerlerinin, kurumların ve kuruluşların iş yapabilme kapasitesini büyük</w:t>
      </w:r>
      <w:r>
        <w:rPr>
          <w:spacing w:val="17"/>
        </w:rPr>
        <w:t> </w:t>
      </w:r>
      <w:r>
        <w:rPr/>
        <w:t>oranda</w:t>
      </w:r>
      <w:r>
        <w:rPr>
          <w:spacing w:val="1"/>
        </w:rPr>
        <w:t> </w:t>
      </w:r>
      <w:r>
        <w:rPr/>
        <w:t>durdurma etkisine sahip ancak yerel imkânlarla baş edilebilecek, hal, olay</w:t>
      </w:r>
      <w:r>
        <w:rPr>
          <w:spacing w:val="-44"/>
        </w:rPr>
        <w:t> </w:t>
      </w:r>
      <w:r>
        <w:rPr/>
        <w:t>ve durumlara acil</w:t>
      </w:r>
      <w:r>
        <w:rPr>
          <w:spacing w:val="-3"/>
        </w:rPr>
        <w:t> </w:t>
      </w:r>
      <w:r>
        <w:rPr/>
        <w:t>durum adı</w:t>
      </w:r>
      <w:r>
        <w:rPr>
          <w:spacing w:val="-17"/>
        </w:rPr>
        <w:t> </w:t>
      </w:r>
      <w:r>
        <w:rPr/>
        <w:t>verilmektedir</w:t>
      </w:r>
      <w:r>
        <w:rPr>
          <w:spacing w:val="-16"/>
        </w:rPr>
        <w:t> </w:t>
      </w:r>
      <w:r>
        <w:rPr/>
        <w:t>(Afetlere</w:t>
      </w:r>
      <w:r>
        <w:rPr>
          <w:spacing w:val="-19"/>
        </w:rPr>
        <w:t> </w:t>
      </w:r>
      <w:r>
        <w:rPr/>
        <w:t>Hazırlık</w:t>
      </w:r>
      <w:r>
        <w:rPr>
          <w:spacing w:val="-16"/>
        </w:rPr>
        <w:t> </w:t>
      </w:r>
      <w:r>
        <w:rPr/>
        <w:t>ve</w:t>
      </w:r>
      <w:r>
        <w:rPr>
          <w:spacing w:val="-18"/>
        </w:rPr>
        <w:t> </w:t>
      </w:r>
      <w:r>
        <w:rPr/>
        <w:t>Kentsel</w:t>
      </w:r>
      <w:r>
        <w:rPr>
          <w:spacing w:val="-18"/>
        </w:rPr>
        <w:t> </w:t>
      </w:r>
      <w:r>
        <w:rPr/>
        <w:t>Risk</w:t>
      </w:r>
      <w:r>
        <w:rPr>
          <w:spacing w:val="-16"/>
        </w:rPr>
        <w:t> </w:t>
      </w:r>
      <w:r>
        <w:rPr/>
        <w:t>Yönetimi</w:t>
      </w:r>
      <w:r>
        <w:rPr>
          <w:spacing w:val="-17"/>
        </w:rPr>
        <w:t> </w:t>
      </w:r>
      <w:r>
        <w:rPr/>
        <w:t>Komisyonu</w:t>
      </w:r>
      <w:r>
        <w:rPr>
          <w:spacing w:val="-17"/>
        </w:rPr>
        <w:t> </w:t>
      </w:r>
      <w:r>
        <w:rPr/>
        <w:t>Raporu,</w:t>
      </w:r>
      <w:r>
        <w:rPr>
          <w:spacing w:val="-17"/>
        </w:rPr>
        <w:t> </w:t>
      </w:r>
      <w:r>
        <w:rPr/>
        <w:t>2009). Acil</w:t>
      </w:r>
      <w:r>
        <w:rPr>
          <w:spacing w:val="-7"/>
        </w:rPr>
        <w:t> </w:t>
      </w:r>
      <w:r>
        <w:rPr/>
        <w:t>Durum;</w:t>
      </w:r>
      <w:r>
        <w:rPr>
          <w:spacing w:val="-5"/>
        </w:rPr>
        <w:t> </w:t>
      </w:r>
      <w:r>
        <w:rPr/>
        <w:t>yaşam</w:t>
      </w:r>
      <w:r>
        <w:rPr>
          <w:spacing w:val="-7"/>
        </w:rPr>
        <w:t> </w:t>
      </w:r>
      <w:r>
        <w:rPr/>
        <w:t>tehlikesi</w:t>
      </w:r>
      <w:r>
        <w:rPr>
          <w:spacing w:val="-7"/>
        </w:rPr>
        <w:t> </w:t>
      </w:r>
      <w:r>
        <w:rPr/>
        <w:t>oluşturan</w:t>
      </w:r>
      <w:r>
        <w:rPr>
          <w:spacing w:val="-7"/>
        </w:rPr>
        <w:t> </w:t>
      </w:r>
      <w:r>
        <w:rPr/>
        <w:t>ve</w:t>
      </w:r>
      <w:r>
        <w:rPr>
          <w:spacing w:val="-7"/>
        </w:rPr>
        <w:t> </w:t>
      </w:r>
      <w:r>
        <w:rPr/>
        <w:t>mal</w:t>
      </w:r>
      <w:r>
        <w:rPr>
          <w:spacing w:val="-7"/>
        </w:rPr>
        <w:t> </w:t>
      </w:r>
      <w:r>
        <w:rPr/>
        <w:t>kayıplarına</w:t>
      </w:r>
      <w:r>
        <w:rPr>
          <w:spacing w:val="-6"/>
        </w:rPr>
        <w:t> </w:t>
      </w:r>
      <w:r>
        <w:rPr/>
        <w:t>yol</w:t>
      </w:r>
      <w:r>
        <w:rPr>
          <w:spacing w:val="-5"/>
        </w:rPr>
        <w:t> </w:t>
      </w:r>
      <w:r>
        <w:rPr/>
        <w:t>açabilen,</w:t>
      </w:r>
      <w:r>
        <w:rPr>
          <w:spacing w:val="-7"/>
        </w:rPr>
        <w:t> </w:t>
      </w:r>
      <w:r>
        <w:rPr/>
        <w:t>müdahale gerektiren</w:t>
      </w:r>
      <w:r>
        <w:rPr>
          <w:spacing w:val="38"/>
        </w:rPr>
        <w:t> </w:t>
      </w:r>
      <w:r>
        <w:rPr/>
        <w:t>umulmadık</w:t>
      </w:r>
      <w:r>
        <w:rPr>
          <w:spacing w:val="38"/>
        </w:rPr>
        <w:t> </w:t>
      </w:r>
      <w:r>
        <w:rPr/>
        <w:t>olaylardır.</w:t>
      </w:r>
      <w:r>
        <w:rPr>
          <w:spacing w:val="40"/>
        </w:rPr>
        <w:t> </w:t>
      </w:r>
      <w:r>
        <w:rPr/>
        <w:t>Zincirleme</w:t>
      </w:r>
      <w:r>
        <w:rPr>
          <w:spacing w:val="38"/>
        </w:rPr>
        <w:t> </w:t>
      </w:r>
      <w:r>
        <w:rPr/>
        <w:t>trafik</w:t>
      </w:r>
      <w:r>
        <w:rPr>
          <w:spacing w:val="39"/>
        </w:rPr>
        <w:t> </w:t>
      </w:r>
      <w:r>
        <w:rPr/>
        <w:t>kazaları,</w:t>
      </w:r>
      <w:r>
        <w:rPr>
          <w:spacing w:val="39"/>
        </w:rPr>
        <w:t> </w:t>
      </w:r>
      <w:r>
        <w:rPr/>
        <w:t>birden</w:t>
      </w:r>
      <w:r>
        <w:rPr>
          <w:spacing w:val="38"/>
        </w:rPr>
        <w:t> </w:t>
      </w:r>
      <w:r>
        <w:rPr/>
        <w:t>fazla</w:t>
      </w:r>
      <w:r>
        <w:rPr>
          <w:spacing w:val="40"/>
        </w:rPr>
        <w:t> </w:t>
      </w:r>
      <w:r>
        <w:rPr/>
        <w:t>evin</w:t>
      </w:r>
      <w:r>
        <w:rPr>
          <w:spacing w:val="41"/>
        </w:rPr>
        <w:t> </w:t>
      </w:r>
      <w:r>
        <w:rPr/>
        <w:t>yangın tehdidi</w:t>
      </w:r>
      <w:r>
        <w:rPr>
          <w:spacing w:val="-16"/>
        </w:rPr>
        <w:t> </w:t>
      </w:r>
      <w:r>
        <w:rPr/>
        <w:t>altında</w:t>
      </w:r>
      <w:r>
        <w:rPr>
          <w:spacing w:val="-17"/>
        </w:rPr>
        <w:t> </w:t>
      </w:r>
      <w:r>
        <w:rPr/>
        <w:t>olduğu</w:t>
      </w:r>
      <w:r>
        <w:rPr>
          <w:spacing w:val="-14"/>
        </w:rPr>
        <w:t> </w:t>
      </w:r>
      <w:r>
        <w:rPr/>
        <w:t>gibi,</w:t>
      </w:r>
      <w:r>
        <w:rPr>
          <w:spacing w:val="-16"/>
        </w:rPr>
        <w:t> </w:t>
      </w:r>
      <w:r>
        <w:rPr/>
        <w:t>çoklu</w:t>
      </w:r>
      <w:r>
        <w:rPr>
          <w:spacing w:val="-16"/>
        </w:rPr>
        <w:t> </w:t>
      </w:r>
      <w:r>
        <w:rPr/>
        <w:t>trafik</w:t>
      </w:r>
      <w:r>
        <w:rPr>
          <w:spacing w:val="-17"/>
        </w:rPr>
        <w:t> </w:t>
      </w:r>
      <w:r>
        <w:rPr/>
        <w:t>kazaları,</w:t>
      </w:r>
      <w:r>
        <w:rPr>
          <w:spacing w:val="-16"/>
        </w:rPr>
        <w:t> </w:t>
      </w:r>
      <w:r>
        <w:rPr/>
        <w:t>birçok</w:t>
      </w:r>
      <w:r>
        <w:rPr>
          <w:spacing w:val="-16"/>
        </w:rPr>
        <w:t> </w:t>
      </w:r>
      <w:r>
        <w:rPr/>
        <w:t>evin</w:t>
      </w:r>
      <w:r>
        <w:rPr>
          <w:spacing w:val="-12"/>
        </w:rPr>
        <w:t> </w:t>
      </w:r>
      <w:r>
        <w:rPr/>
        <w:t>yangın</w:t>
      </w:r>
      <w:r>
        <w:rPr>
          <w:spacing w:val="-15"/>
        </w:rPr>
        <w:t> </w:t>
      </w:r>
      <w:r>
        <w:rPr/>
        <w:t>tehdidi</w:t>
      </w:r>
      <w:r>
        <w:rPr>
          <w:spacing w:val="-16"/>
        </w:rPr>
        <w:t> </w:t>
      </w:r>
      <w:r>
        <w:rPr/>
        <w:t>altında</w:t>
      </w:r>
      <w:r>
        <w:rPr>
          <w:spacing w:val="-17"/>
        </w:rPr>
        <w:t> </w:t>
      </w:r>
      <w:r>
        <w:rPr/>
        <w:t>olduğu</w:t>
      </w:r>
    </w:p>
    <w:p>
      <w:pPr>
        <w:pStyle w:val="BodyText"/>
        <w:spacing w:before="2"/>
        <w:ind w:left="1128"/>
      </w:pPr>
      <w:r>
        <w:rPr/>
        <w:t>gibi (Drabek, 1996: 2-3).</w:t>
      </w:r>
    </w:p>
    <w:p>
      <w:pPr>
        <w:pStyle w:val="BodyText"/>
        <w:rPr>
          <w:sz w:val="26"/>
        </w:rPr>
      </w:pPr>
    </w:p>
    <w:p>
      <w:pPr>
        <w:pStyle w:val="BodyText"/>
        <w:spacing w:before="4"/>
        <w:rPr>
          <w:sz w:val="22"/>
        </w:rPr>
      </w:pPr>
    </w:p>
    <w:p>
      <w:pPr>
        <w:pStyle w:val="Heading1"/>
        <w:numPr>
          <w:ilvl w:val="4"/>
          <w:numId w:val="4"/>
        </w:numPr>
        <w:tabs>
          <w:tab w:pos="2437" w:val="left" w:leader="none"/>
        </w:tabs>
        <w:spacing w:line="240" w:lineRule="auto" w:before="0" w:after="0"/>
        <w:ind w:left="2436" w:right="0" w:hanging="600"/>
        <w:jc w:val="left"/>
      </w:pPr>
      <w:bookmarkStart w:name="_bookmark3" w:id="19"/>
      <w:bookmarkEnd w:id="19"/>
      <w:r>
        <w:rPr>
          <w:b w:val="0"/>
        </w:rPr>
      </w:r>
      <w:bookmarkStart w:name="_bookmark3" w:id="20"/>
      <w:bookmarkEnd w:id="20"/>
      <w:r>
        <w:rPr/>
        <w:t>F</w:t>
      </w:r>
      <w:r>
        <w:rPr/>
        <w:t>elaket</w:t>
      </w:r>
    </w:p>
    <w:p>
      <w:pPr>
        <w:pStyle w:val="BodyText"/>
        <w:spacing w:line="360" w:lineRule="auto" w:before="132"/>
        <w:ind w:left="1128" w:right="609" w:firstLine="708"/>
        <w:jc w:val="both"/>
      </w:pPr>
      <w:r>
        <w:rPr/>
        <w:t>Bazen bir ülkede tüm kaynakları tehdit eden, çoğunlukla milli kaynaklarında yetersiz</w:t>
      </w:r>
      <w:r>
        <w:rPr>
          <w:spacing w:val="-13"/>
        </w:rPr>
        <w:t> </w:t>
      </w:r>
      <w:r>
        <w:rPr/>
        <w:t>kaldığı,</w:t>
      </w:r>
      <w:r>
        <w:rPr>
          <w:spacing w:val="-14"/>
        </w:rPr>
        <w:t> </w:t>
      </w:r>
      <w:r>
        <w:rPr/>
        <w:t>çok</w:t>
      </w:r>
      <w:r>
        <w:rPr>
          <w:spacing w:val="-13"/>
        </w:rPr>
        <w:t> </w:t>
      </w:r>
      <w:r>
        <w:rPr/>
        <w:t>fazla</w:t>
      </w:r>
      <w:r>
        <w:rPr>
          <w:spacing w:val="-13"/>
        </w:rPr>
        <w:t> </w:t>
      </w:r>
      <w:r>
        <w:rPr/>
        <w:t>can</w:t>
      </w:r>
      <w:r>
        <w:rPr>
          <w:spacing w:val="-14"/>
        </w:rPr>
        <w:t> </w:t>
      </w:r>
      <w:r>
        <w:rPr/>
        <w:t>ve</w:t>
      </w:r>
      <w:r>
        <w:rPr>
          <w:spacing w:val="-14"/>
        </w:rPr>
        <w:t> </w:t>
      </w:r>
      <w:r>
        <w:rPr/>
        <w:t>mal</w:t>
      </w:r>
      <w:r>
        <w:rPr>
          <w:spacing w:val="-14"/>
        </w:rPr>
        <w:t> </w:t>
      </w:r>
      <w:r>
        <w:rPr/>
        <w:t>kaybına</w:t>
      </w:r>
      <w:r>
        <w:rPr>
          <w:spacing w:val="-14"/>
        </w:rPr>
        <w:t> </w:t>
      </w:r>
      <w:r>
        <w:rPr/>
        <w:t>sebep</w:t>
      </w:r>
      <w:r>
        <w:rPr>
          <w:spacing w:val="-13"/>
        </w:rPr>
        <w:t> </w:t>
      </w:r>
      <w:r>
        <w:rPr/>
        <w:t>olup,</w:t>
      </w:r>
      <w:r>
        <w:rPr>
          <w:spacing w:val="-14"/>
        </w:rPr>
        <w:t> </w:t>
      </w:r>
      <w:r>
        <w:rPr/>
        <w:t>etkilerinin</w:t>
      </w:r>
      <w:r>
        <w:rPr>
          <w:spacing w:val="-14"/>
        </w:rPr>
        <w:t> </w:t>
      </w:r>
      <w:r>
        <w:rPr/>
        <w:t>giderilmesi</w:t>
      </w:r>
      <w:r>
        <w:rPr>
          <w:spacing w:val="-12"/>
        </w:rPr>
        <w:t> </w:t>
      </w:r>
      <w:r>
        <w:rPr/>
        <w:t>için</w:t>
      </w:r>
      <w:r>
        <w:rPr>
          <w:spacing w:val="-15"/>
        </w:rPr>
        <w:t> </w:t>
      </w:r>
      <w:r>
        <w:rPr/>
        <w:t>uzun süreçler gerektiren doğal </w:t>
      </w:r>
      <w:r>
        <w:rPr>
          <w:spacing w:val="-3"/>
        </w:rPr>
        <w:t>ya </w:t>
      </w:r>
      <w:r>
        <w:rPr/>
        <w:t>da insan kaynaklı olaylar felaket adı verilmektedir (Drabek, 1996: 2-3).</w:t>
      </w:r>
    </w:p>
    <w:p>
      <w:pPr>
        <w:pStyle w:val="BodyText"/>
        <w:spacing w:before="4"/>
        <w:rPr>
          <w:sz w:val="36"/>
        </w:rPr>
      </w:pPr>
    </w:p>
    <w:p>
      <w:pPr>
        <w:pStyle w:val="Heading1"/>
        <w:numPr>
          <w:ilvl w:val="4"/>
          <w:numId w:val="4"/>
        </w:numPr>
        <w:tabs>
          <w:tab w:pos="2437" w:val="left" w:leader="none"/>
        </w:tabs>
        <w:spacing w:line="240" w:lineRule="auto" w:before="1" w:after="0"/>
        <w:ind w:left="2436" w:right="0" w:hanging="600"/>
        <w:jc w:val="left"/>
      </w:pPr>
      <w:r>
        <w:rPr/>
        <w:t>Kaza</w:t>
      </w:r>
    </w:p>
    <w:p>
      <w:pPr>
        <w:pStyle w:val="BodyText"/>
        <w:spacing w:line="360" w:lineRule="auto" w:before="134"/>
        <w:ind w:left="1128" w:right="613" w:firstLine="708"/>
        <w:jc w:val="both"/>
      </w:pPr>
      <w:r>
        <w:rPr/>
        <w:t>Yaralı ile ölü sayısınca az, maddi kaybın az olduğu, çoğunlukla özel müdahale gerekmeyen beklenmedik olaylara kaza denilmektedir. Örneğin: otomobil kazası, evin yanması vb. durumlardır (Drabek, 1996: 2-3).</w:t>
      </w:r>
    </w:p>
    <w:p>
      <w:pPr>
        <w:pStyle w:val="BodyText"/>
        <w:spacing w:before="5"/>
        <w:rPr>
          <w:sz w:val="36"/>
        </w:rPr>
      </w:pPr>
    </w:p>
    <w:p>
      <w:pPr>
        <w:pStyle w:val="Heading1"/>
        <w:numPr>
          <w:ilvl w:val="4"/>
          <w:numId w:val="4"/>
        </w:numPr>
        <w:tabs>
          <w:tab w:pos="2437" w:val="left" w:leader="none"/>
        </w:tabs>
        <w:spacing w:line="240" w:lineRule="auto" w:before="0" w:after="0"/>
        <w:ind w:left="2436" w:right="0" w:hanging="600"/>
        <w:jc w:val="left"/>
      </w:pPr>
      <w:bookmarkStart w:name="_bookmark4" w:id="21"/>
      <w:bookmarkEnd w:id="21"/>
      <w:r>
        <w:rPr>
          <w:b w:val="0"/>
        </w:rPr>
      </w:r>
      <w:bookmarkStart w:name="_bookmark4" w:id="22"/>
      <w:bookmarkEnd w:id="22"/>
      <w:r>
        <w:rPr/>
        <w:t>T</w:t>
      </w:r>
      <w:r>
        <w:rPr/>
        <w:t>ehlike</w:t>
      </w:r>
    </w:p>
    <w:p>
      <w:pPr>
        <w:pStyle w:val="BodyText"/>
        <w:spacing w:line="360" w:lineRule="auto" w:before="132"/>
        <w:ind w:left="1128" w:right="608" w:firstLine="708"/>
        <w:jc w:val="both"/>
      </w:pPr>
      <w:r>
        <w:rPr/>
        <w:t>İnsanlar tarafından beklenilmeyen ve kontrol edilemeyen çaptaki doğal olaylara denilmektedir. Doğal tehlikeler insanların hayatlarında tehlike oluşturarak insanların yaşamından önemli sorunlara sebep olmaktadır. Tehlikenin doğal afete dönüşmesi için insanların mallarına zarar vermesi, yaralanma </w:t>
      </w:r>
      <w:r>
        <w:rPr>
          <w:spacing w:val="-3"/>
        </w:rPr>
        <w:t>ya </w:t>
      </w:r>
      <w:r>
        <w:rPr/>
        <w:t>da ölümüne neden olduğunda afete dönüşmektedir (Creamer ve Gülkan, 2004:</w:t>
      </w:r>
      <w:r>
        <w:rPr>
          <w:spacing w:val="-1"/>
        </w:rPr>
        <w:t> </w:t>
      </w:r>
      <w:r>
        <w:rPr/>
        <w:t>23).</w:t>
      </w:r>
    </w:p>
    <w:p>
      <w:pPr>
        <w:pStyle w:val="BodyText"/>
        <w:spacing w:line="360" w:lineRule="auto" w:before="2"/>
        <w:ind w:left="1128" w:right="609" w:firstLine="708"/>
        <w:jc w:val="both"/>
      </w:pPr>
      <w:r>
        <w:rPr/>
        <w:t>Can ve mal kayıplarına sebep olmanın yanında bireylerin sosyo - ekonomik düzenine, çevre, kültürel ve tarihi zarar verme potansiyeline sahip olan her tür doğal, insan ya da teknolojik kaynaklı olay ve olaylar bütünüdür. Tehlike ileriki dönemlerde</w:t>
      </w:r>
    </w:p>
    <w:p>
      <w:pPr>
        <w:spacing w:after="0" w:line="360" w:lineRule="auto"/>
        <w:jc w:val="both"/>
        <w:sectPr>
          <w:pgSz w:w="11910" w:h="16840"/>
          <w:pgMar w:header="0" w:footer="1049" w:top="1580" w:bottom="1240" w:left="1140" w:right="520"/>
        </w:sectPr>
      </w:pPr>
    </w:p>
    <w:p>
      <w:pPr>
        <w:pStyle w:val="BodyText"/>
        <w:spacing w:line="360" w:lineRule="auto" w:before="98"/>
        <w:ind w:left="1128" w:right="613"/>
      </w:pPr>
      <w:r>
        <w:rPr/>
        <w:t>insan hayatına zarar verebilecek tehditlerdir ve afetin kaynağı olması muhtemeldir (Kadıoğlu, 2011: 24).</w:t>
      </w:r>
    </w:p>
    <w:p>
      <w:pPr>
        <w:pStyle w:val="BodyText"/>
        <w:spacing w:before="3"/>
        <w:rPr>
          <w:sz w:val="36"/>
        </w:rPr>
      </w:pPr>
    </w:p>
    <w:p>
      <w:pPr>
        <w:pStyle w:val="Heading1"/>
        <w:numPr>
          <w:ilvl w:val="4"/>
          <w:numId w:val="4"/>
        </w:numPr>
        <w:tabs>
          <w:tab w:pos="2437" w:val="left" w:leader="none"/>
        </w:tabs>
        <w:spacing w:line="240" w:lineRule="auto" w:before="0" w:after="0"/>
        <w:ind w:left="2436" w:right="0" w:hanging="600"/>
        <w:jc w:val="left"/>
      </w:pPr>
      <w:bookmarkStart w:name="_bookmark5" w:id="23"/>
      <w:bookmarkEnd w:id="23"/>
      <w:r>
        <w:rPr>
          <w:b w:val="0"/>
        </w:rPr>
      </w:r>
      <w:bookmarkStart w:name="_bookmark5" w:id="24"/>
      <w:bookmarkEnd w:id="24"/>
      <w:r>
        <w:rPr/>
        <w:t>Risk</w:t>
      </w:r>
    </w:p>
    <w:p>
      <w:pPr>
        <w:pStyle w:val="BodyText"/>
        <w:spacing w:line="360" w:lineRule="auto" w:before="135"/>
        <w:ind w:left="1128" w:right="609" w:firstLine="708"/>
        <w:jc w:val="both"/>
      </w:pPr>
      <w:r>
        <w:rPr/>
        <w:t>Gelecekte belirli bir zaman diliminde, belirli bir tehlike ve tehlike riski olan unsurlar </w:t>
      </w:r>
      <w:r>
        <w:rPr>
          <w:spacing w:val="-3"/>
        </w:rPr>
        <w:t>ya </w:t>
      </w:r>
      <w:r>
        <w:rPr/>
        <w:t>da tehlikeye maruz kalan varlıklar, bu varlıkların hasar ve zarar görebilme ihtimaline göre, ortaya çıkacak zarara denir (Ergünay, 2010: 30). Herhangi bir afet sonrası, can ve mal kayıplarına, yaralanmalara, ekonomide meydana gelen duraksamalara ve ekolojik çevrede oluşacak hasar risk olarak ifade edilmektedir</w:t>
      </w:r>
      <w:r>
        <w:rPr>
          <w:spacing w:val="-33"/>
        </w:rPr>
        <w:t> </w:t>
      </w:r>
      <w:r>
        <w:rPr/>
        <w:t>(Yavuz, 2014: 29).</w:t>
      </w:r>
    </w:p>
    <w:p>
      <w:pPr>
        <w:pStyle w:val="BodyText"/>
        <w:spacing w:before="4"/>
        <w:rPr>
          <w:sz w:val="36"/>
        </w:rPr>
      </w:pPr>
    </w:p>
    <w:p>
      <w:pPr>
        <w:pStyle w:val="Heading1"/>
        <w:numPr>
          <w:ilvl w:val="4"/>
          <w:numId w:val="4"/>
        </w:numPr>
        <w:tabs>
          <w:tab w:pos="2437" w:val="left" w:leader="none"/>
        </w:tabs>
        <w:spacing w:line="240" w:lineRule="auto" w:before="0" w:after="0"/>
        <w:ind w:left="2436" w:right="0" w:hanging="600"/>
        <w:jc w:val="left"/>
      </w:pPr>
      <w:bookmarkStart w:name="_bookmark6" w:id="25"/>
      <w:bookmarkEnd w:id="25"/>
      <w:r>
        <w:rPr>
          <w:b w:val="0"/>
        </w:rPr>
      </w:r>
      <w:bookmarkStart w:name="_bookmark6" w:id="26"/>
      <w:bookmarkEnd w:id="26"/>
      <w:r>
        <w:rPr/>
        <w:t>K</w:t>
      </w:r>
      <w:r>
        <w:rPr/>
        <w:t>riz</w:t>
      </w:r>
    </w:p>
    <w:p>
      <w:pPr>
        <w:pStyle w:val="BodyText"/>
        <w:spacing w:line="360" w:lineRule="auto" w:before="135"/>
        <w:ind w:left="1128" w:right="611" w:firstLine="708"/>
        <w:jc w:val="both"/>
      </w:pPr>
      <w:r>
        <w:rPr/>
        <w:t>Kriz</w:t>
      </w:r>
      <w:r>
        <w:rPr>
          <w:spacing w:val="-8"/>
        </w:rPr>
        <w:t> </w:t>
      </w:r>
      <w:r>
        <w:rPr/>
        <w:t>bir</w:t>
      </w:r>
      <w:r>
        <w:rPr>
          <w:spacing w:val="-9"/>
        </w:rPr>
        <w:t> </w:t>
      </w:r>
      <w:r>
        <w:rPr/>
        <w:t>olayın</w:t>
      </w:r>
      <w:r>
        <w:rPr>
          <w:spacing w:val="-8"/>
        </w:rPr>
        <w:t> </w:t>
      </w:r>
      <w:r>
        <w:rPr/>
        <w:t>nesneler</w:t>
      </w:r>
      <w:r>
        <w:rPr>
          <w:spacing w:val="-9"/>
        </w:rPr>
        <w:t> </w:t>
      </w:r>
      <w:r>
        <w:rPr/>
        <w:t>üzerinde</w:t>
      </w:r>
      <w:r>
        <w:rPr>
          <w:spacing w:val="-7"/>
        </w:rPr>
        <w:t> </w:t>
      </w:r>
      <w:r>
        <w:rPr/>
        <w:t>yaratabileceği</w:t>
      </w:r>
      <w:r>
        <w:rPr>
          <w:spacing w:val="-8"/>
        </w:rPr>
        <w:t> </w:t>
      </w:r>
      <w:r>
        <w:rPr/>
        <w:t>olumsuz</w:t>
      </w:r>
      <w:r>
        <w:rPr>
          <w:spacing w:val="-7"/>
        </w:rPr>
        <w:t> </w:t>
      </w:r>
      <w:r>
        <w:rPr/>
        <w:t>sonuçların</w:t>
      </w:r>
      <w:r>
        <w:rPr>
          <w:spacing w:val="-8"/>
        </w:rPr>
        <w:t> </w:t>
      </w:r>
      <w:r>
        <w:rPr/>
        <w:t>toplamıdır</w:t>
      </w:r>
      <w:r>
        <w:rPr>
          <w:spacing w:val="-9"/>
        </w:rPr>
        <w:t> </w:t>
      </w:r>
      <w:r>
        <w:rPr/>
        <w:t>ve risk ölçümü riskin olası sonuçları ve ihtimalleri üzerinden gerçekleşir (Hodges, 2000:</w:t>
      </w:r>
      <w:r>
        <w:rPr>
          <w:spacing w:val="-35"/>
        </w:rPr>
        <w:t> </w:t>
      </w:r>
      <w:r>
        <w:rPr/>
        <w:t>7).</w:t>
      </w:r>
    </w:p>
    <w:p>
      <w:pPr>
        <w:pStyle w:val="BodyText"/>
        <w:spacing w:before="3"/>
        <w:rPr>
          <w:sz w:val="36"/>
        </w:rPr>
      </w:pPr>
    </w:p>
    <w:p>
      <w:pPr>
        <w:pStyle w:val="Heading1"/>
        <w:numPr>
          <w:ilvl w:val="1"/>
          <w:numId w:val="5"/>
        </w:numPr>
        <w:tabs>
          <w:tab w:pos="2257" w:val="left" w:leader="none"/>
        </w:tabs>
        <w:spacing w:line="240" w:lineRule="auto" w:before="0" w:after="0"/>
        <w:ind w:left="2256" w:right="0" w:hanging="420"/>
        <w:jc w:val="left"/>
      </w:pPr>
      <w:bookmarkStart w:name="_bookmark7" w:id="27"/>
      <w:bookmarkEnd w:id="27"/>
      <w:r>
        <w:rPr>
          <w:b w:val="0"/>
        </w:rPr>
      </w:r>
      <w:bookmarkStart w:name="_bookmark7" w:id="28"/>
      <w:bookmarkEnd w:id="28"/>
      <w:r>
        <w:rPr/>
        <w:t>A</w:t>
      </w:r>
      <w:r>
        <w:rPr/>
        <w:t>fet</w:t>
      </w:r>
      <w:r>
        <w:rPr>
          <w:spacing w:val="-1"/>
        </w:rPr>
        <w:t> </w:t>
      </w:r>
      <w:r>
        <w:rPr/>
        <w:t>Türleri</w:t>
      </w:r>
    </w:p>
    <w:p>
      <w:pPr>
        <w:pStyle w:val="BodyText"/>
        <w:spacing w:line="360" w:lineRule="auto" w:before="135"/>
        <w:ind w:left="1128" w:right="610" w:firstLine="708"/>
        <w:jc w:val="both"/>
      </w:pPr>
      <w:r>
        <w:rPr/>
        <w:t>Afet türleri genel olarak, doğal afet ve insan kaynaklı (teknolojik) afet olarak iki şekilde sınıflandırılmaktadır (Yıldırım, 2004: 4). Doğal afetlerin içerisinde deprem, volkanik patlamalar, sel, dev dalgalar, ormanların tahribatı, kuraklık, çevre kirlenmesi, ormanların tahribatı, veba salgınları vb. yer almakta olup; kimyasal endüstriyel kazalar, nükleer kazalar, uçak kazaları, terörizm, demiryolu ve gemi kazaları teknolojik afetler içerisinde bulunmaktadır. Teknolojik afetler kendiliğinden oluşabileceği gibi doğal bir afet kaynaklıda olabilir (Kadıoğlu ve Özdamar, 2005: 6).</w:t>
      </w:r>
    </w:p>
    <w:p>
      <w:pPr>
        <w:pStyle w:val="BodyText"/>
        <w:spacing w:before="3"/>
        <w:rPr>
          <w:sz w:val="36"/>
        </w:rPr>
      </w:pPr>
    </w:p>
    <w:p>
      <w:pPr>
        <w:pStyle w:val="Heading1"/>
        <w:numPr>
          <w:ilvl w:val="2"/>
          <w:numId w:val="5"/>
        </w:numPr>
        <w:tabs>
          <w:tab w:pos="2437" w:val="left" w:leader="none"/>
        </w:tabs>
        <w:spacing w:line="240" w:lineRule="auto" w:before="0" w:after="0"/>
        <w:ind w:left="2436" w:right="0" w:hanging="600"/>
        <w:jc w:val="left"/>
      </w:pPr>
      <w:bookmarkStart w:name="_bookmark8" w:id="29"/>
      <w:bookmarkEnd w:id="29"/>
      <w:r>
        <w:rPr>
          <w:b w:val="0"/>
        </w:rPr>
      </w:r>
      <w:bookmarkStart w:name="_bookmark8" w:id="30"/>
      <w:bookmarkEnd w:id="30"/>
      <w:r>
        <w:rPr/>
        <w:t>Doğa</w:t>
      </w:r>
      <w:r>
        <w:rPr/>
        <w:t>l</w:t>
      </w:r>
      <w:r>
        <w:rPr>
          <w:spacing w:val="-2"/>
        </w:rPr>
        <w:t> </w:t>
      </w:r>
      <w:r>
        <w:rPr/>
        <w:t>Afetler</w:t>
      </w:r>
    </w:p>
    <w:p>
      <w:pPr>
        <w:pStyle w:val="BodyText"/>
        <w:spacing w:line="360" w:lineRule="auto" w:before="134"/>
        <w:ind w:left="1128" w:right="612" w:firstLine="708"/>
        <w:jc w:val="both"/>
      </w:pPr>
      <w:r>
        <w:rPr/>
        <w:t>Doğal afetler toplumların sosyal, ekonomik ve kültürel etkenleri olumsuz olarak etkileyecek, büyük ölçüde maddi ve manevi kayıplara sebep olan, çoğunluklu </w:t>
      </w:r>
      <w:r>
        <w:rPr>
          <w:spacing w:val="-3"/>
        </w:rPr>
        <w:t>ya </w:t>
      </w:r>
      <w:r>
        <w:rPr/>
        <w:t>da tamamen doğal etkenlerin sebebiyet verdiği, doğal tehlikelerle ortaya çıkan olaylar bütününe</w:t>
      </w:r>
      <w:r>
        <w:rPr>
          <w:spacing w:val="-15"/>
        </w:rPr>
        <w:t> </w:t>
      </w:r>
      <w:r>
        <w:rPr/>
        <w:t>denir</w:t>
      </w:r>
      <w:r>
        <w:rPr>
          <w:spacing w:val="-14"/>
        </w:rPr>
        <w:t> </w:t>
      </w:r>
      <w:r>
        <w:rPr/>
        <w:t>(Şahin</w:t>
      </w:r>
      <w:r>
        <w:rPr>
          <w:spacing w:val="-13"/>
        </w:rPr>
        <w:t> </w:t>
      </w:r>
      <w:r>
        <w:rPr/>
        <w:t>ve</w:t>
      </w:r>
      <w:r>
        <w:rPr>
          <w:spacing w:val="-12"/>
        </w:rPr>
        <w:t> </w:t>
      </w:r>
      <w:r>
        <w:rPr/>
        <w:t>Sipahioğlu,</w:t>
      </w:r>
      <w:r>
        <w:rPr>
          <w:spacing w:val="-13"/>
        </w:rPr>
        <w:t> </w:t>
      </w:r>
      <w:r>
        <w:rPr/>
        <w:t>2002:</w:t>
      </w:r>
      <w:r>
        <w:rPr>
          <w:spacing w:val="-13"/>
        </w:rPr>
        <w:t> </w:t>
      </w:r>
      <w:r>
        <w:rPr/>
        <w:t>4).</w:t>
      </w:r>
      <w:r>
        <w:rPr>
          <w:spacing w:val="-14"/>
        </w:rPr>
        <w:t> </w:t>
      </w:r>
      <w:r>
        <w:rPr/>
        <w:t>Deprem,</w:t>
      </w:r>
      <w:r>
        <w:rPr>
          <w:spacing w:val="-11"/>
        </w:rPr>
        <w:t> </w:t>
      </w:r>
      <w:r>
        <w:rPr/>
        <w:t>heyelan,</w:t>
      </w:r>
      <w:r>
        <w:rPr>
          <w:spacing w:val="-9"/>
        </w:rPr>
        <w:t> </w:t>
      </w:r>
      <w:r>
        <w:rPr/>
        <w:t>yanardağ</w:t>
      </w:r>
      <w:r>
        <w:rPr>
          <w:spacing w:val="-16"/>
        </w:rPr>
        <w:t> </w:t>
      </w:r>
      <w:r>
        <w:rPr/>
        <w:t>patlaması,</w:t>
      </w:r>
      <w:r>
        <w:rPr>
          <w:spacing w:val="-13"/>
        </w:rPr>
        <w:t> </w:t>
      </w:r>
      <w:r>
        <w:rPr/>
        <w:t>sel, kuralık, fırtına vb. olaylar doğal afetleri oluşturmaktadır. Doğal afetler “ani gelişen” ve “yavaş gelişen” tehlike olarak iki aşamada değerlendirilebilir. Depremler, seller,</w:t>
      </w:r>
      <w:r>
        <w:rPr>
          <w:spacing w:val="3"/>
        </w:rPr>
        <w:t> </w:t>
      </w:r>
      <w:r>
        <w:rPr/>
        <w:t>şiddetli</w:t>
      </w:r>
    </w:p>
    <w:p>
      <w:pPr>
        <w:spacing w:after="0" w:line="360" w:lineRule="auto"/>
        <w:jc w:val="both"/>
        <w:sectPr>
          <w:pgSz w:w="11910" w:h="16840"/>
          <w:pgMar w:header="0" w:footer="1049" w:top="1580" w:bottom="1240" w:left="1140" w:right="520"/>
        </w:sectPr>
      </w:pPr>
    </w:p>
    <w:p>
      <w:pPr>
        <w:pStyle w:val="BodyText"/>
        <w:spacing w:line="360" w:lineRule="auto" w:before="98"/>
        <w:ind w:left="1128" w:right="613"/>
      </w:pPr>
      <w:r>
        <w:rPr/>
        <w:t>rüzgârlar, tsunamiler, toprak kaymaları ve volkanik hareketler ani gelişen tehlike; erozyon ve kuraklık ise yavaş gelişen tehlikede değerlendirilebilir (Ural, 1996: 2-3).</w:t>
      </w:r>
    </w:p>
    <w:p>
      <w:pPr>
        <w:pStyle w:val="BodyText"/>
        <w:spacing w:line="360" w:lineRule="auto"/>
        <w:ind w:left="1128" w:right="609" w:firstLine="708"/>
        <w:jc w:val="both"/>
      </w:pPr>
      <w:r>
        <w:rPr/>
        <w:t>Doğal afetlerin mevcut düzene birçok zararı olduğu görülmektedir. Özellikle doğal afetin etkilerinin en yüksek düzeyde hissedildiği akut anından itibaren birçok olumsuzluğa neden olmaktadır. Her ne kadar doğal afet yıkımları ve kayıpları açısından afetin</w:t>
      </w:r>
      <w:r>
        <w:rPr>
          <w:spacing w:val="-12"/>
        </w:rPr>
        <w:t> </w:t>
      </w:r>
      <w:r>
        <w:rPr/>
        <w:t>öncelikle</w:t>
      </w:r>
      <w:r>
        <w:rPr>
          <w:spacing w:val="-12"/>
        </w:rPr>
        <w:t> </w:t>
      </w:r>
      <w:r>
        <w:rPr/>
        <w:t>neden</w:t>
      </w:r>
      <w:r>
        <w:rPr>
          <w:spacing w:val="-11"/>
        </w:rPr>
        <w:t> </w:t>
      </w:r>
      <w:r>
        <w:rPr/>
        <w:t>olduğu</w:t>
      </w:r>
      <w:r>
        <w:rPr>
          <w:spacing w:val="-12"/>
        </w:rPr>
        <w:t> </w:t>
      </w:r>
      <w:r>
        <w:rPr/>
        <w:t>doğrudan</w:t>
      </w:r>
      <w:r>
        <w:rPr>
          <w:spacing w:val="-11"/>
        </w:rPr>
        <w:t> </w:t>
      </w:r>
      <w:r>
        <w:rPr/>
        <w:t>zararlara</w:t>
      </w:r>
      <w:r>
        <w:rPr>
          <w:spacing w:val="-10"/>
        </w:rPr>
        <w:t> </w:t>
      </w:r>
      <w:r>
        <w:rPr/>
        <w:t>öncelik</w:t>
      </w:r>
      <w:r>
        <w:rPr>
          <w:spacing w:val="-12"/>
        </w:rPr>
        <w:t> </w:t>
      </w:r>
      <w:r>
        <w:rPr/>
        <w:t>verilse</w:t>
      </w:r>
      <w:r>
        <w:rPr>
          <w:spacing w:val="-12"/>
        </w:rPr>
        <w:t> </w:t>
      </w:r>
      <w:r>
        <w:rPr/>
        <w:t>de,</w:t>
      </w:r>
      <w:r>
        <w:rPr>
          <w:spacing w:val="-9"/>
        </w:rPr>
        <w:t> </w:t>
      </w:r>
      <w:r>
        <w:rPr/>
        <w:t>afet</w:t>
      </w:r>
      <w:r>
        <w:rPr>
          <w:spacing w:val="-11"/>
        </w:rPr>
        <w:t> </w:t>
      </w:r>
      <w:r>
        <w:rPr/>
        <w:t>sonrası</w:t>
      </w:r>
      <w:r>
        <w:rPr>
          <w:spacing w:val="-11"/>
        </w:rPr>
        <w:t> </w:t>
      </w:r>
      <w:r>
        <w:rPr/>
        <w:t>meydana gelen</w:t>
      </w:r>
      <w:r>
        <w:rPr>
          <w:spacing w:val="-11"/>
        </w:rPr>
        <w:t> </w:t>
      </w:r>
      <w:r>
        <w:rPr/>
        <w:t>hem</w:t>
      </w:r>
      <w:r>
        <w:rPr>
          <w:spacing w:val="-10"/>
        </w:rPr>
        <w:t> </w:t>
      </w:r>
      <w:r>
        <w:rPr/>
        <w:t>fiziksel</w:t>
      </w:r>
      <w:r>
        <w:rPr>
          <w:spacing w:val="-9"/>
        </w:rPr>
        <w:t> </w:t>
      </w:r>
      <w:r>
        <w:rPr/>
        <w:t>hem</w:t>
      </w:r>
      <w:r>
        <w:rPr>
          <w:spacing w:val="-10"/>
        </w:rPr>
        <w:t> </w:t>
      </w:r>
      <w:r>
        <w:rPr/>
        <w:t>de</w:t>
      </w:r>
      <w:r>
        <w:rPr>
          <w:spacing w:val="-9"/>
        </w:rPr>
        <w:t> </w:t>
      </w:r>
      <w:r>
        <w:rPr/>
        <w:t>sosyal</w:t>
      </w:r>
      <w:r>
        <w:rPr>
          <w:spacing w:val="-10"/>
        </w:rPr>
        <w:t> </w:t>
      </w:r>
      <w:r>
        <w:rPr/>
        <w:t>birçok</w:t>
      </w:r>
      <w:r>
        <w:rPr>
          <w:spacing w:val="-5"/>
        </w:rPr>
        <w:t> </w:t>
      </w:r>
      <w:r>
        <w:rPr/>
        <w:t>yıkımın</w:t>
      </w:r>
      <w:r>
        <w:rPr>
          <w:spacing w:val="-11"/>
        </w:rPr>
        <w:t> </w:t>
      </w:r>
      <w:r>
        <w:rPr/>
        <w:t>sosyal</w:t>
      </w:r>
      <w:r>
        <w:rPr>
          <w:spacing w:val="-9"/>
        </w:rPr>
        <w:t> </w:t>
      </w:r>
      <w:r>
        <w:rPr/>
        <w:t>ve</w:t>
      </w:r>
      <w:r>
        <w:rPr>
          <w:spacing w:val="-12"/>
        </w:rPr>
        <w:t> </w:t>
      </w:r>
      <w:r>
        <w:rPr/>
        <w:t>iktisadi</w:t>
      </w:r>
      <w:r>
        <w:rPr>
          <w:spacing w:val="-9"/>
        </w:rPr>
        <w:t> </w:t>
      </w:r>
      <w:r>
        <w:rPr/>
        <w:t>maliyetini</w:t>
      </w:r>
      <w:r>
        <w:rPr>
          <w:spacing w:val="-10"/>
        </w:rPr>
        <w:t> </w:t>
      </w:r>
      <w:r>
        <w:rPr/>
        <w:t>hesaplamak pek</w:t>
      </w:r>
      <w:r>
        <w:rPr>
          <w:spacing w:val="-11"/>
        </w:rPr>
        <w:t> </w:t>
      </w:r>
      <w:r>
        <w:rPr/>
        <w:t>mümkün</w:t>
      </w:r>
      <w:r>
        <w:rPr>
          <w:spacing w:val="-10"/>
        </w:rPr>
        <w:t> </w:t>
      </w:r>
      <w:r>
        <w:rPr/>
        <w:t>değildir.</w:t>
      </w:r>
      <w:r>
        <w:rPr>
          <w:spacing w:val="-10"/>
        </w:rPr>
        <w:t> </w:t>
      </w:r>
      <w:r>
        <w:rPr/>
        <w:t>Özellikle</w:t>
      </w:r>
      <w:r>
        <w:rPr>
          <w:spacing w:val="-11"/>
        </w:rPr>
        <w:t> </w:t>
      </w:r>
      <w:r>
        <w:rPr/>
        <w:t>gelişmekte</w:t>
      </w:r>
      <w:r>
        <w:rPr>
          <w:spacing w:val="-10"/>
        </w:rPr>
        <w:t> </w:t>
      </w:r>
      <w:r>
        <w:rPr/>
        <w:t>olan</w:t>
      </w:r>
      <w:r>
        <w:rPr>
          <w:spacing w:val="-10"/>
        </w:rPr>
        <w:t> </w:t>
      </w:r>
      <w:r>
        <w:rPr/>
        <w:t>ülkelerin</w:t>
      </w:r>
      <w:r>
        <w:rPr>
          <w:spacing w:val="-9"/>
        </w:rPr>
        <w:t> </w:t>
      </w:r>
      <w:r>
        <w:rPr/>
        <w:t>doğal</w:t>
      </w:r>
      <w:r>
        <w:rPr>
          <w:spacing w:val="-9"/>
        </w:rPr>
        <w:t> </w:t>
      </w:r>
      <w:r>
        <w:rPr/>
        <w:t>afetlerin</w:t>
      </w:r>
      <w:r>
        <w:rPr>
          <w:spacing w:val="-5"/>
        </w:rPr>
        <w:t> </w:t>
      </w:r>
      <w:r>
        <w:rPr/>
        <w:t>yıkıcı</w:t>
      </w:r>
      <w:r>
        <w:rPr>
          <w:spacing w:val="-10"/>
        </w:rPr>
        <w:t> </w:t>
      </w:r>
      <w:r>
        <w:rPr/>
        <w:t>etkilerine maruz</w:t>
      </w:r>
      <w:r>
        <w:rPr>
          <w:spacing w:val="-6"/>
        </w:rPr>
        <w:t> </w:t>
      </w:r>
      <w:r>
        <w:rPr/>
        <w:t>kalmaları</w:t>
      </w:r>
      <w:r>
        <w:rPr>
          <w:spacing w:val="-5"/>
        </w:rPr>
        <w:t> </w:t>
      </w:r>
      <w:r>
        <w:rPr/>
        <w:t>uzun</w:t>
      </w:r>
      <w:r>
        <w:rPr>
          <w:spacing w:val="-6"/>
        </w:rPr>
        <w:t> </w:t>
      </w:r>
      <w:r>
        <w:rPr/>
        <w:t>dönemde</w:t>
      </w:r>
      <w:r>
        <w:rPr>
          <w:spacing w:val="-7"/>
        </w:rPr>
        <w:t> </w:t>
      </w:r>
      <w:r>
        <w:rPr/>
        <w:t>dahi</w:t>
      </w:r>
      <w:r>
        <w:rPr>
          <w:spacing w:val="-5"/>
        </w:rPr>
        <w:t> </w:t>
      </w:r>
      <w:r>
        <w:rPr/>
        <w:t>aşılamayacak</w:t>
      </w:r>
      <w:r>
        <w:rPr>
          <w:spacing w:val="-6"/>
        </w:rPr>
        <w:t> </w:t>
      </w:r>
      <w:r>
        <w:rPr/>
        <w:t>sayısız</w:t>
      </w:r>
      <w:r>
        <w:rPr>
          <w:spacing w:val="-6"/>
        </w:rPr>
        <w:t> </w:t>
      </w:r>
      <w:r>
        <w:rPr/>
        <w:t>probleme</w:t>
      </w:r>
      <w:r>
        <w:rPr>
          <w:spacing w:val="-3"/>
        </w:rPr>
        <w:t> </w:t>
      </w:r>
      <w:r>
        <w:rPr/>
        <w:t>yol</w:t>
      </w:r>
      <w:r>
        <w:rPr>
          <w:spacing w:val="-2"/>
        </w:rPr>
        <w:t> </w:t>
      </w:r>
      <w:r>
        <w:rPr/>
        <w:t>açmıştır</w:t>
      </w:r>
      <w:r>
        <w:rPr>
          <w:spacing w:val="-6"/>
        </w:rPr>
        <w:t> </w:t>
      </w:r>
      <w:r>
        <w:rPr/>
        <w:t>(Yavaş, 2005: 21).</w:t>
      </w:r>
    </w:p>
    <w:p>
      <w:pPr>
        <w:pStyle w:val="BodyText"/>
        <w:spacing w:line="360" w:lineRule="auto" w:before="1"/>
        <w:ind w:left="1128" w:right="611" w:firstLine="708"/>
        <w:jc w:val="both"/>
      </w:pPr>
      <w:r>
        <w:rPr/>
        <w:t>Türkiye’de yaşanan doğal afetlerin % 62’si deprem, % 15’i toprak kayması (heyelan),</w:t>
      </w:r>
      <w:r>
        <w:rPr>
          <w:spacing w:val="-12"/>
        </w:rPr>
        <w:t> </w:t>
      </w:r>
      <w:r>
        <w:rPr/>
        <w:t>%</w:t>
      </w:r>
      <w:r>
        <w:rPr>
          <w:spacing w:val="-10"/>
        </w:rPr>
        <w:t> </w:t>
      </w:r>
      <w:r>
        <w:rPr/>
        <w:t>12’si</w:t>
      </w:r>
      <w:r>
        <w:rPr>
          <w:spacing w:val="-10"/>
        </w:rPr>
        <w:t> </w:t>
      </w:r>
      <w:r>
        <w:rPr/>
        <w:t>su</w:t>
      </w:r>
      <w:r>
        <w:rPr>
          <w:spacing w:val="-11"/>
        </w:rPr>
        <w:t> </w:t>
      </w:r>
      <w:r>
        <w:rPr/>
        <w:t>baskını</w:t>
      </w:r>
      <w:r>
        <w:rPr>
          <w:spacing w:val="-10"/>
        </w:rPr>
        <w:t> </w:t>
      </w:r>
      <w:r>
        <w:rPr/>
        <w:t>ve</w:t>
      </w:r>
      <w:r>
        <w:rPr>
          <w:spacing w:val="-10"/>
        </w:rPr>
        <w:t> </w:t>
      </w:r>
      <w:r>
        <w:rPr/>
        <w:t>geri</w:t>
      </w:r>
      <w:r>
        <w:rPr>
          <w:spacing w:val="-11"/>
        </w:rPr>
        <w:t> </w:t>
      </w:r>
      <w:r>
        <w:rPr/>
        <w:t>kalan</w:t>
      </w:r>
      <w:r>
        <w:rPr>
          <w:spacing w:val="-9"/>
        </w:rPr>
        <w:t> </w:t>
      </w:r>
      <w:r>
        <w:rPr/>
        <w:t>%</w:t>
      </w:r>
      <w:r>
        <w:rPr>
          <w:spacing w:val="-11"/>
        </w:rPr>
        <w:t> </w:t>
      </w:r>
      <w:r>
        <w:rPr/>
        <w:t>11’i</w:t>
      </w:r>
      <w:r>
        <w:rPr>
          <w:spacing w:val="-9"/>
        </w:rPr>
        <w:t> </w:t>
      </w:r>
      <w:r>
        <w:rPr/>
        <w:t>de</w:t>
      </w:r>
      <w:r>
        <w:rPr>
          <w:spacing w:val="-12"/>
        </w:rPr>
        <w:t> </w:t>
      </w:r>
      <w:r>
        <w:rPr/>
        <w:t>kaya</w:t>
      </w:r>
      <w:r>
        <w:rPr>
          <w:spacing w:val="-10"/>
        </w:rPr>
        <w:t> </w:t>
      </w:r>
      <w:r>
        <w:rPr/>
        <w:t>düşmesi,</w:t>
      </w:r>
      <w:r>
        <w:rPr>
          <w:spacing w:val="-6"/>
        </w:rPr>
        <w:t> </w:t>
      </w:r>
      <w:r>
        <w:rPr/>
        <w:t>yangın,</w:t>
      </w:r>
      <w:r>
        <w:rPr>
          <w:spacing w:val="-6"/>
        </w:rPr>
        <w:t> </w:t>
      </w:r>
      <w:r>
        <w:rPr/>
        <w:t>çığ,</w:t>
      </w:r>
      <w:r>
        <w:rPr>
          <w:spacing w:val="-9"/>
        </w:rPr>
        <w:t> </w:t>
      </w:r>
      <w:r>
        <w:rPr/>
        <w:t>vb.</w:t>
      </w:r>
      <w:r>
        <w:rPr>
          <w:spacing w:val="-11"/>
        </w:rPr>
        <w:t> </w:t>
      </w:r>
      <w:r>
        <w:rPr/>
        <w:t>doğal afetlerden oluşmaktadır (Yavaş, 2001: 56).</w:t>
      </w:r>
    </w:p>
    <w:p>
      <w:pPr>
        <w:pStyle w:val="BodyText"/>
        <w:spacing w:before="4"/>
        <w:rPr>
          <w:sz w:val="36"/>
        </w:rPr>
      </w:pPr>
    </w:p>
    <w:p>
      <w:pPr>
        <w:pStyle w:val="Heading1"/>
        <w:numPr>
          <w:ilvl w:val="3"/>
          <w:numId w:val="5"/>
        </w:numPr>
        <w:tabs>
          <w:tab w:pos="2617" w:val="left" w:leader="none"/>
        </w:tabs>
        <w:spacing w:line="240" w:lineRule="auto" w:before="1" w:after="0"/>
        <w:ind w:left="2616" w:right="0" w:hanging="780"/>
        <w:jc w:val="left"/>
      </w:pPr>
      <w:bookmarkStart w:name="_bookmark9" w:id="31"/>
      <w:bookmarkEnd w:id="31"/>
      <w:r>
        <w:rPr>
          <w:b w:val="0"/>
        </w:rPr>
      </w:r>
      <w:bookmarkStart w:name="_bookmark9" w:id="32"/>
      <w:bookmarkEnd w:id="32"/>
      <w:r>
        <w:rPr/>
        <w:t>D</w:t>
      </w:r>
      <w:r>
        <w:rPr/>
        <w:t>eprem</w:t>
      </w:r>
    </w:p>
    <w:p>
      <w:pPr>
        <w:pStyle w:val="BodyText"/>
        <w:spacing w:line="360" w:lineRule="auto" w:before="132"/>
        <w:ind w:left="1128" w:right="610" w:firstLine="708"/>
        <w:jc w:val="both"/>
      </w:pPr>
      <w:r>
        <w:rPr/>
        <w:t>Yeraltında oluşan çatlama ve kırılma sebebiyle ortaya çıkan hareketlerin yer yüzeyinde sarsıntı oluşturmasına deprem denilir (ODTÜ, 1999:</w:t>
      </w:r>
      <w:r>
        <w:rPr>
          <w:spacing w:val="-2"/>
        </w:rPr>
        <w:t> </w:t>
      </w:r>
      <w:r>
        <w:rPr/>
        <w:t>1).</w:t>
      </w:r>
    </w:p>
    <w:p>
      <w:pPr>
        <w:pStyle w:val="BodyText"/>
        <w:spacing w:line="360" w:lineRule="auto"/>
        <w:ind w:left="1128" w:right="610" w:firstLine="708"/>
        <w:jc w:val="both"/>
      </w:pPr>
      <w:r>
        <w:rPr/>
        <w:t>Depremler, tahmin etmesi pek mümkün olmayan, gerçekleşmesi uzun süre gerektirmeyen, yıkım oranının da yüksek olduğu ve çok fazla sayıda can ve mal kaybına neden olan doğal afetten birisidir (Yavaş, 2005: 19). Başka bir tanıma göre, yer kabuğunda oluşan titreşimler ve bu titreşimlerden oluşan sismik dalgaların yeryüzüne ulaşıp yeryüzünü sarsma olayına deprem denir (Yılmaz, 2005:</w:t>
      </w:r>
      <w:r>
        <w:rPr>
          <w:spacing w:val="2"/>
        </w:rPr>
        <w:t> </w:t>
      </w:r>
      <w:r>
        <w:rPr/>
        <w:t>16).</w:t>
      </w:r>
    </w:p>
    <w:p>
      <w:pPr>
        <w:pStyle w:val="BodyText"/>
        <w:spacing w:line="360" w:lineRule="auto"/>
        <w:ind w:left="1128" w:right="613" w:firstLine="708"/>
        <w:jc w:val="both"/>
      </w:pPr>
      <w:r>
        <w:rPr/>
        <w:t>Dünyada en aktif deprem kuşaklarından biri olan Alp - Himalaya deprem kuşağı Türkiye’nin üzerinden geçmektedir (Yıldız, 2001; 41).</w:t>
      </w:r>
    </w:p>
    <w:p>
      <w:pPr>
        <w:pStyle w:val="BodyText"/>
        <w:ind w:left="1836"/>
      </w:pPr>
      <w:r>
        <w:rPr/>
        <w:t>Türkiye’nin deprem bölge haritası Şekil 1. 2’de gösterilmiştir.</w:t>
      </w:r>
    </w:p>
    <w:p>
      <w:pPr>
        <w:spacing w:after="0"/>
        <w:sectPr>
          <w:pgSz w:w="11910" w:h="16840"/>
          <w:pgMar w:header="0" w:footer="1049" w:top="1580" w:bottom="1240" w:left="1140" w:right="520"/>
        </w:sectPr>
      </w:pPr>
    </w:p>
    <w:p>
      <w:pPr>
        <w:pStyle w:val="Heading1"/>
        <w:spacing w:before="102"/>
        <w:ind w:left="3502"/>
      </w:pPr>
      <w:r>
        <w:rPr/>
        <w:drawing>
          <wp:anchor distT="0" distB="0" distL="0" distR="0" allowOverlap="1" layoutInCell="1" locked="0" behindDoc="1" simplePos="0" relativeHeight="268434527">
            <wp:simplePos x="0" y="0"/>
            <wp:positionH relativeFrom="page">
              <wp:posOffset>1440180</wp:posOffset>
            </wp:positionH>
            <wp:positionV relativeFrom="paragraph">
              <wp:posOffset>327445</wp:posOffset>
            </wp:positionV>
            <wp:extent cx="5424840" cy="3509772"/>
            <wp:effectExtent l="0" t="0" r="0" b="0"/>
            <wp:wrapTopAndBottom/>
            <wp:docPr id="5" name="image3.jpeg" descr=""/>
            <wp:cNvGraphicFramePr>
              <a:graphicFrameLocks noChangeAspect="1"/>
            </wp:cNvGraphicFramePr>
            <a:graphic>
              <a:graphicData uri="http://schemas.openxmlformats.org/drawingml/2006/picture">
                <pic:pic>
                  <pic:nvPicPr>
                    <pic:cNvPr id="6" name="image3.jpeg"/>
                    <pic:cNvPicPr/>
                  </pic:nvPicPr>
                  <pic:blipFill>
                    <a:blip r:embed="rId12" cstate="print"/>
                    <a:stretch>
                      <a:fillRect/>
                    </a:stretch>
                  </pic:blipFill>
                  <pic:spPr>
                    <a:xfrm>
                      <a:off x="0" y="0"/>
                      <a:ext cx="5424840" cy="3509772"/>
                    </a:xfrm>
                    <a:prstGeom prst="rect">
                      <a:avLst/>
                    </a:prstGeom>
                  </pic:spPr>
                </pic:pic>
              </a:graphicData>
            </a:graphic>
          </wp:anchor>
        </w:drawing>
      </w:r>
      <w:r>
        <w:rPr/>
        <w:t>Şekil 1. 2. Deprem Bölgeleri Haritası</w:t>
      </w:r>
    </w:p>
    <w:p>
      <w:pPr>
        <w:spacing w:before="121"/>
        <w:ind w:left="1128" w:right="0" w:firstLine="0"/>
        <w:jc w:val="left"/>
        <w:rPr>
          <w:sz w:val="20"/>
        </w:rPr>
      </w:pPr>
      <w:r>
        <w:rPr>
          <w:b/>
          <w:sz w:val="20"/>
        </w:rPr>
        <w:t>Kaynak: </w:t>
      </w:r>
      <w:hyperlink r:id="rId13">
        <w:r>
          <w:rPr>
            <w:sz w:val="20"/>
          </w:rPr>
          <w:t>https://deprem.afad.gov.tr/deprem-tehlike-haritasi, </w:t>
        </w:r>
      </w:hyperlink>
      <w:r>
        <w:rPr>
          <w:sz w:val="20"/>
        </w:rPr>
        <w:t>2019</w:t>
      </w:r>
    </w:p>
    <w:p>
      <w:pPr>
        <w:pStyle w:val="BodyText"/>
        <w:spacing w:line="360" w:lineRule="auto" w:before="179"/>
        <w:ind w:left="1128" w:right="611" w:firstLine="708"/>
        <w:jc w:val="both"/>
      </w:pPr>
      <w:r>
        <w:rPr/>
        <w:t>Deprem Bölgeleri haritasına göre, Karadeniz Bölgesinde batı ve orta kesimin büyük bir kısmı, Doğu Anadolu Bölgesinde orta bölümler, Batı Anadolu’nun ise büyük bir kısmı deprem bölgesinde bulunmaktadır. Deprem bölgelerinde yüz ölçümüne göre dağılıma</w:t>
      </w:r>
      <w:r>
        <w:rPr>
          <w:spacing w:val="-15"/>
        </w:rPr>
        <w:t> </w:t>
      </w:r>
      <w:r>
        <w:rPr/>
        <w:t>bakıldığında,</w:t>
      </w:r>
      <w:r>
        <w:rPr>
          <w:spacing w:val="-15"/>
        </w:rPr>
        <w:t> </w:t>
      </w:r>
      <w:r>
        <w:rPr/>
        <w:t>ülkemizin</w:t>
      </w:r>
      <w:r>
        <w:rPr>
          <w:spacing w:val="-13"/>
        </w:rPr>
        <w:t> </w:t>
      </w:r>
      <w:r>
        <w:rPr/>
        <w:t>%</w:t>
      </w:r>
      <w:r>
        <w:rPr>
          <w:spacing w:val="-15"/>
        </w:rPr>
        <w:t> </w:t>
      </w:r>
      <w:r>
        <w:rPr/>
        <w:t>42’si</w:t>
      </w:r>
      <w:r>
        <w:rPr>
          <w:spacing w:val="-14"/>
        </w:rPr>
        <w:t> </w:t>
      </w:r>
      <w:r>
        <w:rPr/>
        <w:t>1.</w:t>
      </w:r>
      <w:r>
        <w:rPr>
          <w:spacing w:val="-11"/>
        </w:rPr>
        <w:t> </w:t>
      </w:r>
      <w:r>
        <w:rPr/>
        <w:t>derece</w:t>
      </w:r>
      <w:r>
        <w:rPr>
          <w:spacing w:val="-13"/>
        </w:rPr>
        <w:t> </w:t>
      </w:r>
      <w:r>
        <w:rPr/>
        <w:t>deprem</w:t>
      </w:r>
      <w:r>
        <w:rPr>
          <w:spacing w:val="-14"/>
        </w:rPr>
        <w:t> </w:t>
      </w:r>
      <w:r>
        <w:rPr/>
        <w:t>bölgesinde,</w:t>
      </w:r>
      <w:r>
        <w:rPr>
          <w:spacing w:val="-13"/>
        </w:rPr>
        <w:t> </w:t>
      </w:r>
      <w:r>
        <w:rPr/>
        <w:t>%4’ü</w:t>
      </w:r>
      <w:r>
        <w:rPr>
          <w:spacing w:val="-14"/>
        </w:rPr>
        <w:t> </w:t>
      </w:r>
      <w:r>
        <w:rPr/>
        <w:t>2.</w:t>
      </w:r>
      <w:r>
        <w:rPr>
          <w:spacing w:val="-14"/>
        </w:rPr>
        <w:t> </w:t>
      </w:r>
      <w:r>
        <w:rPr/>
        <w:t>derecede,</w:t>
      </w:r>
    </w:p>
    <w:p>
      <w:pPr>
        <w:pStyle w:val="BodyText"/>
        <w:spacing w:line="360" w:lineRule="auto"/>
        <w:ind w:left="1128" w:right="610"/>
        <w:jc w:val="both"/>
      </w:pPr>
      <w:r>
        <w:rPr/>
        <w:t>%18’i 3. derecede, %12’si 4. derecede, %4’ü 5. derece deprem bölgesinde yer alır. Buna göre ülke nüfusunun %70’lik bir kısmı 1. ve 2. Derece deprem bölgesinde yaşamını sürdürmektedir (</w:t>
      </w:r>
      <w:hyperlink r:id="rId14">
        <w:r>
          <w:rPr/>
          <w:t>www.deprem.gov.tr,</w:t>
        </w:r>
      </w:hyperlink>
      <w:r>
        <w:rPr/>
        <w:t> 2019).</w:t>
      </w:r>
    </w:p>
    <w:p>
      <w:pPr>
        <w:pStyle w:val="BodyText"/>
        <w:spacing w:line="360" w:lineRule="auto" w:before="2"/>
        <w:ind w:left="1128" w:right="608" w:firstLine="708"/>
        <w:jc w:val="both"/>
      </w:pPr>
      <w:r>
        <w:rPr/>
        <w:t>Türkiye’deki oluşan afetlerle alakalı istatistiksel verilere bakıldığında, 1999 Marmara depremi haricinde, son 60 </w:t>
      </w:r>
      <w:r>
        <w:rPr>
          <w:spacing w:val="-3"/>
        </w:rPr>
        <w:t>yıl </w:t>
      </w:r>
      <w:r>
        <w:rPr/>
        <w:t>boyunca Türkiye’de afetlerin sebep olduğu mal ve</w:t>
      </w:r>
      <w:r>
        <w:rPr>
          <w:spacing w:val="-11"/>
        </w:rPr>
        <w:t> </w:t>
      </w:r>
      <w:r>
        <w:rPr/>
        <w:t>can</w:t>
      </w:r>
      <w:r>
        <w:rPr>
          <w:spacing w:val="-10"/>
        </w:rPr>
        <w:t> </w:t>
      </w:r>
      <w:r>
        <w:rPr/>
        <w:t>kayıplarının</w:t>
      </w:r>
      <w:r>
        <w:rPr>
          <w:spacing w:val="-8"/>
        </w:rPr>
        <w:t> </w:t>
      </w:r>
      <w:r>
        <w:rPr/>
        <w:t>%65’ine</w:t>
      </w:r>
      <w:r>
        <w:rPr>
          <w:spacing w:val="-10"/>
        </w:rPr>
        <w:t> </w:t>
      </w:r>
      <w:r>
        <w:rPr/>
        <w:t>depremler</w:t>
      </w:r>
      <w:r>
        <w:rPr>
          <w:spacing w:val="-11"/>
        </w:rPr>
        <w:t> </w:t>
      </w:r>
      <w:r>
        <w:rPr/>
        <w:t>sebep</w:t>
      </w:r>
      <w:r>
        <w:rPr>
          <w:spacing w:val="-9"/>
        </w:rPr>
        <w:t> </w:t>
      </w:r>
      <w:r>
        <w:rPr/>
        <w:t>olmuştur.</w:t>
      </w:r>
      <w:r>
        <w:rPr>
          <w:spacing w:val="-10"/>
        </w:rPr>
        <w:t> </w:t>
      </w:r>
      <w:r>
        <w:rPr/>
        <w:t>Türkiye’de</w:t>
      </w:r>
      <w:r>
        <w:rPr>
          <w:spacing w:val="-11"/>
        </w:rPr>
        <w:t> </w:t>
      </w:r>
      <w:r>
        <w:rPr/>
        <w:t>afet</w:t>
      </w:r>
      <w:r>
        <w:rPr>
          <w:spacing w:val="-10"/>
        </w:rPr>
        <w:t> </w:t>
      </w:r>
      <w:r>
        <w:rPr/>
        <w:t>denildiğinde</w:t>
      </w:r>
      <w:r>
        <w:rPr>
          <w:spacing w:val="-10"/>
        </w:rPr>
        <w:t> </w:t>
      </w:r>
      <w:r>
        <w:rPr/>
        <w:t>akla gelen genellikle deprem olmakta ve alınan tedbirler deprem alanında olmaktadır. Türkiye’nin</w:t>
      </w:r>
      <w:r>
        <w:rPr>
          <w:spacing w:val="-12"/>
        </w:rPr>
        <w:t> </w:t>
      </w:r>
      <w:r>
        <w:rPr/>
        <w:t>20.</w:t>
      </w:r>
      <w:r>
        <w:rPr>
          <w:spacing w:val="-7"/>
        </w:rPr>
        <w:t> </w:t>
      </w:r>
      <w:r>
        <w:rPr/>
        <w:t>yy’de</w:t>
      </w:r>
      <w:r>
        <w:rPr>
          <w:spacing w:val="-8"/>
        </w:rPr>
        <w:t> </w:t>
      </w:r>
      <w:r>
        <w:rPr/>
        <w:t>yaşadığı</w:t>
      </w:r>
      <w:r>
        <w:rPr>
          <w:spacing w:val="-11"/>
        </w:rPr>
        <w:t> </w:t>
      </w:r>
      <w:r>
        <w:rPr/>
        <w:t>1999</w:t>
      </w:r>
      <w:r>
        <w:rPr>
          <w:spacing w:val="-12"/>
        </w:rPr>
        <w:t> </w:t>
      </w:r>
      <w:r>
        <w:rPr/>
        <w:t>Marmara</w:t>
      </w:r>
      <w:r>
        <w:rPr>
          <w:spacing w:val="-13"/>
        </w:rPr>
        <w:t> </w:t>
      </w:r>
      <w:r>
        <w:rPr/>
        <w:t>depremi,</w:t>
      </w:r>
      <w:r>
        <w:rPr>
          <w:spacing w:val="38"/>
        </w:rPr>
        <w:t> </w:t>
      </w:r>
      <w:r>
        <w:rPr/>
        <w:t>en</w:t>
      </w:r>
      <w:r>
        <w:rPr>
          <w:spacing w:val="-11"/>
        </w:rPr>
        <w:t> </w:t>
      </w:r>
      <w:r>
        <w:rPr/>
        <w:t>büyük</w:t>
      </w:r>
      <w:r>
        <w:rPr>
          <w:spacing w:val="-12"/>
        </w:rPr>
        <w:t> </w:t>
      </w:r>
      <w:r>
        <w:rPr/>
        <w:t>doğal</w:t>
      </w:r>
      <w:r>
        <w:rPr>
          <w:spacing w:val="-12"/>
        </w:rPr>
        <w:t> </w:t>
      </w:r>
      <w:r>
        <w:rPr/>
        <w:t>afet</w:t>
      </w:r>
      <w:r>
        <w:rPr>
          <w:spacing w:val="-11"/>
        </w:rPr>
        <w:t> </w:t>
      </w:r>
      <w:r>
        <w:rPr/>
        <w:t>olarak</w:t>
      </w:r>
      <w:r>
        <w:rPr>
          <w:spacing w:val="-12"/>
        </w:rPr>
        <w:t> </w:t>
      </w:r>
      <w:r>
        <w:rPr/>
        <w:t>kabul edilir (JİCA, 2004:</w:t>
      </w:r>
      <w:r>
        <w:rPr>
          <w:spacing w:val="-1"/>
        </w:rPr>
        <w:t> </w:t>
      </w:r>
      <w:r>
        <w:rPr/>
        <w:t>22).</w:t>
      </w:r>
    </w:p>
    <w:p>
      <w:pPr>
        <w:pStyle w:val="BodyText"/>
        <w:spacing w:line="360" w:lineRule="auto"/>
        <w:ind w:left="1128" w:right="612" w:firstLine="708"/>
        <w:jc w:val="both"/>
      </w:pPr>
      <w:r>
        <w:rPr/>
        <w:t>17 Ağustos 1999 tarihinde, Kocaeli’nde Richter ölçeğine göre 7. 4 şiddetinde oluşan deprem, 17 bin 480 kişinin ölümüne, 43 bin 953 kişinin de yaralanmasına neden olmuştur (Akıncıdan aktaran Olgun, 2006: 37).</w:t>
      </w:r>
    </w:p>
    <w:p>
      <w:pPr>
        <w:spacing w:after="0" w:line="360" w:lineRule="auto"/>
        <w:jc w:val="both"/>
        <w:sectPr>
          <w:pgSz w:w="11910" w:h="16840"/>
          <w:pgMar w:header="0" w:footer="1049" w:top="1580" w:bottom="1240" w:left="1140" w:right="520"/>
        </w:sectPr>
      </w:pPr>
    </w:p>
    <w:p>
      <w:pPr>
        <w:pStyle w:val="Heading1"/>
        <w:numPr>
          <w:ilvl w:val="3"/>
          <w:numId w:val="5"/>
        </w:numPr>
        <w:tabs>
          <w:tab w:pos="2617" w:val="left" w:leader="none"/>
        </w:tabs>
        <w:spacing w:line="240" w:lineRule="auto" w:before="102" w:after="0"/>
        <w:ind w:left="2616" w:right="0" w:hanging="780"/>
        <w:jc w:val="left"/>
      </w:pPr>
      <w:bookmarkStart w:name="_bookmark10" w:id="33"/>
      <w:bookmarkEnd w:id="33"/>
      <w:r>
        <w:rPr>
          <w:b w:val="0"/>
        </w:rPr>
      </w:r>
      <w:bookmarkStart w:name="_bookmark10" w:id="34"/>
      <w:bookmarkEnd w:id="34"/>
      <w:r>
        <w:rPr/>
        <w:t>S</w:t>
      </w:r>
      <w:r>
        <w:rPr/>
        <w:t>el</w:t>
      </w:r>
    </w:p>
    <w:p>
      <w:pPr>
        <w:pStyle w:val="BodyText"/>
        <w:spacing w:line="360" w:lineRule="auto" w:before="132"/>
        <w:ind w:left="1128" w:right="609" w:firstLine="708"/>
        <w:jc w:val="both"/>
      </w:pPr>
      <w:r>
        <w:rPr/>
        <w:t>Meteorolojik</w:t>
      </w:r>
      <w:r>
        <w:rPr>
          <w:spacing w:val="-8"/>
        </w:rPr>
        <w:t> </w:t>
      </w:r>
      <w:r>
        <w:rPr/>
        <w:t>kökenli</w:t>
      </w:r>
      <w:r>
        <w:rPr>
          <w:spacing w:val="-7"/>
        </w:rPr>
        <w:t> </w:t>
      </w:r>
      <w:r>
        <w:rPr/>
        <w:t>afetlerden</w:t>
      </w:r>
      <w:r>
        <w:rPr>
          <w:spacing w:val="-7"/>
        </w:rPr>
        <w:t> </w:t>
      </w:r>
      <w:r>
        <w:rPr/>
        <w:t>biri</w:t>
      </w:r>
      <w:r>
        <w:rPr>
          <w:spacing w:val="-7"/>
        </w:rPr>
        <w:t> </w:t>
      </w:r>
      <w:r>
        <w:rPr/>
        <w:t>olarak</w:t>
      </w:r>
      <w:r>
        <w:rPr>
          <w:spacing w:val="-7"/>
        </w:rPr>
        <w:t> </w:t>
      </w:r>
      <w:r>
        <w:rPr/>
        <w:t>ortaya</w:t>
      </w:r>
      <w:r>
        <w:rPr>
          <w:spacing w:val="-7"/>
        </w:rPr>
        <w:t> </w:t>
      </w:r>
      <w:r>
        <w:rPr/>
        <w:t>çıkmakta</w:t>
      </w:r>
      <w:r>
        <w:rPr>
          <w:spacing w:val="-8"/>
        </w:rPr>
        <w:t> </w:t>
      </w:r>
      <w:r>
        <w:rPr/>
        <w:t>olan</w:t>
      </w:r>
      <w:r>
        <w:rPr>
          <w:spacing w:val="-6"/>
        </w:rPr>
        <w:t> </w:t>
      </w:r>
      <w:r>
        <w:rPr/>
        <w:t>sel</w:t>
      </w:r>
      <w:r>
        <w:rPr>
          <w:spacing w:val="-7"/>
        </w:rPr>
        <w:t> </w:t>
      </w:r>
      <w:r>
        <w:rPr/>
        <w:t>baskını:</w:t>
      </w:r>
      <w:r>
        <w:rPr>
          <w:spacing w:val="-7"/>
        </w:rPr>
        <w:t> </w:t>
      </w:r>
      <w:r>
        <w:rPr/>
        <w:t>uzun süreli yağışlar, karların erimesi sonucunda kuvvetli akışlar veya drenaj kanallarının tıkanması gibi sebeplerden nehir yataklarında taşma oluşması ile su baskınlarına denilmektedir (Alaağaçlı, 2006:</w:t>
      </w:r>
      <w:r>
        <w:rPr>
          <w:spacing w:val="1"/>
        </w:rPr>
        <w:t> </w:t>
      </w:r>
      <w:r>
        <w:rPr/>
        <w:t>25).</w:t>
      </w:r>
    </w:p>
    <w:p>
      <w:pPr>
        <w:pStyle w:val="BodyText"/>
        <w:spacing w:line="360" w:lineRule="auto" w:before="1"/>
        <w:ind w:left="1128" w:right="614" w:firstLine="708"/>
        <w:jc w:val="both"/>
      </w:pPr>
      <w:r>
        <w:rPr/>
        <w:t>Seller birçok insanın ölümünü, toprakta kirlilik oluşmasına, insanların evsiz kalmasına, haberleşme ve ulaşımın sekteye uğramasına, tarım ürünlerinin zarar görmesine sebep olmaktadır (Yavaş, 2005: 19).</w:t>
      </w:r>
    </w:p>
    <w:p>
      <w:pPr>
        <w:pStyle w:val="BodyText"/>
        <w:spacing w:line="360" w:lineRule="auto" w:before="1"/>
        <w:ind w:left="1128" w:right="611" w:firstLine="708"/>
        <w:jc w:val="both"/>
      </w:pPr>
      <w:r>
        <w:rPr/>
        <w:t>Doğal afetler arasında su baskınları Türkiye’de en çok karşılaşılan ve büyük oranda ekonomik kayıplara sebep olan olaylardır. Su baskınları depremlerin ardından en çok can ve mal kayıplarına neden olmaktadır</w:t>
      </w:r>
    </w:p>
    <w:p>
      <w:pPr>
        <w:pStyle w:val="BodyText"/>
        <w:spacing w:line="275" w:lineRule="exact"/>
        <w:ind w:left="1836"/>
      </w:pPr>
      <w:r>
        <w:rPr/>
        <w:t>Su baskınlarının başlıca nedenleri;</w:t>
      </w:r>
    </w:p>
    <w:p>
      <w:pPr>
        <w:pStyle w:val="ListParagraph"/>
        <w:numPr>
          <w:ilvl w:val="0"/>
          <w:numId w:val="6"/>
        </w:numPr>
        <w:tabs>
          <w:tab w:pos="2036" w:val="left" w:leader="none"/>
        </w:tabs>
        <w:spacing w:line="240" w:lineRule="auto" w:before="139" w:after="0"/>
        <w:ind w:left="1128" w:right="0" w:firstLine="768"/>
        <w:jc w:val="left"/>
        <w:rPr>
          <w:sz w:val="24"/>
        </w:rPr>
      </w:pPr>
      <w:r>
        <w:rPr>
          <w:sz w:val="24"/>
        </w:rPr>
        <w:t>Uzun süredir oluşan</w:t>
      </w:r>
      <w:r>
        <w:rPr>
          <w:spacing w:val="4"/>
          <w:sz w:val="24"/>
        </w:rPr>
        <w:t> </w:t>
      </w:r>
      <w:r>
        <w:rPr>
          <w:sz w:val="24"/>
        </w:rPr>
        <w:t>yağışlar,</w:t>
      </w:r>
    </w:p>
    <w:p>
      <w:pPr>
        <w:pStyle w:val="ListParagraph"/>
        <w:numPr>
          <w:ilvl w:val="0"/>
          <w:numId w:val="6"/>
        </w:numPr>
        <w:tabs>
          <w:tab w:pos="2043" w:val="left" w:leader="none"/>
        </w:tabs>
        <w:spacing w:line="360" w:lineRule="auto" w:before="137" w:after="0"/>
        <w:ind w:left="1128" w:right="615" w:firstLine="708"/>
        <w:jc w:val="both"/>
        <w:rPr>
          <w:sz w:val="24"/>
        </w:rPr>
      </w:pPr>
      <w:r>
        <w:rPr>
          <w:sz w:val="24"/>
        </w:rPr>
        <w:t>Ormanların yok olması ve doğal bitki örtüsünün tahribinin neden olduğu erozyon,</w:t>
      </w:r>
    </w:p>
    <w:p>
      <w:pPr>
        <w:pStyle w:val="ListParagraph"/>
        <w:numPr>
          <w:ilvl w:val="0"/>
          <w:numId w:val="6"/>
        </w:numPr>
        <w:tabs>
          <w:tab w:pos="1976" w:val="left" w:leader="none"/>
        </w:tabs>
        <w:spacing w:line="240" w:lineRule="auto" w:before="0" w:after="0"/>
        <w:ind w:left="1975" w:right="0" w:hanging="139"/>
        <w:jc w:val="left"/>
        <w:rPr>
          <w:sz w:val="24"/>
        </w:rPr>
      </w:pPr>
      <w:r>
        <w:rPr>
          <w:sz w:val="24"/>
        </w:rPr>
        <w:t>Hatalı insan</w:t>
      </w:r>
      <w:r>
        <w:rPr>
          <w:spacing w:val="-1"/>
          <w:sz w:val="24"/>
        </w:rPr>
        <w:t> </w:t>
      </w:r>
      <w:r>
        <w:rPr>
          <w:sz w:val="24"/>
        </w:rPr>
        <w:t>faaliyetleri,</w:t>
      </w:r>
    </w:p>
    <w:p>
      <w:pPr>
        <w:pStyle w:val="ListParagraph"/>
        <w:numPr>
          <w:ilvl w:val="0"/>
          <w:numId w:val="6"/>
        </w:numPr>
        <w:tabs>
          <w:tab w:pos="1976" w:val="left" w:leader="none"/>
        </w:tabs>
        <w:spacing w:line="240" w:lineRule="auto" w:before="139" w:after="0"/>
        <w:ind w:left="1975" w:right="0" w:hanging="139"/>
        <w:jc w:val="left"/>
        <w:rPr>
          <w:sz w:val="24"/>
        </w:rPr>
      </w:pPr>
      <w:r>
        <w:rPr>
          <w:sz w:val="24"/>
        </w:rPr>
        <w:t>Küresel iklim</w:t>
      </w:r>
      <w:r>
        <w:rPr>
          <w:spacing w:val="-1"/>
          <w:sz w:val="24"/>
        </w:rPr>
        <w:t> </w:t>
      </w:r>
      <w:r>
        <w:rPr>
          <w:sz w:val="24"/>
        </w:rPr>
        <w:t>değişikliği,</w:t>
      </w:r>
    </w:p>
    <w:p>
      <w:pPr>
        <w:pStyle w:val="ListParagraph"/>
        <w:numPr>
          <w:ilvl w:val="0"/>
          <w:numId w:val="6"/>
        </w:numPr>
        <w:tabs>
          <w:tab w:pos="1986" w:val="left" w:leader="none"/>
        </w:tabs>
        <w:spacing w:line="360" w:lineRule="auto" w:before="137" w:after="0"/>
        <w:ind w:left="1128" w:right="614" w:firstLine="708"/>
        <w:jc w:val="both"/>
        <w:rPr>
          <w:sz w:val="24"/>
        </w:rPr>
      </w:pPr>
      <w:r>
        <w:rPr>
          <w:sz w:val="24"/>
        </w:rPr>
        <w:t>Su baskınları, barajlarda hasar oluşması sel riskini ve tehlikesini artırmaktadır (Ergünay, 2007:</w:t>
      </w:r>
      <w:r>
        <w:rPr>
          <w:spacing w:val="-1"/>
          <w:sz w:val="24"/>
        </w:rPr>
        <w:t> </w:t>
      </w:r>
      <w:r>
        <w:rPr>
          <w:sz w:val="24"/>
        </w:rPr>
        <w:t>6).</w:t>
      </w:r>
    </w:p>
    <w:p>
      <w:pPr>
        <w:pStyle w:val="BodyText"/>
        <w:spacing w:line="360" w:lineRule="auto" w:before="1"/>
        <w:ind w:left="1128" w:right="609" w:firstLine="708"/>
        <w:jc w:val="both"/>
      </w:pPr>
      <w:r>
        <w:rPr/>
        <w:t>Türkiye’de sel ve su baskınlarının en fazla etkili olduğu bölgeler Karadeniz, Akdeniz ve Batı Anadolu olduğu bilinmektedir (Demirbaş, 2002: 12).</w:t>
      </w:r>
    </w:p>
    <w:p>
      <w:pPr>
        <w:pStyle w:val="BodyText"/>
        <w:spacing w:before="3"/>
        <w:rPr>
          <w:sz w:val="36"/>
        </w:rPr>
      </w:pPr>
    </w:p>
    <w:p>
      <w:pPr>
        <w:pStyle w:val="Heading1"/>
        <w:numPr>
          <w:ilvl w:val="3"/>
          <w:numId w:val="5"/>
        </w:numPr>
        <w:tabs>
          <w:tab w:pos="2617" w:val="left" w:leader="none"/>
        </w:tabs>
        <w:spacing w:line="240" w:lineRule="auto" w:before="0" w:after="0"/>
        <w:ind w:left="2616" w:right="0" w:hanging="780"/>
        <w:jc w:val="left"/>
      </w:pPr>
      <w:bookmarkStart w:name="_bookmark11" w:id="35"/>
      <w:bookmarkEnd w:id="35"/>
      <w:r>
        <w:rPr>
          <w:b w:val="0"/>
        </w:rPr>
      </w:r>
      <w:bookmarkStart w:name="_bookmark11" w:id="36"/>
      <w:bookmarkEnd w:id="36"/>
      <w:r>
        <w:rPr/>
        <w:t>Hey</w:t>
      </w:r>
      <w:r>
        <w:rPr/>
        <w:t>elan</w:t>
      </w:r>
    </w:p>
    <w:p>
      <w:pPr>
        <w:pStyle w:val="BodyText"/>
        <w:spacing w:line="360" w:lineRule="auto" w:before="135"/>
        <w:ind w:left="1128" w:right="610" w:firstLine="708"/>
        <w:jc w:val="both"/>
      </w:pPr>
      <w:r>
        <w:rPr/>
        <w:t>Suni dolgu, doğal kaya zemin ya da bunlardan birinin </w:t>
      </w:r>
      <w:r>
        <w:rPr>
          <w:spacing w:val="-3"/>
        </w:rPr>
        <w:t>ya </w:t>
      </w:r>
      <w:r>
        <w:rPr/>
        <w:t>da birkaçının birleşiminden oluşup işlev malzemesinin, jeoloji, yer çekimi ve su içeriği vb. doğal ve doğal</w:t>
      </w:r>
      <w:r>
        <w:rPr>
          <w:spacing w:val="-8"/>
        </w:rPr>
        <w:t> </w:t>
      </w:r>
      <w:r>
        <w:rPr/>
        <w:t>olmayan</w:t>
      </w:r>
      <w:r>
        <w:rPr>
          <w:spacing w:val="-8"/>
        </w:rPr>
        <w:t> </w:t>
      </w:r>
      <w:r>
        <w:rPr/>
        <w:t>diğer</w:t>
      </w:r>
      <w:r>
        <w:rPr>
          <w:spacing w:val="-8"/>
        </w:rPr>
        <w:t> </w:t>
      </w:r>
      <w:r>
        <w:rPr/>
        <w:t>etkenleri</w:t>
      </w:r>
      <w:r>
        <w:rPr>
          <w:spacing w:val="-8"/>
        </w:rPr>
        <w:t> </w:t>
      </w:r>
      <w:r>
        <w:rPr/>
        <w:t>etkisi</w:t>
      </w:r>
      <w:r>
        <w:rPr>
          <w:spacing w:val="-7"/>
        </w:rPr>
        <w:t> </w:t>
      </w:r>
      <w:r>
        <w:rPr/>
        <w:t>ile</w:t>
      </w:r>
      <w:r>
        <w:rPr>
          <w:spacing w:val="-9"/>
        </w:rPr>
        <w:t> </w:t>
      </w:r>
      <w:r>
        <w:rPr/>
        <w:t>eğim</w:t>
      </w:r>
      <w:r>
        <w:rPr>
          <w:spacing w:val="-7"/>
        </w:rPr>
        <w:t> </w:t>
      </w:r>
      <w:r>
        <w:rPr/>
        <w:t>tarafına</w:t>
      </w:r>
      <w:r>
        <w:rPr>
          <w:spacing w:val="-9"/>
        </w:rPr>
        <w:t> </w:t>
      </w:r>
      <w:r>
        <w:rPr/>
        <w:t>hareketiyle</w:t>
      </w:r>
      <w:r>
        <w:rPr>
          <w:spacing w:val="-9"/>
        </w:rPr>
        <w:t> </w:t>
      </w:r>
      <w:r>
        <w:rPr/>
        <w:t>sonuçlanacak</w:t>
      </w:r>
      <w:r>
        <w:rPr>
          <w:spacing w:val="-7"/>
        </w:rPr>
        <w:t> </w:t>
      </w:r>
      <w:r>
        <w:rPr/>
        <w:t>bir</w:t>
      </w:r>
      <w:r>
        <w:rPr>
          <w:spacing w:val="-9"/>
        </w:rPr>
        <w:t> </w:t>
      </w:r>
      <w:r>
        <w:rPr/>
        <w:t>sürece denilir (Ayçiçek, 2002:</w:t>
      </w:r>
      <w:r>
        <w:rPr>
          <w:spacing w:val="-1"/>
        </w:rPr>
        <w:t> </w:t>
      </w:r>
      <w:r>
        <w:rPr/>
        <w:t>22).</w:t>
      </w:r>
    </w:p>
    <w:p>
      <w:pPr>
        <w:pStyle w:val="BodyText"/>
        <w:spacing w:line="360" w:lineRule="auto"/>
        <w:ind w:left="1128" w:right="614" w:firstLine="708"/>
        <w:jc w:val="both"/>
      </w:pPr>
      <w:r>
        <w:rPr/>
        <w:t>Heyelanın oluşumunda; bitki örtüsü, eğimli araziler ve su doygunluğu olan alanlarda fazlalıkla etkilidir (Olgun, 2006: 38).</w:t>
      </w:r>
    </w:p>
    <w:p>
      <w:pPr>
        <w:pStyle w:val="BodyText"/>
        <w:spacing w:line="360" w:lineRule="auto"/>
        <w:ind w:left="1128" w:right="609" w:firstLine="708"/>
        <w:jc w:val="both"/>
      </w:pPr>
      <w:r>
        <w:rPr/>
        <w:t>Türkiye’deki heyelanlar, önce Karadeniz Bölgesinde olmak üzere, Doğu ve İç Anadolu Bölgelerinde, sıklıkla yaşanan doğal afetlerdir. Heyelanların meydana gelmesini</w:t>
      </w:r>
      <w:r>
        <w:rPr>
          <w:spacing w:val="-12"/>
        </w:rPr>
        <w:t> </w:t>
      </w:r>
      <w:r>
        <w:rPr/>
        <w:t>sağlayan</w:t>
      </w:r>
      <w:r>
        <w:rPr>
          <w:spacing w:val="-13"/>
        </w:rPr>
        <w:t> </w:t>
      </w:r>
      <w:r>
        <w:rPr/>
        <w:t>başlıca</w:t>
      </w:r>
      <w:r>
        <w:rPr>
          <w:spacing w:val="-14"/>
        </w:rPr>
        <w:t> </w:t>
      </w:r>
      <w:r>
        <w:rPr/>
        <w:t>etmenler;</w:t>
      </w:r>
      <w:r>
        <w:rPr>
          <w:spacing w:val="-12"/>
        </w:rPr>
        <w:t> </w:t>
      </w:r>
      <w:r>
        <w:rPr/>
        <w:t>mevsimsel</w:t>
      </w:r>
      <w:r>
        <w:rPr>
          <w:spacing w:val="-13"/>
        </w:rPr>
        <w:t> </w:t>
      </w:r>
      <w:r>
        <w:rPr/>
        <w:t>özellikler,</w:t>
      </w:r>
      <w:r>
        <w:rPr>
          <w:spacing w:val="-14"/>
        </w:rPr>
        <w:t> </w:t>
      </w:r>
      <w:r>
        <w:rPr/>
        <w:t>jeolojik</w:t>
      </w:r>
      <w:r>
        <w:rPr>
          <w:spacing w:val="-10"/>
        </w:rPr>
        <w:t> </w:t>
      </w:r>
      <w:r>
        <w:rPr/>
        <w:t>yapı,</w:t>
      </w:r>
      <w:r>
        <w:rPr>
          <w:spacing w:val="-13"/>
        </w:rPr>
        <w:t> </w:t>
      </w:r>
      <w:r>
        <w:rPr/>
        <w:t>mevsimler,</w:t>
      </w:r>
      <w:r>
        <w:rPr>
          <w:spacing w:val="-12"/>
        </w:rPr>
        <w:t> </w:t>
      </w:r>
      <w:r>
        <w:rPr/>
        <w:t>bitki</w:t>
      </w:r>
    </w:p>
    <w:p>
      <w:pPr>
        <w:spacing w:after="0" w:line="360" w:lineRule="auto"/>
        <w:jc w:val="both"/>
        <w:sectPr>
          <w:pgSz w:w="11910" w:h="16840"/>
          <w:pgMar w:header="0" w:footer="1049" w:top="1580" w:bottom="1240" w:left="1140" w:right="520"/>
        </w:sectPr>
      </w:pPr>
    </w:p>
    <w:p>
      <w:pPr>
        <w:pStyle w:val="BodyText"/>
        <w:spacing w:line="360" w:lineRule="auto" w:before="98"/>
        <w:ind w:left="1128" w:right="611"/>
        <w:jc w:val="both"/>
      </w:pPr>
      <w:r>
        <w:rPr/>
        <w:t>örtüsü, arazinin topografyası ve bitki örtüsü olarak söylenebilir. Türkiye’de heyelan tehlikesinin en fazla olduğu iller Trabzon, Kastamonu ve Zonguldak’tır (Ergünay, 2007: 8).</w:t>
      </w:r>
    </w:p>
    <w:p>
      <w:pPr>
        <w:pStyle w:val="BodyText"/>
        <w:spacing w:before="4"/>
        <w:rPr>
          <w:sz w:val="36"/>
        </w:rPr>
      </w:pPr>
    </w:p>
    <w:p>
      <w:pPr>
        <w:pStyle w:val="Heading1"/>
        <w:numPr>
          <w:ilvl w:val="3"/>
          <w:numId w:val="5"/>
        </w:numPr>
        <w:tabs>
          <w:tab w:pos="2617" w:val="left" w:leader="none"/>
        </w:tabs>
        <w:spacing w:line="240" w:lineRule="auto" w:before="1" w:after="0"/>
        <w:ind w:left="2616" w:right="0" w:hanging="780"/>
        <w:jc w:val="left"/>
      </w:pPr>
      <w:bookmarkStart w:name="_bookmark12" w:id="37"/>
      <w:bookmarkEnd w:id="37"/>
      <w:r>
        <w:rPr>
          <w:b w:val="0"/>
        </w:rPr>
      </w:r>
      <w:bookmarkStart w:name="_bookmark12" w:id="38"/>
      <w:bookmarkEnd w:id="38"/>
      <w:r>
        <w:rPr/>
        <w:t>Çığ</w:t>
      </w:r>
    </w:p>
    <w:p>
      <w:pPr>
        <w:pStyle w:val="BodyText"/>
        <w:spacing w:line="360" w:lineRule="auto" w:before="132"/>
        <w:ind w:left="1128" w:right="608" w:firstLine="708"/>
        <w:jc w:val="both"/>
      </w:pPr>
      <w:r>
        <w:rPr/>
        <w:t>Doğal</w:t>
      </w:r>
      <w:r>
        <w:rPr>
          <w:spacing w:val="-4"/>
        </w:rPr>
        <w:t> </w:t>
      </w:r>
      <w:r>
        <w:rPr/>
        <w:t>afetlerden</w:t>
      </w:r>
      <w:r>
        <w:rPr>
          <w:spacing w:val="-5"/>
        </w:rPr>
        <w:t> </w:t>
      </w:r>
      <w:r>
        <w:rPr/>
        <w:t>bir</w:t>
      </w:r>
      <w:r>
        <w:rPr>
          <w:spacing w:val="-5"/>
        </w:rPr>
        <w:t> </w:t>
      </w:r>
      <w:r>
        <w:rPr/>
        <w:t>diğeri</w:t>
      </w:r>
      <w:r>
        <w:rPr>
          <w:spacing w:val="-5"/>
        </w:rPr>
        <w:t> </w:t>
      </w:r>
      <w:r>
        <w:rPr/>
        <w:t>olan</w:t>
      </w:r>
      <w:r>
        <w:rPr>
          <w:spacing w:val="-5"/>
        </w:rPr>
        <w:t> </w:t>
      </w:r>
      <w:r>
        <w:rPr/>
        <w:t>çığ</w:t>
      </w:r>
      <w:r>
        <w:rPr>
          <w:spacing w:val="-6"/>
        </w:rPr>
        <w:t> </w:t>
      </w:r>
      <w:r>
        <w:rPr/>
        <w:t>çoğunlukla</w:t>
      </w:r>
      <w:r>
        <w:rPr>
          <w:spacing w:val="-6"/>
        </w:rPr>
        <w:t> </w:t>
      </w:r>
      <w:r>
        <w:rPr/>
        <w:t>dik yamaçlarda</w:t>
      </w:r>
      <w:r>
        <w:rPr>
          <w:spacing w:val="-5"/>
        </w:rPr>
        <w:t> </w:t>
      </w:r>
      <w:r>
        <w:rPr/>
        <w:t>oluşmaktadır.</w:t>
      </w:r>
      <w:r>
        <w:rPr>
          <w:spacing w:val="-5"/>
        </w:rPr>
        <w:t> </w:t>
      </w:r>
      <w:r>
        <w:rPr/>
        <w:t>Dik yamaçlarda oluşan kalıcı kar örtüsü üzerindeki tipi sonucunda taze kar yağması ile yeni bir</w:t>
      </w:r>
      <w:r>
        <w:rPr>
          <w:spacing w:val="-13"/>
        </w:rPr>
        <w:t> </w:t>
      </w:r>
      <w:r>
        <w:rPr/>
        <w:t>tabaka</w:t>
      </w:r>
      <w:r>
        <w:rPr>
          <w:spacing w:val="-13"/>
        </w:rPr>
        <w:t> </w:t>
      </w:r>
      <w:r>
        <w:rPr/>
        <w:t>oluşarak</w:t>
      </w:r>
      <w:r>
        <w:rPr>
          <w:spacing w:val="-13"/>
        </w:rPr>
        <w:t> </w:t>
      </w:r>
      <w:r>
        <w:rPr/>
        <w:t>ve</w:t>
      </w:r>
      <w:r>
        <w:rPr>
          <w:spacing w:val="-13"/>
        </w:rPr>
        <w:t> </w:t>
      </w:r>
      <w:r>
        <w:rPr/>
        <w:t>genelde</w:t>
      </w:r>
      <w:r>
        <w:rPr>
          <w:spacing w:val="-12"/>
        </w:rPr>
        <w:t> </w:t>
      </w:r>
      <w:r>
        <w:rPr/>
        <w:t>tipi</w:t>
      </w:r>
      <w:r>
        <w:rPr>
          <w:spacing w:val="-13"/>
        </w:rPr>
        <w:t> </w:t>
      </w:r>
      <w:r>
        <w:rPr/>
        <w:t>sonrasında</w:t>
      </w:r>
      <w:r>
        <w:rPr>
          <w:spacing w:val="-12"/>
        </w:rPr>
        <w:t> </w:t>
      </w:r>
      <w:r>
        <w:rPr/>
        <w:t>gelen</w:t>
      </w:r>
      <w:r>
        <w:rPr>
          <w:spacing w:val="-13"/>
        </w:rPr>
        <w:t> </w:t>
      </w:r>
      <w:r>
        <w:rPr/>
        <w:t>sıcak</w:t>
      </w:r>
      <w:r>
        <w:rPr>
          <w:spacing w:val="-12"/>
        </w:rPr>
        <w:t> </w:t>
      </w:r>
      <w:r>
        <w:rPr/>
        <w:t>hava</w:t>
      </w:r>
      <w:r>
        <w:rPr>
          <w:spacing w:val="-13"/>
        </w:rPr>
        <w:t> </w:t>
      </w:r>
      <w:r>
        <w:rPr/>
        <w:t>akımının</w:t>
      </w:r>
      <w:r>
        <w:rPr>
          <w:spacing w:val="-13"/>
        </w:rPr>
        <w:t> </w:t>
      </w:r>
      <w:r>
        <w:rPr/>
        <w:t>iki</w:t>
      </w:r>
      <w:r>
        <w:rPr>
          <w:spacing w:val="-14"/>
        </w:rPr>
        <w:t> </w:t>
      </w:r>
      <w:r>
        <w:rPr/>
        <w:t>tabaka</w:t>
      </w:r>
      <w:r>
        <w:rPr>
          <w:spacing w:val="-14"/>
        </w:rPr>
        <w:t> </w:t>
      </w:r>
      <w:r>
        <w:rPr/>
        <w:t>arasını eritip kaygan yüzey olması ile olmaktadır (Ayçiçek, 2002:</w:t>
      </w:r>
      <w:r>
        <w:rPr>
          <w:spacing w:val="-4"/>
        </w:rPr>
        <w:t> </w:t>
      </w:r>
      <w:r>
        <w:rPr/>
        <w:t>25).</w:t>
      </w:r>
    </w:p>
    <w:p>
      <w:pPr>
        <w:pStyle w:val="BodyText"/>
        <w:spacing w:line="360" w:lineRule="auto"/>
        <w:ind w:left="1128" w:right="613" w:firstLine="708"/>
        <w:jc w:val="both"/>
      </w:pPr>
      <w:r>
        <w:rPr/>
        <w:t>Çığ,</w:t>
      </w:r>
      <w:r>
        <w:rPr>
          <w:spacing w:val="-10"/>
        </w:rPr>
        <w:t> </w:t>
      </w:r>
      <w:r>
        <w:rPr/>
        <w:t>toprak,</w:t>
      </w:r>
      <w:r>
        <w:rPr>
          <w:spacing w:val="-9"/>
        </w:rPr>
        <w:t> </w:t>
      </w:r>
      <w:r>
        <w:rPr/>
        <w:t>kayaçlar</w:t>
      </w:r>
      <w:r>
        <w:rPr>
          <w:spacing w:val="-6"/>
        </w:rPr>
        <w:t> </w:t>
      </w:r>
      <w:r>
        <w:rPr>
          <w:spacing w:val="-3"/>
        </w:rPr>
        <w:t>ya</w:t>
      </w:r>
      <w:r>
        <w:rPr>
          <w:spacing w:val="-7"/>
        </w:rPr>
        <w:t> </w:t>
      </w:r>
      <w:r>
        <w:rPr/>
        <w:t>da</w:t>
      </w:r>
      <w:r>
        <w:rPr>
          <w:spacing w:val="-10"/>
        </w:rPr>
        <w:t> </w:t>
      </w:r>
      <w:r>
        <w:rPr/>
        <w:t>buz</w:t>
      </w:r>
      <w:r>
        <w:rPr>
          <w:spacing w:val="-7"/>
        </w:rPr>
        <w:t> </w:t>
      </w:r>
      <w:r>
        <w:rPr/>
        <w:t>parçaları</w:t>
      </w:r>
      <w:r>
        <w:rPr>
          <w:spacing w:val="-9"/>
        </w:rPr>
        <w:t> </w:t>
      </w:r>
      <w:r>
        <w:rPr/>
        <w:t>içerebilen</w:t>
      </w:r>
      <w:r>
        <w:rPr>
          <w:spacing w:val="-9"/>
        </w:rPr>
        <w:t> </w:t>
      </w:r>
      <w:r>
        <w:rPr/>
        <w:t>ve</w:t>
      </w:r>
      <w:r>
        <w:rPr>
          <w:spacing w:val="-8"/>
        </w:rPr>
        <w:t> </w:t>
      </w:r>
      <w:r>
        <w:rPr/>
        <w:t>düşen</w:t>
      </w:r>
      <w:r>
        <w:rPr>
          <w:spacing w:val="-10"/>
        </w:rPr>
        <w:t> </w:t>
      </w:r>
      <w:r>
        <w:rPr/>
        <w:t>kar</w:t>
      </w:r>
      <w:r>
        <w:rPr>
          <w:spacing w:val="-9"/>
        </w:rPr>
        <w:t> </w:t>
      </w:r>
      <w:r>
        <w:rPr/>
        <w:t>kütlesidir</w:t>
      </w:r>
      <w:r>
        <w:rPr>
          <w:spacing w:val="-8"/>
        </w:rPr>
        <w:t> </w:t>
      </w:r>
      <w:r>
        <w:rPr/>
        <w:t>(Varol, 2005: 7).</w:t>
      </w:r>
    </w:p>
    <w:p>
      <w:pPr>
        <w:pStyle w:val="BodyText"/>
        <w:spacing w:line="360" w:lineRule="auto"/>
        <w:ind w:left="1128" w:right="619" w:firstLine="708"/>
        <w:jc w:val="both"/>
      </w:pPr>
      <w:r>
        <w:rPr/>
        <w:t>Çığ çoğunlukla yerleşim yerlerinin olmadığı yerlerde olsa da yerleşim yerlerinin olduğu yerlerde olması durumunda çok fazla mal ve can kayıplarına sebep olmaktadır.</w:t>
      </w:r>
    </w:p>
    <w:p>
      <w:pPr>
        <w:pStyle w:val="BodyText"/>
        <w:spacing w:line="360" w:lineRule="auto"/>
        <w:ind w:left="1128" w:right="611" w:firstLine="708"/>
        <w:jc w:val="both"/>
      </w:pPr>
      <w:r>
        <w:rPr/>
        <w:t>Türkiye’nin yüzölçümünün 1/3’lük kısmını dağlık araziler oluşturduğu için çığ ülkemizde önemli ölçüde tehlike oluşturmaktadır. Örnek olarak 1958 yılında Türkiye’deki kaydedilen verilere göre 448 çığ vakası bulunmakta ve bu vakalar önemli ölçüde kayıplara sebep olmuştur. Türkiye’de 1991-1992 kış döneminde yaşanan çığ vakası 328 kişinin ölümüne sebep olmuştur (Afet İşleri Genel Müdürlüğü, 1999).</w:t>
      </w:r>
    </w:p>
    <w:p>
      <w:pPr>
        <w:pStyle w:val="BodyText"/>
        <w:spacing w:line="360" w:lineRule="auto"/>
        <w:ind w:left="1128" w:right="608" w:firstLine="708"/>
        <w:jc w:val="both"/>
      </w:pPr>
      <w:r>
        <w:rPr/>
        <w:t>Türkiye’de çığ düşmeleri kar yağışın çok olduğu Doğu Anadolu bölgesi, Güneydoğu Anadolu bölgesi ile Karadeniz bölgesinin iç kısımlarında etkili olmaktadır (Ergünay, 2007: 10).</w:t>
      </w:r>
    </w:p>
    <w:p>
      <w:pPr>
        <w:pStyle w:val="BodyText"/>
        <w:spacing w:before="5"/>
        <w:rPr>
          <w:sz w:val="36"/>
        </w:rPr>
      </w:pPr>
    </w:p>
    <w:p>
      <w:pPr>
        <w:pStyle w:val="Heading1"/>
        <w:numPr>
          <w:ilvl w:val="3"/>
          <w:numId w:val="5"/>
        </w:numPr>
        <w:tabs>
          <w:tab w:pos="2617" w:val="left" w:leader="none"/>
        </w:tabs>
        <w:spacing w:line="240" w:lineRule="auto" w:before="0" w:after="0"/>
        <w:ind w:left="2616" w:right="0" w:hanging="780"/>
        <w:jc w:val="left"/>
      </w:pPr>
      <w:bookmarkStart w:name="_bookmark13" w:id="39"/>
      <w:bookmarkEnd w:id="39"/>
      <w:r>
        <w:rPr>
          <w:b w:val="0"/>
        </w:rPr>
      </w:r>
      <w:bookmarkStart w:name="_bookmark13" w:id="40"/>
      <w:bookmarkEnd w:id="40"/>
      <w:r>
        <w:rPr/>
        <w:t>O</w:t>
      </w:r>
      <w:r>
        <w:rPr/>
        <w:t>rman</w:t>
      </w:r>
      <w:r>
        <w:rPr>
          <w:spacing w:val="-1"/>
        </w:rPr>
        <w:t> </w:t>
      </w:r>
      <w:r>
        <w:rPr/>
        <w:t>Yangınları</w:t>
      </w:r>
    </w:p>
    <w:p>
      <w:pPr>
        <w:pStyle w:val="BodyText"/>
        <w:spacing w:line="360" w:lineRule="auto" w:before="134"/>
        <w:ind w:left="1128" w:right="613" w:firstLine="708"/>
        <w:jc w:val="both"/>
      </w:pPr>
      <w:r>
        <w:rPr/>
        <w:t>Ormanlar doğal oluşan süreç ve oluşumların tesirlerine açık ve karmaşık bir ekosistemdir. Orman yangınları çoğunlukla ekosistemde görülen doğa olayıdır. Büyük şiddette olur ve insanların mal ve arazilerinde tehdit olursa doğal afet olarak nitelendirilmektedir (Çağlar, 2001: 14).</w:t>
      </w:r>
    </w:p>
    <w:p>
      <w:pPr>
        <w:pStyle w:val="BodyText"/>
        <w:spacing w:line="360" w:lineRule="auto" w:before="1"/>
        <w:ind w:left="1128" w:right="613" w:firstLine="708"/>
        <w:jc w:val="both"/>
      </w:pPr>
      <w:r>
        <w:rPr/>
        <w:t>Küresel olarak bakıldığında, afetlerin % 1’lik kısmını oluşturan yangınlar, her </w:t>
      </w:r>
      <w:r>
        <w:rPr>
          <w:spacing w:val="-3"/>
        </w:rPr>
        <w:t>yıl </w:t>
      </w:r>
      <w:r>
        <w:rPr/>
        <w:t>yaklaşık 300 bin kişinin ölüme sebep olmaktadır ve arkası kesilmeden devam etmekte olan</w:t>
      </w:r>
      <w:r>
        <w:rPr>
          <w:spacing w:val="-5"/>
        </w:rPr>
        <w:t> </w:t>
      </w:r>
      <w:r>
        <w:rPr/>
        <w:t>bu</w:t>
      </w:r>
      <w:r>
        <w:rPr>
          <w:spacing w:val="-5"/>
        </w:rPr>
        <w:t> </w:t>
      </w:r>
      <w:r>
        <w:rPr/>
        <w:t>afet</w:t>
      </w:r>
      <w:r>
        <w:rPr>
          <w:spacing w:val="-4"/>
        </w:rPr>
        <w:t> </w:t>
      </w:r>
      <w:r>
        <w:rPr/>
        <w:t>oluştuktan</w:t>
      </w:r>
      <w:r>
        <w:rPr>
          <w:spacing w:val="-5"/>
        </w:rPr>
        <w:t> </w:t>
      </w:r>
      <w:r>
        <w:rPr/>
        <w:t>sonra,</w:t>
      </w:r>
      <w:r>
        <w:rPr>
          <w:spacing w:val="-5"/>
        </w:rPr>
        <w:t> </w:t>
      </w:r>
      <w:r>
        <w:rPr/>
        <w:t>aileleri,</w:t>
      </w:r>
      <w:r>
        <w:rPr>
          <w:spacing w:val="-5"/>
        </w:rPr>
        <w:t> </w:t>
      </w:r>
      <w:r>
        <w:rPr/>
        <w:t>iş yerlerini,</w:t>
      </w:r>
      <w:r>
        <w:rPr>
          <w:spacing w:val="-4"/>
        </w:rPr>
        <w:t> </w:t>
      </w:r>
      <w:r>
        <w:rPr/>
        <w:t>şehirleri</w:t>
      </w:r>
      <w:r>
        <w:rPr>
          <w:spacing w:val="-4"/>
        </w:rPr>
        <w:t> </w:t>
      </w:r>
      <w:r>
        <w:rPr/>
        <w:t>ve</w:t>
      </w:r>
      <w:r>
        <w:rPr>
          <w:spacing w:val="-6"/>
        </w:rPr>
        <w:t> </w:t>
      </w:r>
      <w:r>
        <w:rPr/>
        <w:t>özellikle</w:t>
      </w:r>
      <w:r>
        <w:rPr>
          <w:spacing w:val="-6"/>
        </w:rPr>
        <w:t> </w:t>
      </w:r>
      <w:r>
        <w:rPr/>
        <w:t>binlerce</w:t>
      </w:r>
      <w:r>
        <w:rPr>
          <w:spacing w:val="-6"/>
        </w:rPr>
        <w:t> </w:t>
      </w:r>
      <w:r>
        <w:rPr/>
        <w:t>hektarlık orman alanların da oluşan felaketle ölüme sebep olmaktadır (Olgun, 2006:</w:t>
      </w:r>
      <w:r>
        <w:rPr>
          <w:spacing w:val="-5"/>
        </w:rPr>
        <w:t> </w:t>
      </w:r>
      <w:r>
        <w:rPr/>
        <w:t>45).</w:t>
      </w:r>
    </w:p>
    <w:p>
      <w:pPr>
        <w:spacing w:after="0" w:line="360" w:lineRule="auto"/>
        <w:jc w:val="both"/>
        <w:sectPr>
          <w:pgSz w:w="11910" w:h="16840"/>
          <w:pgMar w:header="0" w:footer="1049" w:top="1580" w:bottom="1240" w:left="1140" w:right="520"/>
        </w:sectPr>
      </w:pPr>
    </w:p>
    <w:p>
      <w:pPr>
        <w:pStyle w:val="BodyText"/>
        <w:spacing w:line="360" w:lineRule="auto" w:before="98"/>
        <w:ind w:left="1128" w:right="613" w:firstLine="708"/>
        <w:jc w:val="both"/>
      </w:pPr>
      <w:r>
        <w:rPr/>
        <w:t>Orman yangınları ekolojik olarak birden fazla zarara neden olmaktadır. Bu zararların başlıca sonuçları kuraklık ve iklim değişikliğidir. Türkiye’deki orman yangınları, Hatay, Çukurova ve Akdeniz’in batısı, sahil şeridince paralel olarak uzanan yerlerde, Ege’nin geneliyle birlikte güney ve kuzeybatısı, Marmara’da İstanbul ve çevresi, Karadeniz’in batısı, İç Anadolu’nun kuzeybatısındaki ormanlık alanlarda yoğun bir şekilde görülür (Kurt, 2014: 192).</w:t>
      </w:r>
    </w:p>
    <w:p>
      <w:pPr>
        <w:pStyle w:val="BodyText"/>
        <w:spacing w:line="360" w:lineRule="auto"/>
        <w:ind w:left="1128" w:right="617" w:firstLine="708"/>
        <w:jc w:val="both"/>
      </w:pPr>
      <w:r>
        <w:rPr/>
        <w:t>Hava</w:t>
      </w:r>
      <w:r>
        <w:rPr>
          <w:spacing w:val="-19"/>
        </w:rPr>
        <w:t> </w:t>
      </w:r>
      <w:r>
        <w:rPr/>
        <w:t>sıcaklığının</w:t>
      </w:r>
      <w:r>
        <w:rPr>
          <w:spacing w:val="-15"/>
        </w:rPr>
        <w:t> </w:t>
      </w:r>
      <w:r>
        <w:rPr/>
        <w:t>çok</w:t>
      </w:r>
      <w:r>
        <w:rPr>
          <w:spacing w:val="-17"/>
        </w:rPr>
        <w:t> </w:t>
      </w:r>
      <w:r>
        <w:rPr/>
        <w:t>fazla</w:t>
      </w:r>
      <w:r>
        <w:rPr>
          <w:spacing w:val="-17"/>
        </w:rPr>
        <w:t> </w:t>
      </w:r>
      <w:r>
        <w:rPr/>
        <w:t>olduğu</w:t>
      </w:r>
      <w:r>
        <w:rPr>
          <w:spacing w:val="-11"/>
        </w:rPr>
        <w:t> </w:t>
      </w:r>
      <w:r>
        <w:rPr/>
        <w:t>yaz</w:t>
      </w:r>
      <w:r>
        <w:rPr>
          <w:spacing w:val="-17"/>
        </w:rPr>
        <w:t> </w:t>
      </w:r>
      <w:r>
        <w:rPr/>
        <w:t>aylarında</w:t>
      </w:r>
      <w:r>
        <w:rPr>
          <w:spacing w:val="-18"/>
        </w:rPr>
        <w:t> </w:t>
      </w:r>
      <w:r>
        <w:rPr/>
        <w:t>meydana</w:t>
      </w:r>
      <w:r>
        <w:rPr>
          <w:spacing w:val="-14"/>
        </w:rPr>
        <w:t> </w:t>
      </w:r>
      <w:r>
        <w:rPr/>
        <w:t>gelen</w:t>
      </w:r>
      <w:r>
        <w:rPr>
          <w:spacing w:val="-13"/>
        </w:rPr>
        <w:t> </w:t>
      </w:r>
      <w:r>
        <w:rPr/>
        <w:t>yangınlar</w:t>
      </w:r>
      <w:r>
        <w:rPr>
          <w:spacing w:val="-18"/>
        </w:rPr>
        <w:t> </w:t>
      </w:r>
      <w:r>
        <w:rPr/>
        <w:t>sıklıkla meydana gelen bir afet türüdür.</w:t>
      </w:r>
    </w:p>
    <w:p>
      <w:pPr>
        <w:pStyle w:val="BodyText"/>
        <w:spacing w:before="4"/>
        <w:rPr>
          <w:sz w:val="36"/>
        </w:rPr>
      </w:pPr>
    </w:p>
    <w:p>
      <w:pPr>
        <w:pStyle w:val="Heading1"/>
        <w:ind w:left="1836"/>
      </w:pPr>
      <w:bookmarkStart w:name="_bookmark14" w:id="41"/>
      <w:bookmarkEnd w:id="41"/>
      <w:r>
        <w:rPr>
          <w:b w:val="0"/>
        </w:rPr>
      </w:r>
      <w:r>
        <w:rPr/>
        <w:t>1.3.2. İnsan (Teknoloji) Kaynaklı Afetler</w:t>
      </w:r>
    </w:p>
    <w:p>
      <w:pPr>
        <w:pStyle w:val="BodyText"/>
        <w:spacing w:line="360" w:lineRule="auto" w:before="135"/>
        <w:ind w:left="1128" w:right="611" w:firstLine="708"/>
        <w:jc w:val="both"/>
      </w:pPr>
      <w:r>
        <w:rPr/>
        <w:t>Doğal afetler veya insan aktivitelerinin tetiklemesiyle oluşan nükleer kazalar, ulaşım,</w:t>
      </w:r>
      <w:r>
        <w:rPr>
          <w:spacing w:val="-17"/>
        </w:rPr>
        <w:t> </w:t>
      </w:r>
      <w:r>
        <w:rPr/>
        <w:t>sanayi,</w:t>
      </w:r>
      <w:r>
        <w:rPr>
          <w:spacing w:val="-17"/>
        </w:rPr>
        <w:t> </w:t>
      </w:r>
      <w:r>
        <w:rPr/>
        <w:t>siber</w:t>
      </w:r>
      <w:r>
        <w:rPr>
          <w:spacing w:val="-19"/>
        </w:rPr>
        <w:t> </w:t>
      </w:r>
      <w:r>
        <w:rPr/>
        <w:t>tehlikeler,</w:t>
      </w:r>
      <w:r>
        <w:rPr>
          <w:spacing w:val="-13"/>
        </w:rPr>
        <w:t> </w:t>
      </w:r>
      <w:r>
        <w:rPr/>
        <w:t>yapı</w:t>
      </w:r>
      <w:r>
        <w:rPr>
          <w:spacing w:val="-17"/>
        </w:rPr>
        <w:t> </w:t>
      </w:r>
      <w:r>
        <w:rPr/>
        <w:t>çökmeleri,</w:t>
      </w:r>
      <w:r>
        <w:rPr>
          <w:spacing w:val="-16"/>
        </w:rPr>
        <w:t> </w:t>
      </w:r>
      <w:r>
        <w:rPr/>
        <w:t>kimyasal</w:t>
      </w:r>
      <w:r>
        <w:rPr>
          <w:spacing w:val="-17"/>
        </w:rPr>
        <w:t> </w:t>
      </w:r>
      <w:r>
        <w:rPr/>
        <w:t>silah</w:t>
      </w:r>
      <w:r>
        <w:rPr>
          <w:spacing w:val="-18"/>
        </w:rPr>
        <w:t> </w:t>
      </w:r>
      <w:r>
        <w:rPr/>
        <w:t>ve</w:t>
      </w:r>
      <w:r>
        <w:rPr>
          <w:spacing w:val="-19"/>
        </w:rPr>
        <w:t> </w:t>
      </w:r>
      <w:r>
        <w:rPr/>
        <w:t>kazaları,</w:t>
      </w:r>
      <w:r>
        <w:rPr>
          <w:spacing w:val="-15"/>
        </w:rPr>
        <w:t> </w:t>
      </w:r>
      <w:r>
        <w:rPr/>
        <w:t>maden</w:t>
      </w:r>
      <w:r>
        <w:rPr>
          <w:spacing w:val="-17"/>
        </w:rPr>
        <w:t> </w:t>
      </w:r>
      <w:r>
        <w:rPr/>
        <w:t>kazaları ile çevresel tehlikeler vb. can kayıplarına, hastalığa, sosyal, çevresel ve ekonomik bozulmalara sebep olan acil durum </w:t>
      </w:r>
      <w:r>
        <w:rPr>
          <w:spacing w:val="-3"/>
        </w:rPr>
        <w:t>ya </w:t>
      </w:r>
      <w:r>
        <w:rPr/>
        <w:t>da afete denir ( AFAD, 2014a:</w:t>
      </w:r>
      <w:r>
        <w:rPr>
          <w:spacing w:val="3"/>
        </w:rPr>
        <w:t> </w:t>
      </w:r>
      <w:r>
        <w:rPr/>
        <w:t>145).</w:t>
      </w:r>
    </w:p>
    <w:p>
      <w:pPr>
        <w:pStyle w:val="BodyText"/>
        <w:spacing w:line="360" w:lineRule="auto"/>
        <w:ind w:left="1128" w:right="610" w:firstLine="708"/>
        <w:jc w:val="both"/>
      </w:pPr>
      <w:r>
        <w:rPr/>
        <w:t>İnsan kaynaklı afetlerde doğayla bir neden - sonuç ilişkisi olmadan direk insan kaynaklı afetlerdir. İnsan kaynaklı afetler toplumun büyük ölçüde yaralanmasına ve ölmesine sebep olan, doğal ve sosyal ortamı yok eden afetlerdir. Savaşlar ve bunların sebep olduğu göçler ile kıtlık olayları, uçak kazaları, terörizm, bina yıkılmaları, büyük araç kazaları, yangınlar, kimyasal kazalar teknolojik kaynaklı afetler içerisinden yer almaktadır (Yılmaz, 2003: 29).</w:t>
      </w:r>
    </w:p>
    <w:p>
      <w:pPr>
        <w:spacing w:after="0" w:line="360" w:lineRule="auto"/>
        <w:jc w:val="both"/>
        <w:sectPr>
          <w:pgSz w:w="11910" w:h="16840"/>
          <w:pgMar w:header="0" w:footer="1049"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4489"/>
      </w:pPr>
      <w:bookmarkStart w:name="_TOC_250001" w:id="42"/>
      <w:bookmarkEnd w:id="42"/>
      <w:r>
        <w:rPr/>
        <w:t>İKİNCİ BÖLÜM</w:t>
      </w:r>
    </w:p>
    <w:p>
      <w:pPr>
        <w:pStyle w:val="BodyText"/>
        <w:rPr>
          <w:b/>
          <w:sz w:val="26"/>
        </w:rPr>
      </w:pPr>
    </w:p>
    <w:p>
      <w:pPr>
        <w:pStyle w:val="BodyText"/>
        <w:spacing w:before="11"/>
        <w:rPr>
          <w:b/>
          <w:sz w:val="21"/>
        </w:rPr>
      </w:pPr>
    </w:p>
    <w:p>
      <w:pPr>
        <w:pStyle w:val="ListParagraph"/>
        <w:numPr>
          <w:ilvl w:val="2"/>
          <w:numId w:val="4"/>
        </w:numPr>
        <w:tabs>
          <w:tab w:pos="2018" w:val="left" w:leader="none"/>
        </w:tabs>
        <w:spacing w:line="360" w:lineRule="auto" w:before="0" w:after="0"/>
        <w:ind w:left="1128" w:right="1099" w:firstLine="708"/>
        <w:jc w:val="left"/>
        <w:rPr>
          <w:b/>
          <w:sz w:val="24"/>
        </w:rPr>
      </w:pPr>
      <w:bookmarkStart w:name="_bookmark15" w:id="43"/>
      <w:bookmarkEnd w:id="43"/>
      <w:r>
        <w:rPr/>
      </w:r>
      <w:bookmarkStart w:name="_bookmark15" w:id="44"/>
      <w:bookmarkEnd w:id="44"/>
      <w:r>
        <w:rPr>
          <w:b/>
          <w:sz w:val="24"/>
        </w:rPr>
        <w:t>A</w:t>
      </w:r>
      <w:r>
        <w:rPr>
          <w:b/>
          <w:sz w:val="24"/>
        </w:rPr>
        <w:t>FET YÖNETİMİ, TÜRKİYEDE VE BAZI ÜLKELERDEKİ AFET YÖNETİM</w:t>
      </w:r>
      <w:r>
        <w:rPr>
          <w:b/>
          <w:spacing w:val="-2"/>
          <w:sz w:val="24"/>
        </w:rPr>
        <w:t> </w:t>
      </w:r>
      <w:r>
        <w:rPr>
          <w:b/>
          <w:sz w:val="24"/>
        </w:rPr>
        <w:t>SİSTEMLERİ</w:t>
      </w:r>
    </w:p>
    <w:p>
      <w:pPr>
        <w:pStyle w:val="BodyText"/>
        <w:spacing w:before="1"/>
        <w:rPr>
          <w:b/>
          <w:sz w:val="35"/>
        </w:rPr>
      </w:pPr>
    </w:p>
    <w:p>
      <w:pPr>
        <w:pStyle w:val="Heading1"/>
        <w:numPr>
          <w:ilvl w:val="3"/>
          <w:numId w:val="4"/>
        </w:numPr>
        <w:tabs>
          <w:tab w:pos="2257" w:val="left" w:leader="none"/>
        </w:tabs>
        <w:spacing w:line="240" w:lineRule="auto" w:before="0" w:after="0"/>
        <w:ind w:left="2256" w:right="0" w:hanging="420"/>
        <w:jc w:val="left"/>
      </w:pPr>
      <w:bookmarkStart w:name="_bookmark16" w:id="45"/>
      <w:bookmarkEnd w:id="45"/>
      <w:r>
        <w:rPr>
          <w:b w:val="0"/>
        </w:rPr>
      </w:r>
      <w:bookmarkStart w:name="_bookmark16" w:id="46"/>
      <w:bookmarkEnd w:id="46"/>
      <w:r>
        <w:rPr/>
        <w:t>A</w:t>
      </w:r>
      <w:r>
        <w:rPr/>
        <w:t>fet</w:t>
      </w:r>
      <w:r>
        <w:rPr>
          <w:spacing w:val="-1"/>
        </w:rPr>
        <w:t> </w:t>
      </w:r>
      <w:r>
        <w:rPr/>
        <w:t>Yönetimi</w:t>
      </w:r>
    </w:p>
    <w:p>
      <w:pPr>
        <w:pStyle w:val="BodyText"/>
        <w:spacing w:line="360" w:lineRule="auto" w:before="132"/>
        <w:ind w:left="1128" w:right="610" w:firstLine="708"/>
        <w:jc w:val="both"/>
      </w:pPr>
      <w:r>
        <w:rPr/>
        <w:t>Afet;</w:t>
      </w:r>
      <w:r>
        <w:rPr>
          <w:spacing w:val="28"/>
        </w:rPr>
        <w:t> </w:t>
      </w:r>
      <w:r>
        <w:rPr/>
        <w:t>tehdit</w:t>
      </w:r>
      <w:r>
        <w:rPr>
          <w:spacing w:val="-16"/>
        </w:rPr>
        <w:t> </w:t>
      </w:r>
      <w:r>
        <w:rPr/>
        <w:t>altında</w:t>
      </w:r>
      <w:r>
        <w:rPr>
          <w:spacing w:val="-16"/>
        </w:rPr>
        <w:t> </w:t>
      </w:r>
      <w:r>
        <w:rPr/>
        <w:t>olan</w:t>
      </w:r>
      <w:r>
        <w:rPr>
          <w:spacing w:val="-17"/>
        </w:rPr>
        <w:t> </w:t>
      </w:r>
      <w:r>
        <w:rPr/>
        <w:t>bir</w:t>
      </w:r>
      <w:r>
        <w:rPr>
          <w:spacing w:val="-16"/>
        </w:rPr>
        <w:t> </w:t>
      </w:r>
      <w:r>
        <w:rPr/>
        <w:t>toplumun,</w:t>
      </w:r>
      <w:r>
        <w:rPr>
          <w:spacing w:val="-15"/>
        </w:rPr>
        <w:t> </w:t>
      </w:r>
      <w:r>
        <w:rPr/>
        <w:t>mahallî</w:t>
      </w:r>
      <w:r>
        <w:rPr>
          <w:spacing w:val="-15"/>
        </w:rPr>
        <w:t> </w:t>
      </w:r>
      <w:r>
        <w:rPr/>
        <w:t>müdahalenin</w:t>
      </w:r>
      <w:r>
        <w:rPr>
          <w:spacing w:val="-12"/>
        </w:rPr>
        <w:t> </w:t>
      </w:r>
      <w:r>
        <w:rPr/>
        <w:t>yeterli</w:t>
      </w:r>
      <w:r>
        <w:rPr>
          <w:spacing w:val="-16"/>
        </w:rPr>
        <w:t> </w:t>
      </w:r>
      <w:r>
        <w:rPr/>
        <w:t>olmadığı,</w:t>
      </w:r>
      <w:r>
        <w:rPr>
          <w:spacing w:val="-14"/>
        </w:rPr>
        <w:t> </w:t>
      </w:r>
      <w:r>
        <w:rPr/>
        <w:t>milli kaynakların seferber edilerek, toplumda çok can ve mal kayıplarına sebep olduğu beklenmeyen ve istenmeyen olaylardır. Heyelan küçük boyuttaki depremler, seller afet olarak değerlendirilmektedir (Drabek, 1996: 2-3).</w:t>
      </w:r>
    </w:p>
    <w:p>
      <w:pPr>
        <w:pStyle w:val="BodyText"/>
        <w:spacing w:line="360" w:lineRule="auto" w:before="1"/>
        <w:ind w:left="1128" w:right="610" w:firstLine="708"/>
        <w:jc w:val="both"/>
      </w:pPr>
      <w:r>
        <w:rPr/>
        <w:t>Afet yönetimi, afetlerde zararların azaltılması ve önlenebilmesi için, afet öncesinde,</w:t>
      </w:r>
      <w:r>
        <w:rPr>
          <w:spacing w:val="-10"/>
        </w:rPr>
        <w:t> </w:t>
      </w:r>
      <w:r>
        <w:rPr/>
        <w:t>afet</w:t>
      </w:r>
      <w:r>
        <w:rPr>
          <w:spacing w:val="-9"/>
        </w:rPr>
        <w:t> </w:t>
      </w:r>
      <w:r>
        <w:rPr/>
        <w:t>anında</w:t>
      </w:r>
      <w:r>
        <w:rPr>
          <w:spacing w:val="-9"/>
        </w:rPr>
        <w:t> </w:t>
      </w:r>
      <w:r>
        <w:rPr/>
        <w:t>ve</w:t>
      </w:r>
      <w:r>
        <w:rPr>
          <w:spacing w:val="-8"/>
        </w:rPr>
        <w:t> </w:t>
      </w:r>
      <w:r>
        <w:rPr/>
        <w:t>afet</w:t>
      </w:r>
      <w:r>
        <w:rPr>
          <w:spacing w:val="-9"/>
        </w:rPr>
        <w:t> </w:t>
      </w:r>
      <w:r>
        <w:rPr/>
        <w:t>sonrasında</w:t>
      </w:r>
      <w:r>
        <w:rPr>
          <w:spacing w:val="-3"/>
        </w:rPr>
        <w:t> </w:t>
      </w:r>
      <w:r>
        <w:rPr/>
        <w:t>yapılmasının</w:t>
      </w:r>
      <w:r>
        <w:rPr>
          <w:spacing w:val="-9"/>
        </w:rPr>
        <w:t> </w:t>
      </w:r>
      <w:r>
        <w:rPr/>
        <w:t>gerekli</w:t>
      </w:r>
      <w:r>
        <w:rPr>
          <w:spacing w:val="-6"/>
        </w:rPr>
        <w:t> </w:t>
      </w:r>
      <w:r>
        <w:rPr/>
        <w:t>görüldüğü</w:t>
      </w:r>
      <w:r>
        <w:rPr>
          <w:spacing w:val="-4"/>
        </w:rPr>
        <w:t> </w:t>
      </w:r>
      <w:r>
        <w:rPr/>
        <w:t>yasal,</w:t>
      </w:r>
      <w:r>
        <w:rPr>
          <w:spacing w:val="-8"/>
        </w:rPr>
        <w:t> </w:t>
      </w:r>
      <w:r>
        <w:rPr/>
        <w:t>teknik</w:t>
      </w:r>
      <w:r>
        <w:rPr>
          <w:spacing w:val="-9"/>
        </w:rPr>
        <w:t> </w:t>
      </w:r>
      <w:r>
        <w:rPr/>
        <w:t>ve yönetsel çalışmaların belirlenmesi ve uygulanması, herhangi bir afet durumunda karşılaşıldığında</w:t>
      </w:r>
      <w:r>
        <w:rPr>
          <w:spacing w:val="-18"/>
        </w:rPr>
        <w:t> </w:t>
      </w:r>
      <w:r>
        <w:rPr/>
        <w:t>etkin</w:t>
      </w:r>
      <w:r>
        <w:rPr>
          <w:spacing w:val="-18"/>
        </w:rPr>
        <w:t> </w:t>
      </w:r>
      <w:r>
        <w:rPr/>
        <w:t>bir</w:t>
      </w:r>
      <w:r>
        <w:rPr>
          <w:spacing w:val="-15"/>
        </w:rPr>
        <w:t> </w:t>
      </w:r>
      <w:r>
        <w:rPr/>
        <w:t>uygulama</w:t>
      </w:r>
      <w:r>
        <w:rPr>
          <w:spacing w:val="-14"/>
        </w:rPr>
        <w:t> </w:t>
      </w:r>
      <w:r>
        <w:rPr/>
        <w:t>yapmayı</w:t>
      </w:r>
      <w:r>
        <w:rPr>
          <w:spacing w:val="-17"/>
        </w:rPr>
        <w:t> </w:t>
      </w:r>
      <w:r>
        <w:rPr/>
        <w:t>sağlayan</w:t>
      </w:r>
      <w:r>
        <w:rPr>
          <w:spacing w:val="-17"/>
        </w:rPr>
        <w:t> </w:t>
      </w:r>
      <w:r>
        <w:rPr/>
        <w:t>ve</w:t>
      </w:r>
      <w:r>
        <w:rPr>
          <w:spacing w:val="-19"/>
        </w:rPr>
        <w:t> </w:t>
      </w:r>
      <w:r>
        <w:rPr/>
        <w:t>bu</w:t>
      </w:r>
      <w:r>
        <w:rPr>
          <w:spacing w:val="-17"/>
        </w:rPr>
        <w:t> </w:t>
      </w:r>
      <w:r>
        <w:rPr/>
        <w:t>olaylardan</w:t>
      </w:r>
      <w:r>
        <w:rPr>
          <w:spacing w:val="-18"/>
        </w:rPr>
        <w:t> </w:t>
      </w:r>
      <w:r>
        <w:rPr/>
        <w:t>sonrasında</w:t>
      </w:r>
      <w:r>
        <w:rPr>
          <w:spacing w:val="-18"/>
        </w:rPr>
        <w:t> </w:t>
      </w:r>
      <w:r>
        <w:rPr/>
        <w:t>ortaya çıkan deneyimlerden mevcut sistemi geliştiren uzmanlık alanındadır. Afet yönetimi devamlılık gerektiren dinamik bir yönetim şeklidir. Afet olgusundaki boyut ve çeşit ile orantılı olarak afet yönetimi olayın oluşuna göre şekillendiği söylenir. Bölgesel veya ülkesel boyutta etkili olan bir afet ile küçük boyutlu bir afet olayında oluşturulacak yönetim modeli arasında büyük farlılıklar bulunmaktadır (Akdağ, 2002:</w:t>
      </w:r>
      <w:r>
        <w:rPr>
          <w:spacing w:val="-2"/>
        </w:rPr>
        <w:t> </w:t>
      </w:r>
      <w:r>
        <w:rPr/>
        <w:t>5-6).</w:t>
      </w:r>
    </w:p>
    <w:p>
      <w:pPr>
        <w:pStyle w:val="BodyText"/>
        <w:spacing w:line="360" w:lineRule="auto"/>
        <w:ind w:left="1128" w:right="611" w:firstLine="708"/>
        <w:jc w:val="both"/>
      </w:pPr>
      <w:r>
        <w:rPr/>
        <w:t>Afet yönetimi stratejik yönetim anlayışı içinde bulunmak mecburiyetindedir. Stratejik</w:t>
      </w:r>
      <w:r>
        <w:rPr>
          <w:spacing w:val="-9"/>
        </w:rPr>
        <w:t> </w:t>
      </w:r>
      <w:r>
        <w:rPr/>
        <w:t>yönetim,</w:t>
      </w:r>
      <w:r>
        <w:rPr>
          <w:spacing w:val="-11"/>
        </w:rPr>
        <w:t> </w:t>
      </w:r>
      <w:r>
        <w:rPr/>
        <w:t>etkili</w:t>
      </w:r>
      <w:r>
        <w:rPr>
          <w:spacing w:val="-9"/>
        </w:rPr>
        <w:t> </w:t>
      </w:r>
      <w:r>
        <w:rPr/>
        <w:t>olacak</w:t>
      </w:r>
      <w:r>
        <w:rPr>
          <w:spacing w:val="-12"/>
        </w:rPr>
        <w:t> </w:t>
      </w:r>
      <w:r>
        <w:rPr/>
        <w:t>stratejiler</w:t>
      </w:r>
      <w:r>
        <w:rPr>
          <w:spacing w:val="-9"/>
        </w:rPr>
        <w:t> </w:t>
      </w:r>
      <w:r>
        <w:rPr/>
        <w:t>geliştirmek,</w:t>
      </w:r>
      <w:r>
        <w:rPr>
          <w:spacing w:val="-12"/>
        </w:rPr>
        <w:t> </w:t>
      </w:r>
      <w:r>
        <w:rPr/>
        <w:t>uygulamak</w:t>
      </w:r>
      <w:r>
        <w:rPr>
          <w:spacing w:val="-11"/>
        </w:rPr>
        <w:t> </w:t>
      </w:r>
      <w:r>
        <w:rPr/>
        <w:t>ve</w:t>
      </w:r>
      <w:r>
        <w:rPr>
          <w:spacing w:val="-9"/>
        </w:rPr>
        <w:t> </w:t>
      </w:r>
      <w:r>
        <w:rPr/>
        <w:t>elde</w:t>
      </w:r>
      <w:r>
        <w:rPr>
          <w:spacing w:val="-11"/>
        </w:rPr>
        <w:t> </w:t>
      </w:r>
      <w:r>
        <w:rPr/>
        <w:t>edilen</w:t>
      </w:r>
      <w:r>
        <w:rPr>
          <w:spacing w:val="-11"/>
        </w:rPr>
        <w:t> </w:t>
      </w:r>
      <w:r>
        <w:rPr/>
        <w:t>sonuçları değerlendirerek teyit etmeye yönelik çalışmalar ve kararların bütününü kapsamaktadır (Dinçer, 1998:</w:t>
      </w:r>
      <w:r>
        <w:rPr>
          <w:spacing w:val="-1"/>
        </w:rPr>
        <w:t> </w:t>
      </w:r>
      <w:r>
        <w:rPr/>
        <w:t>35).</w:t>
      </w:r>
    </w:p>
    <w:p>
      <w:pPr>
        <w:pStyle w:val="BodyText"/>
        <w:rPr>
          <w:sz w:val="26"/>
        </w:rPr>
      </w:pPr>
    </w:p>
    <w:p>
      <w:pPr>
        <w:pStyle w:val="BodyText"/>
        <w:rPr>
          <w:sz w:val="26"/>
        </w:rPr>
      </w:pPr>
    </w:p>
    <w:p>
      <w:pPr>
        <w:pStyle w:val="BodyText"/>
        <w:spacing w:before="5"/>
        <w:rPr>
          <w:sz w:val="20"/>
        </w:rPr>
      </w:pPr>
    </w:p>
    <w:p>
      <w:pPr>
        <w:pStyle w:val="Heading1"/>
        <w:numPr>
          <w:ilvl w:val="3"/>
          <w:numId w:val="4"/>
        </w:numPr>
        <w:tabs>
          <w:tab w:pos="2257" w:val="left" w:leader="none"/>
        </w:tabs>
        <w:spacing w:line="240" w:lineRule="auto" w:before="0" w:after="0"/>
        <w:ind w:left="2256" w:right="0" w:hanging="420"/>
        <w:jc w:val="left"/>
      </w:pPr>
      <w:bookmarkStart w:name="_bookmark17" w:id="47"/>
      <w:bookmarkEnd w:id="47"/>
      <w:r>
        <w:rPr>
          <w:b w:val="0"/>
        </w:rPr>
      </w:r>
      <w:bookmarkStart w:name="_bookmark17" w:id="48"/>
      <w:bookmarkEnd w:id="48"/>
      <w:r>
        <w:rPr/>
        <w:t>A</w:t>
      </w:r>
      <w:r>
        <w:rPr/>
        <w:t>fet Yönetim</w:t>
      </w:r>
      <w:r>
        <w:rPr>
          <w:spacing w:val="-5"/>
        </w:rPr>
        <w:t> </w:t>
      </w:r>
      <w:r>
        <w:rPr/>
        <w:t>Evreleri</w:t>
      </w:r>
    </w:p>
    <w:p>
      <w:pPr>
        <w:pStyle w:val="BodyText"/>
        <w:spacing w:line="360" w:lineRule="auto" w:before="134"/>
        <w:ind w:left="1128" w:right="612" w:firstLine="708"/>
        <w:jc w:val="both"/>
      </w:pPr>
      <w:r>
        <w:rPr/>
        <w:t>Afet yönetimi öncelikle afet öncesi ve afet oluştuğu andan itibaren ve afet sonrasındaki döneme ait yönetim olarak iki gruba ayrılmaktadır. Afet oluşmadan önceki yapılan faaliyetler afet öncesi yönetim evresinde bulunmaktadır. Bu dönemde yapılan çalışmalara risk yönetimi de denir. Risk yönetiminde, oluşacak afete karşı afet riskleri</w:t>
      </w:r>
    </w:p>
    <w:p>
      <w:pPr>
        <w:spacing w:after="0" w:line="360" w:lineRule="auto"/>
        <w:jc w:val="both"/>
        <w:sectPr>
          <w:footerReference w:type="default" r:id="rId15"/>
          <w:pgSz w:w="11910" w:h="16840"/>
          <w:pgMar w:footer="779" w:header="0" w:top="1580" w:bottom="960" w:left="1140" w:right="520"/>
        </w:sectPr>
      </w:pPr>
    </w:p>
    <w:p>
      <w:pPr>
        <w:pStyle w:val="BodyText"/>
        <w:spacing w:line="360" w:lineRule="auto" w:before="98"/>
        <w:ind w:left="1128" w:right="611"/>
        <w:jc w:val="both"/>
      </w:pPr>
      <w:r>
        <w:rPr/>
        <w:t>azaltma faaliyetleri içermektedir. Afet sonrası yönetimi, afet oluştuğu andan itibaren ve afet sonrasındaki yapılacak faaliyetleri içermektedir. Bu dönemde yapılan çalışmalara kriz yönetimi denir. Kriz yönetiminde afet oluştuktan sonraki kurtarma faaliyetlerini kapsamaktadır (Kadıoğlu ve Özdamar, 2005: 2).</w:t>
      </w:r>
    </w:p>
    <w:p>
      <w:pPr>
        <w:pStyle w:val="BodyText"/>
        <w:spacing w:before="8"/>
        <w:rPr>
          <w:sz w:val="35"/>
        </w:rPr>
      </w:pPr>
    </w:p>
    <w:p>
      <w:pPr>
        <w:pStyle w:val="BodyText"/>
        <w:ind w:left="1836"/>
      </w:pPr>
      <w:r>
        <w:rPr/>
        <w:t>Afet yönetimi evreleri şekil 2. 1’de gösterilmiştir.</w:t>
      </w:r>
    </w:p>
    <w:p>
      <w:pPr>
        <w:pStyle w:val="BodyText"/>
        <w:rPr>
          <w:sz w:val="26"/>
        </w:rPr>
      </w:pPr>
    </w:p>
    <w:p>
      <w:pPr>
        <w:pStyle w:val="BodyText"/>
        <w:spacing w:before="4"/>
        <w:rPr>
          <w:sz w:val="30"/>
        </w:rPr>
      </w:pPr>
    </w:p>
    <w:p>
      <w:pPr>
        <w:pStyle w:val="Heading1"/>
        <w:ind w:left="3716"/>
      </w:pPr>
      <w:r>
        <w:rPr/>
        <w:t>Şekil 2. 1. Afet Yönetim Evreleri</w:t>
      </w:r>
    </w:p>
    <w:p>
      <w:pPr>
        <w:pStyle w:val="BodyText"/>
        <w:spacing w:before="11"/>
        <w:rPr>
          <w:b/>
          <w:sz w:val="12"/>
        </w:rPr>
      </w:pPr>
      <w:r>
        <w:rPr/>
        <w:pict>
          <v:group style="position:absolute;margin-left:113.75pt;margin-top:9.818818pt;width:415.7pt;height:227.1pt;mso-position-horizontal-relative:page;mso-position-vertical-relative:paragraph;z-index:-904;mso-wrap-distance-left:0;mso-wrap-distance-right:0" coordorigin="2275,196" coordsize="8314,4542">
            <v:shape style="position:absolute;left:2278;top:199;width:8222;height:4396" type="#_x0000_t75" stroked="false">
              <v:imagedata r:id="rId17" o:title=""/>
            </v:shape>
            <v:line style="position:absolute" from="2284,204" to="10499,204" stroked="true" strokeweight=".77pt" strokecolor="#000000">
              <v:stroke dashstyle="solid"/>
            </v:line>
            <v:line style="position:absolute" from="2282,196" to="2282,4612" stroked="true" strokeweight=".72pt" strokecolor="#000000">
              <v:stroke dashstyle="solid"/>
            </v:line>
            <v:line style="position:absolute" from="10507,196" to="10507,4597" stroked="true" strokeweight=".72pt" strokecolor="#000000">
              <v:stroke dashstyle="solid"/>
            </v:line>
            <v:line style="position:absolute" from="2284,4604" to="10499,4604" stroked="true" strokeweight=".77pt" strokecolor="#000000">
              <v:stroke dashstyle="solid"/>
            </v:line>
            <v:shape style="position:absolute;left:10499;top:4433;width:90;height:305" type="#_x0000_t75" stroked="false">
              <v:imagedata r:id="rId18" o:title=""/>
            </v:shape>
            <w10:wrap type="topAndBottom"/>
          </v:group>
        </w:pict>
      </w:r>
    </w:p>
    <w:p>
      <w:pPr>
        <w:pStyle w:val="BodyText"/>
        <w:spacing w:before="5"/>
        <w:rPr>
          <w:b/>
          <w:sz w:val="3"/>
        </w:rPr>
      </w:pPr>
    </w:p>
    <w:p>
      <w:pPr>
        <w:pStyle w:val="BodyText"/>
        <w:ind w:left="1843"/>
        <w:rPr>
          <w:sz w:val="20"/>
        </w:rPr>
      </w:pPr>
      <w:r>
        <w:rPr>
          <w:sz w:val="20"/>
        </w:rPr>
        <w:drawing>
          <wp:inline distT="0" distB="0" distL="0" distR="0">
            <wp:extent cx="50537" cy="196024"/>
            <wp:effectExtent l="0" t="0" r="0" b="0"/>
            <wp:docPr id="7" name="image6.png" descr=""/>
            <wp:cNvGraphicFramePr>
              <a:graphicFrameLocks noChangeAspect="1"/>
            </wp:cNvGraphicFramePr>
            <a:graphic>
              <a:graphicData uri="http://schemas.openxmlformats.org/drawingml/2006/picture">
                <pic:pic>
                  <pic:nvPicPr>
                    <pic:cNvPr id="8" name="image6.png"/>
                    <pic:cNvPicPr/>
                  </pic:nvPicPr>
                  <pic:blipFill>
                    <a:blip r:embed="rId19" cstate="print"/>
                    <a:stretch>
                      <a:fillRect/>
                    </a:stretch>
                  </pic:blipFill>
                  <pic:spPr>
                    <a:xfrm>
                      <a:off x="0" y="0"/>
                      <a:ext cx="50537" cy="196024"/>
                    </a:xfrm>
                    <a:prstGeom prst="rect">
                      <a:avLst/>
                    </a:prstGeom>
                  </pic:spPr>
                </pic:pic>
              </a:graphicData>
            </a:graphic>
          </wp:inline>
        </w:drawing>
      </w:r>
      <w:r>
        <w:rPr>
          <w:sz w:val="20"/>
        </w:rPr>
      </w:r>
    </w:p>
    <w:p>
      <w:pPr>
        <w:spacing w:before="180"/>
        <w:ind w:left="1128" w:right="0" w:firstLine="0"/>
        <w:jc w:val="left"/>
        <w:rPr>
          <w:sz w:val="20"/>
        </w:rPr>
      </w:pPr>
      <w:r>
        <w:rPr>
          <w:b/>
          <w:sz w:val="20"/>
        </w:rPr>
        <w:t>Kaynak: </w:t>
      </w:r>
      <w:r>
        <w:rPr>
          <w:sz w:val="20"/>
        </w:rPr>
        <w:t>Özaslantaş, 2011: 33</w:t>
      </w:r>
    </w:p>
    <w:p>
      <w:pPr>
        <w:pStyle w:val="BodyText"/>
        <w:spacing w:line="360" w:lineRule="auto" w:before="180"/>
        <w:ind w:left="1128" w:right="610" w:firstLine="708"/>
        <w:jc w:val="both"/>
      </w:pPr>
      <w:r>
        <w:rPr/>
        <w:t>Afet öncesi yönetiminde, önceden hazırlıklı olma ve zarar azaltma evresi bulunmaktadır.</w:t>
      </w:r>
      <w:r>
        <w:rPr>
          <w:spacing w:val="-10"/>
        </w:rPr>
        <w:t> </w:t>
      </w:r>
      <w:r>
        <w:rPr/>
        <w:t>Önceden</w:t>
      </w:r>
      <w:r>
        <w:rPr>
          <w:spacing w:val="-6"/>
        </w:rPr>
        <w:t> </w:t>
      </w:r>
      <w:r>
        <w:rPr/>
        <w:t>Hazırlıklı</w:t>
      </w:r>
      <w:r>
        <w:rPr>
          <w:spacing w:val="-9"/>
        </w:rPr>
        <w:t> </w:t>
      </w:r>
      <w:r>
        <w:rPr/>
        <w:t>Olma</w:t>
      </w:r>
      <w:r>
        <w:rPr>
          <w:spacing w:val="-9"/>
        </w:rPr>
        <w:t> </w:t>
      </w:r>
      <w:r>
        <w:rPr/>
        <w:t>evresinin</w:t>
      </w:r>
      <w:r>
        <w:rPr>
          <w:spacing w:val="-9"/>
        </w:rPr>
        <w:t> </w:t>
      </w:r>
      <w:r>
        <w:rPr/>
        <w:t>alt</w:t>
      </w:r>
      <w:r>
        <w:rPr>
          <w:spacing w:val="-8"/>
        </w:rPr>
        <w:t> </w:t>
      </w:r>
      <w:r>
        <w:rPr/>
        <w:t>evreleri</w:t>
      </w:r>
      <w:r>
        <w:rPr>
          <w:spacing w:val="-9"/>
        </w:rPr>
        <w:t> </w:t>
      </w:r>
      <w:r>
        <w:rPr/>
        <w:t>olarak</w:t>
      </w:r>
      <w:r>
        <w:rPr>
          <w:spacing w:val="-9"/>
        </w:rPr>
        <w:t> </w:t>
      </w:r>
      <w:r>
        <w:rPr/>
        <w:t>tahmin,</w:t>
      </w:r>
      <w:r>
        <w:rPr>
          <w:spacing w:val="-8"/>
        </w:rPr>
        <w:t> </w:t>
      </w:r>
      <w:r>
        <w:rPr/>
        <w:t>erken</w:t>
      </w:r>
      <w:r>
        <w:rPr>
          <w:spacing w:val="-8"/>
        </w:rPr>
        <w:t> </w:t>
      </w:r>
      <w:r>
        <w:rPr/>
        <w:t>uyarı ve</w:t>
      </w:r>
      <w:r>
        <w:rPr>
          <w:spacing w:val="-10"/>
        </w:rPr>
        <w:t> </w:t>
      </w:r>
      <w:r>
        <w:rPr/>
        <w:t>afet</w:t>
      </w:r>
      <w:r>
        <w:rPr>
          <w:spacing w:val="-8"/>
        </w:rPr>
        <w:t> </w:t>
      </w:r>
      <w:r>
        <w:rPr/>
        <w:t>etki</w:t>
      </w:r>
      <w:r>
        <w:rPr>
          <w:spacing w:val="-8"/>
        </w:rPr>
        <w:t> </w:t>
      </w:r>
      <w:r>
        <w:rPr/>
        <w:t>analizi</w:t>
      </w:r>
      <w:r>
        <w:rPr>
          <w:spacing w:val="-8"/>
        </w:rPr>
        <w:t> </w:t>
      </w:r>
      <w:r>
        <w:rPr/>
        <w:t>vb.</w:t>
      </w:r>
      <w:r>
        <w:rPr>
          <w:spacing w:val="-9"/>
        </w:rPr>
        <w:t> </w:t>
      </w:r>
      <w:r>
        <w:rPr/>
        <w:t>evreler</w:t>
      </w:r>
      <w:r>
        <w:rPr>
          <w:spacing w:val="-10"/>
        </w:rPr>
        <w:t> </w:t>
      </w:r>
      <w:r>
        <w:rPr/>
        <w:t>bulunmaktadır.</w:t>
      </w:r>
      <w:r>
        <w:rPr>
          <w:spacing w:val="-7"/>
        </w:rPr>
        <w:t> </w:t>
      </w:r>
      <w:r>
        <w:rPr/>
        <w:t>Bunların</w:t>
      </w:r>
      <w:r>
        <w:rPr>
          <w:spacing w:val="-2"/>
        </w:rPr>
        <w:t> </w:t>
      </w:r>
      <w:r>
        <w:rPr/>
        <w:t>yanında</w:t>
      </w:r>
      <w:r>
        <w:rPr>
          <w:spacing w:val="-6"/>
        </w:rPr>
        <w:t> </w:t>
      </w:r>
      <w:r>
        <w:rPr/>
        <w:t>risk</w:t>
      </w:r>
      <w:r>
        <w:rPr>
          <w:spacing w:val="-9"/>
        </w:rPr>
        <w:t> </w:t>
      </w:r>
      <w:r>
        <w:rPr/>
        <w:t>azaltma</w:t>
      </w:r>
      <w:r>
        <w:rPr>
          <w:spacing w:val="-9"/>
        </w:rPr>
        <w:t> </w:t>
      </w:r>
      <w:r>
        <w:rPr/>
        <w:t>önlemleri</w:t>
      </w:r>
      <w:r>
        <w:rPr>
          <w:spacing w:val="-7"/>
        </w:rPr>
        <w:t> </w:t>
      </w:r>
      <w:r>
        <w:rPr/>
        <w:t>de bulunmaktadır. Afet risk yönetimi afetin azaltılması için stratejiler içermektedir (Kurita, 2004: 3).</w:t>
      </w:r>
    </w:p>
    <w:p>
      <w:pPr>
        <w:pStyle w:val="BodyText"/>
        <w:spacing w:line="360" w:lineRule="auto"/>
        <w:ind w:left="1128" w:right="612" w:firstLine="708"/>
        <w:jc w:val="both"/>
        <w:rPr>
          <w:b/>
        </w:rPr>
      </w:pPr>
      <w:r>
        <w:rPr/>
        <w:t>Afet sonrası yönetiminde, acil müdahale ve iyileştirme evreleri bulunmaktadır. İyileştirme evresi içerisinde yeniden yapılandırma da bulunmaktadır (Kadıoğlu ve Özdamar, 2005: 2)</w:t>
      </w:r>
      <w:r>
        <w:rPr>
          <w:b/>
        </w:rPr>
        <w:t>.</w:t>
      </w:r>
    </w:p>
    <w:p>
      <w:pPr>
        <w:pStyle w:val="BodyText"/>
        <w:spacing w:line="360" w:lineRule="auto"/>
        <w:ind w:left="1128" w:right="611" w:firstLine="708"/>
        <w:jc w:val="both"/>
      </w:pPr>
      <w:r>
        <w:rPr/>
        <w:t>Afet öncesi aşama afet yönetimin risk yönetimi bölümünü kapsamaktadır. Bu safhada yapılacak çalışmalar çok önemlidir. Bu safhadaki çalışmaların amacı</w:t>
      </w:r>
      <w:r>
        <w:rPr>
          <w:spacing w:val="-27"/>
        </w:rPr>
        <w:t> </w:t>
      </w:r>
      <w:r>
        <w:rPr/>
        <w:t>mümkünse afet zararlarını ortadan kaldırmak, mümkün değilse en</w:t>
      </w:r>
      <w:r>
        <w:rPr>
          <w:spacing w:val="3"/>
        </w:rPr>
        <w:t> </w:t>
      </w:r>
      <w:r>
        <w:rPr/>
        <w:t>aza indirmektir. Bu safha</w:t>
      </w:r>
    </w:p>
    <w:p>
      <w:pPr>
        <w:spacing w:after="0" w:line="360" w:lineRule="auto"/>
        <w:jc w:val="both"/>
        <w:sectPr>
          <w:footerReference w:type="default" r:id="rId16"/>
          <w:pgSz w:w="11910" w:h="16840"/>
          <w:pgMar w:footer="976" w:header="0" w:top="1580" w:bottom="1160" w:left="1140" w:right="520"/>
          <w:pgNumType w:start="13"/>
        </w:sectPr>
      </w:pPr>
    </w:p>
    <w:p>
      <w:pPr>
        <w:pStyle w:val="BodyText"/>
        <w:spacing w:line="360" w:lineRule="auto" w:before="98"/>
        <w:ind w:left="1128" w:right="611"/>
        <w:jc w:val="both"/>
      </w:pPr>
      <w:r>
        <w:rPr/>
        <w:t>arazilerin yerleşim açısından değerlendirilmesi, yapıların dayanıklı olarak inşa edilmesi, mevcut risklerin ortadan kaldırılması, kurtarma çalışmaları için yeterli kapasitenin oluşturulması, afet planlarının hazırlanması eğitimlerle toplumun ve kurumların afete hazır hale getirilmesi ile ilgili çalışmaları kapsar.</w:t>
      </w:r>
    </w:p>
    <w:p>
      <w:pPr>
        <w:pStyle w:val="BodyText"/>
        <w:spacing w:line="360" w:lineRule="auto"/>
        <w:ind w:left="1128" w:right="610" w:firstLine="768"/>
        <w:jc w:val="both"/>
      </w:pPr>
      <w:r>
        <w:rPr/>
        <w:t>Afet sırasında ise temel amaç devletin ve toplumun bütün imkânlarını en verimli şekilde kullanarak mümkün olan en yüksek sayıda hasta veya yaralıya en kısa zamanda kurtarabilmek ve afetzedelerin hayatlarını devam ettirebilecekleri temel imkânlara kavuşmalarını sağlamaktır. Geçici barınma yerleri, iaşenin temini, istediklerinde sağlık hizmetine</w:t>
      </w:r>
      <w:r>
        <w:rPr>
          <w:spacing w:val="-16"/>
        </w:rPr>
        <w:t> </w:t>
      </w:r>
      <w:r>
        <w:rPr/>
        <w:t>ulaşabilme</w:t>
      </w:r>
      <w:r>
        <w:rPr>
          <w:spacing w:val="-16"/>
        </w:rPr>
        <w:t> </w:t>
      </w:r>
      <w:r>
        <w:rPr/>
        <w:t>gibi</w:t>
      </w:r>
      <w:r>
        <w:rPr>
          <w:spacing w:val="-15"/>
        </w:rPr>
        <w:t> </w:t>
      </w:r>
      <w:r>
        <w:rPr/>
        <w:t>hayatı</w:t>
      </w:r>
      <w:r>
        <w:rPr>
          <w:spacing w:val="-15"/>
        </w:rPr>
        <w:t> </w:t>
      </w:r>
      <w:r>
        <w:rPr/>
        <w:t>sürdürebilmek</w:t>
      </w:r>
      <w:r>
        <w:rPr>
          <w:spacing w:val="-15"/>
        </w:rPr>
        <w:t> </w:t>
      </w:r>
      <w:r>
        <w:rPr/>
        <w:t>için</w:t>
      </w:r>
      <w:r>
        <w:rPr>
          <w:spacing w:val="-15"/>
        </w:rPr>
        <w:t> </w:t>
      </w:r>
      <w:r>
        <w:rPr/>
        <w:t>gerekli</w:t>
      </w:r>
      <w:r>
        <w:rPr>
          <w:spacing w:val="-15"/>
        </w:rPr>
        <w:t> </w:t>
      </w:r>
      <w:r>
        <w:rPr/>
        <w:t>olan</w:t>
      </w:r>
      <w:r>
        <w:rPr>
          <w:spacing w:val="-13"/>
        </w:rPr>
        <w:t> </w:t>
      </w:r>
      <w:r>
        <w:rPr/>
        <w:t>ihtiyaçların</w:t>
      </w:r>
      <w:r>
        <w:rPr>
          <w:spacing w:val="-14"/>
        </w:rPr>
        <w:t> </w:t>
      </w:r>
      <w:r>
        <w:rPr/>
        <w:t>karşılanması çalışmaları bu dönemde yürütülür.</w:t>
      </w:r>
    </w:p>
    <w:p>
      <w:pPr>
        <w:pStyle w:val="BodyText"/>
        <w:spacing w:line="360" w:lineRule="auto" w:before="1"/>
        <w:ind w:left="1128" w:right="609" w:firstLine="708"/>
        <w:jc w:val="both"/>
      </w:pPr>
      <w:r>
        <w:rPr/>
        <w:t>Afet Sonrası dönemde amaç afet zedelerin bir an önce afet öncesi sahip oldukları yaşam standartlarına ulaşmalarını sağlamaktır. Bu dönem afetin etkilerine göre birkaç</w:t>
      </w:r>
      <w:r>
        <w:rPr>
          <w:spacing w:val="-37"/>
        </w:rPr>
        <w:t> </w:t>
      </w:r>
      <w:r>
        <w:rPr/>
        <w:t>ay ile birkaç yıl arasında değişmektedir (Karabıyık, 2010: 28).</w:t>
      </w:r>
    </w:p>
    <w:p>
      <w:pPr>
        <w:pStyle w:val="BodyText"/>
        <w:spacing w:before="4"/>
        <w:rPr>
          <w:sz w:val="36"/>
        </w:rPr>
      </w:pPr>
    </w:p>
    <w:p>
      <w:pPr>
        <w:pStyle w:val="Heading1"/>
        <w:numPr>
          <w:ilvl w:val="4"/>
          <w:numId w:val="4"/>
        </w:numPr>
        <w:tabs>
          <w:tab w:pos="2437" w:val="left" w:leader="none"/>
        </w:tabs>
        <w:spacing w:line="240" w:lineRule="auto" w:before="1" w:after="0"/>
        <w:ind w:left="2436" w:right="0" w:hanging="600"/>
        <w:jc w:val="left"/>
      </w:pPr>
      <w:bookmarkStart w:name="_bookmark18" w:id="49"/>
      <w:bookmarkEnd w:id="49"/>
      <w:r>
        <w:rPr>
          <w:b w:val="0"/>
        </w:rPr>
      </w:r>
      <w:bookmarkStart w:name="_bookmark18" w:id="50"/>
      <w:bookmarkEnd w:id="50"/>
      <w:r>
        <w:rPr/>
        <w:t>Ris</w:t>
      </w:r>
      <w:r>
        <w:rPr/>
        <w:t>k\Zarar Azaltma</w:t>
      </w:r>
      <w:r>
        <w:rPr>
          <w:spacing w:val="-2"/>
        </w:rPr>
        <w:t> </w:t>
      </w:r>
      <w:r>
        <w:rPr/>
        <w:t>Evresi</w:t>
      </w:r>
    </w:p>
    <w:p>
      <w:pPr>
        <w:pStyle w:val="BodyText"/>
        <w:spacing w:line="360" w:lineRule="auto" w:before="132"/>
        <w:ind w:left="1128" w:right="609" w:firstLine="708"/>
        <w:jc w:val="both"/>
      </w:pPr>
      <w:r>
        <w:rPr/>
        <w:t>Zarar azalma evresi; afet riski ve tehlikesinin önlenmesi ya da büyük kayıplara neden olmaması için alınması gerekli tüm yapısal ve yapısal olmayan tedbirler ve etkinlikler bu aşamada yapılmaktadır. Olağan zamanlarda, kayıp ve zarara neden olabilecek tehdit ve tehlikelerle, risklerin belirlenmesinde ve analizinde, oluşacak risklerin önlenmesini azaltmak amacıyla strateji, risk yönetimi, planları hazırlama ve uygulama yapılması gerekli çalışmaların başında bulunmaktadır. Risk – zarar azaltma evresi olağan zamanlarda uygun bir şekilde hazırlanırsa çok fazla kaybın olmamasına ve afet türlerinin önlenmesini sağlamaktadır (Şahin, 2007: 134).</w:t>
      </w:r>
    </w:p>
    <w:p>
      <w:pPr>
        <w:pStyle w:val="BodyText"/>
        <w:ind w:left="1836"/>
      </w:pPr>
      <w:r>
        <w:rPr/>
        <w:t>Risk/zarar azaltma çalışmaları arasında:</w:t>
      </w:r>
    </w:p>
    <w:p>
      <w:pPr>
        <w:pStyle w:val="ListParagraph"/>
        <w:numPr>
          <w:ilvl w:val="0"/>
          <w:numId w:val="7"/>
        </w:numPr>
        <w:tabs>
          <w:tab w:pos="2199" w:val="left" w:leader="none"/>
        </w:tabs>
        <w:spacing w:line="360" w:lineRule="auto" w:before="137" w:after="0"/>
        <w:ind w:left="1128" w:right="613" w:firstLine="708"/>
        <w:jc w:val="both"/>
        <w:rPr>
          <w:sz w:val="24"/>
        </w:rPr>
      </w:pPr>
      <w:r>
        <w:rPr>
          <w:sz w:val="24"/>
        </w:rPr>
        <w:t>Afet sırasında uygulanacak yasal mevzuatı gözden geçirmek ve ihtiyaç durumunda tekrardan</w:t>
      </w:r>
      <w:r>
        <w:rPr>
          <w:spacing w:val="-3"/>
          <w:sz w:val="24"/>
        </w:rPr>
        <w:t> </w:t>
      </w:r>
      <w:r>
        <w:rPr>
          <w:sz w:val="24"/>
        </w:rPr>
        <w:t>düzenleme,</w:t>
      </w:r>
    </w:p>
    <w:p>
      <w:pPr>
        <w:pStyle w:val="ListParagraph"/>
        <w:numPr>
          <w:ilvl w:val="0"/>
          <w:numId w:val="7"/>
        </w:numPr>
        <w:tabs>
          <w:tab w:pos="1966" w:val="left" w:leader="none"/>
        </w:tabs>
        <w:spacing w:line="360" w:lineRule="auto" w:before="1" w:after="0"/>
        <w:ind w:left="1128" w:right="616" w:firstLine="708"/>
        <w:jc w:val="both"/>
        <w:rPr>
          <w:sz w:val="24"/>
        </w:rPr>
      </w:pPr>
      <w:r>
        <w:rPr>
          <w:sz w:val="24"/>
        </w:rPr>
        <w:t>Deprem</w:t>
      </w:r>
      <w:r>
        <w:rPr>
          <w:spacing w:val="-18"/>
          <w:sz w:val="24"/>
        </w:rPr>
        <w:t> </w:t>
      </w:r>
      <w:r>
        <w:rPr>
          <w:sz w:val="24"/>
        </w:rPr>
        <w:t>ve</w:t>
      </w:r>
      <w:r>
        <w:rPr>
          <w:spacing w:val="-15"/>
          <w:sz w:val="24"/>
        </w:rPr>
        <w:t> </w:t>
      </w:r>
      <w:r>
        <w:rPr>
          <w:sz w:val="24"/>
        </w:rPr>
        <w:t>yapı</w:t>
      </w:r>
      <w:r>
        <w:rPr>
          <w:spacing w:val="-13"/>
          <w:sz w:val="24"/>
        </w:rPr>
        <w:t> </w:t>
      </w:r>
      <w:r>
        <w:rPr>
          <w:sz w:val="24"/>
        </w:rPr>
        <w:t>yönetmelikleri,</w:t>
      </w:r>
      <w:r>
        <w:rPr>
          <w:spacing w:val="-18"/>
          <w:sz w:val="24"/>
        </w:rPr>
        <w:t> </w:t>
      </w:r>
      <w:r>
        <w:rPr>
          <w:sz w:val="24"/>
        </w:rPr>
        <w:t>alan</w:t>
      </w:r>
      <w:r>
        <w:rPr>
          <w:spacing w:val="-18"/>
          <w:sz w:val="24"/>
        </w:rPr>
        <w:t> </w:t>
      </w:r>
      <w:r>
        <w:rPr>
          <w:sz w:val="24"/>
        </w:rPr>
        <w:t>kullanım</w:t>
      </w:r>
      <w:r>
        <w:rPr>
          <w:spacing w:val="-13"/>
          <w:sz w:val="24"/>
        </w:rPr>
        <w:t> </w:t>
      </w:r>
      <w:r>
        <w:rPr>
          <w:sz w:val="24"/>
        </w:rPr>
        <w:t>yönetmeliklerini</w:t>
      </w:r>
      <w:r>
        <w:rPr>
          <w:spacing w:val="-18"/>
          <w:sz w:val="24"/>
        </w:rPr>
        <w:t> </w:t>
      </w:r>
      <w:r>
        <w:rPr>
          <w:sz w:val="24"/>
        </w:rPr>
        <w:t>gözden</w:t>
      </w:r>
      <w:r>
        <w:rPr>
          <w:spacing w:val="-16"/>
          <w:sz w:val="24"/>
        </w:rPr>
        <w:t> </w:t>
      </w:r>
      <w:r>
        <w:rPr>
          <w:sz w:val="24"/>
        </w:rPr>
        <w:t>geçirmek ve gerekiyorsa yeniden</w:t>
      </w:r>
      <w:r>
        <w:rPr>
          <w:spacing w:val="5"/>
          <w:sz w:val="24"/>
        </w:rPr>
        <w:t> </w:t>
      </w:r>
      <w:r>
        <w:rPr>
          <w:sz w:val="24"/>
        </w:rPr>
        <w:t>yapılandırmak,</w:t>
      </w:r>
    </w:p>
    <w:p>
      <w:pPr>
        <w:pStyle w:val="ListParagraph"/>
        <w:numPr>
          <w:ilvl w:val="0"/>
          <w:numId w:val="7"/>
        </w:numPr>
        <w:tabs>
          <w:tab w:pos="2017" w:val="left" w:leader="none"/>
        </w:tabs>
        <w:spacing w:line="360" w:lineRule="auto" w:before="0" w:after="0"/>
        <w:ind w:left="1128" w:right="613" w:firstLine="708"/>
        <w:jc w:val="both"/>
        <w:rPr>
          <w:sz w:val="24"/>
        </w:rPr>
      </w:pPr>
      <w:r>
        <w:rPr>
          <w:sz w:val="24"/>
        </w:rPr>
        <w:t>Afet</w:t>
      </w:r>
      <w:r>
        <w:rPr>
          <w:spacing w:val="-15"/>
          <w:sz w:val="24"/>
        </w:rPr>
        <w:t> </w:t>
      </w:r>
      <w:r>
        <w:rPr>
          <w:sz w:val="24"/>
        </w:rPr>
        <w:t>riski</w:t>
      </w:r>
      <w:r>
        <w:rPr>
          <w:spacing w:val="-14"/>
          <w:sz w:val="24"/>
        </w:rPr>
        <w:t> </w:t>
      </w:r>
      <w:r>
        <w:rPr>
          <w:sz w:val="24"/>
        </w:rPr>
        <w:t>ve</w:t>
      </w:r>
      <w:r>
        <w:rPr>
          <w:spacing w:val="-15"/>
          <w:sz w:val="24"/>
        </w:rPr>
        <w:t> </w:t>
      </w:r>
      <w:r>
        <w:rPr>
          <w:sz w:val="24"/>
        </w:rPr>
        <w:t>tehlikesinin</w:t>
      </w:r>
      <w:r>
        <w:rPr>
          <w:spacing w:val="-14"/>
          <w:sz w:val="24"/>
        </w:rPr>
        <w:t> </w:t>
      </w:r>
      <w:r>
        <w:rPr>
          <w:sz w:val="24"/>
        </w:rPr>
        <w:t>büyük</w:t>
      </w:r>
      <w:r>
        <w:rPr>
          <w:spacing w:val="-14"/>
          <w:sz w:val="24"/>
        </w:rPr>
        <w:t> </w:t>
      </w:r>
      <w:r>
        <w:rPr>
          <w:sz w:val="24"/>
        </w:rPr>
        <w:t>ve</w:t>
      </w:r>
      <w:r>
        <w:rPr>
          <w:spacing w:val="-16"/>
          <w:sz w:val="24"/>
        </w:rPr>
        <w:t> </w:t>
      </w:r>
      <w:r>
        <w:rPr>
          <w:sz w:val="24"/>
        </w:rPr>
        <w:t>küçük</w:t>
      </w:r>
      <w:r>
        <w:rPr>
          <w:spacing w:val="-14"/>
          <w:sz w:val="24"/>
        </w:rPr>
        <w:t> </w:t>
      </w:r>
      <w:r>
        <w:rPr>
          <w:sz w:val="24"/>
        </w:rPr>
        <w:t>çap</w:t>
      </w:r>
      <w:r>
        <w:rPr>
          <w:spacing w:val="-14"/>
          <w:sz w:val="24"/>
        </w:rPr>
        <w:t> </w:t>
      </w:r>
      <w:r>
        <w:rPr>
          <w:sz w:val="24"/>
        </w:rPr>
        <w:t>da</w:t>
      </w:r>
      <w:r>
        <w:rPr>
          <w:spacing w:val="-12"/>
          <w:sz w:val="24"/>
        </w:rPr>
        <w:t> </w:t>
      </w:r>
      <w:r>
        <w:rPr>
          <w:sz w:val="24"/>
        </w:rPr>
        <w:t>yeniden</w:t>
      </w:r>
      <w:r>
        <w:rPr>
          <w:spacing w:val="-14"/>
          <w:sz w:val="24"/>
        </w:rPr>
        <w:t> </w:t>
      </w:r>
      <w:r>
        <w:rPr>
          <w:sz w:val="24"/>
        </w:rPr>
        <w:t>belirlemek,</w:t>
      </w:r>
      <w:r>
        <w:rPr>
          <w:spacing w:val="-13"/>
          <w:sz w:val="24"/>
        </w:rPr>
        <w:t> </w:t>
      </w:r>
      <w:r>
        <w:rPr>
          <w:sz w:val="24"/>
        </w:rPr>
        <w:t>geliştirmek ve tehlike haritalarını</w:t>
      </w:r>
      <w:r>
        <w:rPr>
          <w:spacing w:val="-3"/>
          <w:sz w:val="24"/>
        </w:rPr>
        <w:t> </w:t>
      </w:r>
      <w:r>
        <w:rPr>
          <w:sz w:val="24"/>
        </w:rPr>
        <w:t>hazırlamak,</w:t>
      </w:r>
    </w:p>
    <w:p>
      <w:pPr>
        <w:pStyle w:val="ListParagraph"/>
        <w:numPr>
          <w:ilvl w:val="0"/>
          <w:numId w:val="7"/>
        </w:numPr>
        <w:tabs>
          <w:tab w:pos="2052" w:val="left" w:leader="none"/>
        </w:tabs>
        <w:spacing w:line="360" w:lineRule="auto" w:before="0" w:after="0"/>
        <w:ind w:left="1128" w:right="613" w:firstLine="708"/>
        <w:jc w:val="both"/>
        <w:rPr>
          <w:sz w:val="24"/>
        </w:rPr>
      </w:pPr>
      <w:r>
        <w:rPr>
          <w:sz w:val="24"/>
        </w:rPr>
        <w:t>İhtiyaç halinde bilimsel ve teknik araştırma-geliştirme faaliyetlerini planlamak ve</w:t>
      </w:r>
      <w:r>
        <w:rPr>
          <w:spacing w:val="-2"/>
          <w:sz w:val="24"/>
        </w:rPr>
        <w:t> </w:t>
      </w:r>
      <w:r>
        <w:rPr>
          <w:sz w:val="24"/>
        </w:rPr>
        <w:t>uygulamak,</w:t>
      </w:r>
    </w:p>
    <w:p>
      <w:pPr>
        <w:spacing w:after="0" w:line="360" w:lineRule="auto"/>
        <w:jc w:val="both"/>
        <w:rPr>
          <w:sz w:val="24"/>
        </w:rPr>
        <w:sectPr>
          <w:pgSz w:w="11910" w:h="16840"/>
          <w:pgMar w:header="0" w:footer="976" w:top="1580" w:bottom="1240" w:left="1140" w:right="520"/>
        </w:sectPr>
      </w:pPr>
    </w:p>
    <w:p>
      <w:pPr>
        <w:pStyle w:val="ListParagraph"/>
        <w:numPr>
          <w:ilvl w:val="0"/>
          <w:numId w:val="7"/>
        </w:numPr>
        <w:tabs>
          <w:tab w:pos="2089" w:val="left" w:leader="none"/>
        </w:tabs>
        <w:spacing w:line="360" w:lineRule="auto" w:before="98" w:after="0"/>
        <w:ind w:left="1128" w:right="615" w:firstLine="708"/>
        <w:jc w:val="both"/>
        <w:rPr>
          <w:sz w:val="24"/>
        </w:rPr>
      </w:pPr>
      <w:r>
        <w:rPr>
          <w:sz w:val="24"/>
        </w:rPr>
        <w:t>Ülke için deprem durumunda kayıt şebekeleri ve afet erken uyarı ve kontrol sistemlerinin kurulması ve</w:t>
      </w:r>
      <w:r>
        <w:rPr>
          <w:spacing w:val="-2"/>
          <w:sz w:val="24"/>
        </w:rPr>
        <w:t> </w:t>
      </w:r>
      <w:r>
        <w:rPr>
          <w:sz w:val="24"/>
        </w:rPr>
        <w:t>geliştirilmesi,</w:t>
      </w:r>
    </w:p>
    <w:p>
      <w:pPr>
        <w:pStyle w:val="ListParagraph"/>
        <w:numPr>
          <w:ilvl w:val="0"/>
          <w:numId w:val="7"/>
        </w:numPr>
        <w:tabs>
          <w:tab w:pos="2041" w:val="left" w:leader="none"/>
        </w:tabs>
        <w:spacing w:line="360" w:lineRule="auto" w:before="0" w:after="0"/>
        <w:ind w:left="1128" w:right="620" w:firstLine="708"/>
        <w:jc w:val="both"/>
        <w:rPr>
          <w:sz w:val="24"/>
        </w:rPr>
      </w:pPr>
      <w:r>
        <w:rPr>
          <w:sz w:val="24"/>
        </w:rPr>
        <w:t>Afet zararlarını azaltmaya yönelik ilgili olan kesimlere kapsamlı şekilde</w:t>
      </w:r>
      <w:r>
        <w:rPr>
          <w:spacing w:val="-41"/>
          <w:sz w:val="24"/>
        </w:rPr>
        <w:t> </w:t>
      </w:r>
      <w:r>
        <w:rPr>
          <w:sz w:val="24"/>
        </w:rPr>
        <w:t>eğitim çalışmalarını</w:t>
      </w:r>
      <w:r>
        <w:rPr>
          <w:spacing w:val="-1"/>
          <w:sz w:val="24"/>
        </w:rPr>
        <w:t> </w:t>
      </w:r>
      <w:r>
        <w:rPr>
          <w:sz w:val="24"/>
        </w:rPr>
        <w:t>sürdürülmesi,</w:t>
      </w:r>
    </w:p>
    <w:p>
      <w:pPr>
        <w:pStyle w:val="ListParagraph"/>
        <w:numPr>
          <w:ilvl w:val="0"/>
          <w:numId w:val="7"/>
        </w:numPr>
        <w:tabs>
          <w:tab w:pos="1971" w:val="left" w:leader="none"/>
        </w:tabs>
        <w:spacing w:line="360" w:lineRule="auto" w:before="0" w:after="0"/>
        <w:ind w:left="1128" w:right="615" w:firstLine="708"/>
        <w:jc w:val="both"/>
        <w:rPr>
          <w:sz w:val="24"/>
        </w:rPr>
      </w:pPr>
      <w:r>
        <w:rPr>
          <w:sz w:val="24"/>
        </w:rPr>
        <w:t>Afet</w:t>
      </w:r>
      <w:r>
        <w:rPr>
          <w:spacing w:val="-12"/>
          <w:sz w:val="24"/>
        </w:rPr>
        <w:t> </w:t>
      </w:r>
      <w:r>
        <w:rPr>
          <w:sz w:val="24"/>
        </w:rPr>
        <w:t>türlerine</w:t>
      </w:r>
      <w:r>
        <w:rPr>
          <w:spacing w:val="-13"/>
          <w:sz w:val="24"/>
        </w:rPr>
        <w:t> </w:t>
      </w:r>
      <w:r>
        <w:rPr>
          <w:sz w:val="24"/>
        </w:rPr>
        <w:t>karşı</w:t>
      </w:r>
      <w:r>
        <w:rPr>
          <w:spacing w:val="-12"/>
          <w:sz w:val="24"/>
        </w:rPr>
        <w:t> </w:t>
      </w:r>
      <w:r>
        <w:rPr>
          <w:sz w:val="24"/>
        </w:rPr>
        <w:t>zarar</w:t>
      </w:r>
      <w:r>
        <w:rPr>
          <w:spacing w:val="-13"/>
          <w:sz w:val="24"/>
        </w:rPr>
        <w:t> </w:t>
      </w:r>
      <w:r>
        <w:rPr>
          <w:sz w:val="24"/>
        </w:rPr>
        <w:t>azaltıcı</w:t>
      </w:r>
      <w:r>
        <w:rPr>
          <w:spacing w:val="-12"/>
          <w:sz w:val="24"/>
        </w:rPr>
        <w:t> </w:t>
      </w:r>
      <w:r>
        <w:rPr>
          <w:sz w:val="24"/>
        </w:rPr>
        <w:t>ve</w:t>
      </w:r>
      <w:r>
        <w:rPr>
          <w:spacing w:val="-13"/>
          <w:sz w:val="24"/>
        </w:rPr>
        <w:t> </w:t>
      </w:r>
      <w:r>
        <w:rPr>
          <w:sz w:val="24"/>
        </w:rPr>
        <w:t>önleyici</w:t>
      </w:r>
      <w:r>
        <w:rPr>
          <w:spacing w:val="-12"/>
          <w:sz w:val="24"/>
        </w:rPr>
        <w:t> </w:t>
      </w:r>
      <w:r>
        <w:rPr>
          <w:sz w:val="24"/>
        </w:rPr>
        <w:t>mühendislik</w:t>
      </w:r>
      <w:r>
        <w:rPr>
          <w:spacing w:val="-12"/>
          <w:sz w:val="24"/>
        </w:rPr>
        <w:t> </w:t>
      </w:r>
      <w:r>
        <w:rPr>
          <w:sz w:val="24"/>
        </w:rPr>
        <w:t>tedbirlerini</w:t>
      </w:r>
      <w:r>
        <w:rPr>
          <w:spacing w:val="-11"/>
          <w:sz w:val="24"/>
        </w:rPr>
        <w:t> </w:t>
      </w:r>
      <w:r>
        <w:rPr>
          <w:sz w:val="24"/>
        </w:rPr>
        <w:t>geliştirmek ve uygulamak vb. çok fazla etkinlik sayılabilir (Ergünay, 1998:</w:t>
      </w:r>
      <w:r>
        <w:rPr>
          <w:spacing w:val="-1"/>
          <w:sz w:val="24"/>
        </w:rPr>
        <w:t> </w:t>
      </w:r>
      <w:r>
        <w:rPr>
          <w:sz w:val="24"/>
        </w:rPr>
        <w:t>7).</w:t>
      </w:r>
    </w:p>
    <w:p>
      <w:pPr>
        <w:pStyle w:val="BodyText"/>
        <w:spacing w:line="360" w:lineRule="auto"/>
        <w:ind w:left="1128" w:right="608" w:firstLine="708"/>
        <w:jc w:val="both"/>
      </w:pPr>
      <w:r>
        <w:rPr/>
        <w:t>Zarara azaltma safhasında birden fazla kurum veya kuruluşun aynı zamanda koordinasyonu sağlayarak çalışması gerekmektedir. Çalışmada başarılı olabilmek için devlet kuruluşları ile birlikte toplumdaki bireylerin çalışmalara katılmaları mümkündür. Zarar azaltma evresine toplumdan katılacak bireylerin afete karşı mücadele bilincinde olan eğitimli bireylerden oluşmaktadır (Karabıyık, 2010; 50).</w:t>
      </w:r>
    </w:p>
    <w:p>
      <w:pPr>
        <w:pStyle w:val="BodyText"/>
        <w:spacing w:line="360" w:lineRule="auto"/>
        <w:ind w:left="1128" w:right="616" w:firstLine="708"/>
        <w:jc w:val="both"/>
      </w:pPr>
      <w:r>
        <w:rPr/>
        <w:t>Zarar azaltma safhasında, farkındalık durumunun yüksek olması tehlikeyi</w:t>
      </w:r>
      <w:r>
        <w:rPr>
          <w:spacing w:val="-29"/>
        </w:rPr>
        <w:t> </w:t>
      </w:r>
      <w:r>
        <w:rPr/>
        <w:t>yıkıma dönüştürmeyecek ve bu nedenle de zarar azaltma sürecine gereken önemin verilmesi, tehlikeyi afet boyutuna taşımayacaktır (Yavaş, 2005:</w:t>
      </w:r>
      <w:r>
        <w:rPr>
          <w:spacing w:val="-4"/>
        </w:rPr>
        <w:t> </w:t>
      </w:r>
      <w:r>
        <w:rPr/>
        <w:t>41).</w:t>
      </w:r>
    </w:p>
    <w:p>
      <w:pPr>
        <w:pStyle w:val="BodyText"/>
        <w:spacing w:line="360" w:lineRule="auto" w:before="1"/>
        <w:ind w:left="1128" w:right="609" w:firstLine="708"/>
        <w:jc w:val="both"/>
      </w:pPr>
      <w:r>
        <w:rPr/>
        <w:t>Zarar azaltma safhası, afet oluşumundan sonraki iyileştirme ve yeniden inşa evresindeki</w:t>
      </w:r>
      <w:r>
        <w:rPr>
          <w:spacing w:val="-13"/>
        </w:rPr>
        <w:t> </w:t>
      </w:r>
      <w:r>
        <w:rPr/>
        <w:t>çalışmalarla</w:t>
      </w:r>
      <w:r>
        <w:rPr>
          <w:spacing w:val="-11"/>
        </w:rPr>
        <w:t> </w:t>
      </w:r>
      <w:r>
        <w:rPr/>
        <w:t>beraber</w:t>
      </w:r>
      <w:r>
        <w:rPr>
          <w:spacing w:val="-13"/>
        </w:rPr>
        <w:t> </w:t>
      </w:r>
      <w:r>
        <w:rPr/>
        <w:t>başlayarak</w:t>
      </w:r>
      <w:r>
        <w:rPr>
          <w:spacing w:val="-11"/>
        </w:rPr>
        <w:t> </w:t>
      </w:r>
      <w:r>
        <w:rPr/>
        <w:t>yeni</w:t>
      </w:r>
      <w:r>
        <w:rPr>
          <w:spacing w:val="-12"/>
        </w:rPr>
        <w:t> </w:t>
      </w:r>
      <w:r>
        <w:rPr/>
        <w:t>bir</w:t>
      </w:r>
      <w:r>
        <w:rPr>
          <w:spacing w:val="-15"/>
        </w:rPr>
        <w:t> </w:t>
      </w:r>
      <w:r>
        <w:rPr/>
        <w:t>çalışma</w:t>
      </w:r>
      <w:r>
        <w:rPr>
          <w:spacing w:val="-15"/>
        </w:rPr>
        <w:t> </w:t>
      </w:r>
      <w:r>
        <w:rPr/>
        <w:t>olana</w:t>
      </w:r>
      <w:r>
        <w:rPr>
          <w:spacing w:val="-16"/>
        </w:rPr>
        <w:t> </w:t>
      </w:r>
      <w:r>
        <w:rPr/>
        <w:t>dek</w:t>
      </w:r>
      <w:r>
        <w:rPr>
          <w:spacing w:val="-10"/>
        </w:rPr>
        <w:t> </w:t>
      </w:r>
      <w:r>
        <w:rPr/>
        <w:t>devam</w:t>
      </w:r>
      <w:r>
        <w:rPr>
          <w:spacing w:val="-14"/>
        </w:rPr>
        <w:t> </w:t>
      </w:r>
      <w:r>
        <w:rPr/>
        <w:t>etmektedir. Bu safhada yapılan çalışmalar ülke, bölge ve yerleşme birimi olmak üzere geniş bir uygulama alanını kapsamaktadır (Kadıoğlu ve Özdamar, 2008:</w:t>
      </w:r>
      <w:r>
        <w:rPr>
          <w:spacing w:val="-1"/>
        </w:rPr>
        <w:t> </w:t>
      </w:r>
      <w:r>
        <w:rPr/>
        <w:t>11).</w:t>
      </w:r>
    </w:p>
    <w:p>
      <w:pPr>
        <w:pStyle w:val="BodyText"/>
        <w:spacing w:before="4"/>
        <w:rPr>
          <w:sz w:val="36"/>
        </w:rPr>
      </w:pPr>
    </w:p>
    <w:p>
      <w:pPr>
        <w:pStyle w:val="Heading1"/>
        <w:numPr>
          <w:ilvl w:val="4"/>
          <w:numId w:val="4"/>
        </w:numPr>
        <w:tabs>
          <w:tab w:pos="2437" w:val="left" w:leader="none"/>
        </w:tabs>
        <w:spacing w:line="240" w:lineRule="auto" w:before="0" w:after="0"/>
        <w:ind w:left="2436" w:right="0" w:hanging="600"/>
        <w:jc w:val="left"/>
      </w:pPr>
      <w:bookmarkStart w:name="_bookmark19" w:id="51"/>
      <w:bookmarkEnd w:id="51"/>
      <w:r>
        <w:rPr>
          <w:b w:val="0"/>
        </w:rPr>
      </w:r>
      <w:bookmarkStart w:name="_bookmark19" w:id="52"/>
      <w:bookmarkEnd w:id="52"/>
      <w:r>
        <w:rPr/>
        <w:t>Hazı</w:t>
      </w:r>
      <w:r>
        <w:rPr/>
        <w:t>rlık</w:t>
      </w:r>
      <w:r>
        <w:rPr>
          <w:spacing w:val="-1"/>
        </w:rPr>
        <w:t> </w:t>
      </w:r>
      <w:r>
        <w:rPr/>
        <w:t>Evresi</w:t>
      </w:r>
    </w:p>
    <w:p>
      <w:pPr>
        <w:pStyle w:val="BodyText"/>
        <w:spacing w:line="360" w:lineRule="auto" w:before="132"/>
        <w:ind w:left="1128" w:right="610" w:firstLine="708"/>
        <w:jc w:val="both"/>
      </w:pPr>
      <w:r>
        <w:rPr/>
        <w:t>Zarar azaltma sürecinde alınan önlemlerin afetin yıkıcı etkilerini tamamen önlemediği</w:t>
      </w:r>
      <w:r>
        <w:rPr>
          <w:spacing w:val="-10"/>
        </w:rPr>
        <w:t> </w:t>
      </w:r>
      <w:r>
        <w:rPr/>
        <w:t>düşüncesi</w:t>
      </w:r>
      <w:r>
        <w:rPr>
          <w:spacing w:val="-10"/>
        </w:rPr>
        <w:t> </w:t>
      </w:r>
      <w:r>
        <w:rPr/>
        <w:t>afetlere</w:t>
      </w:r>
      <w:r>
        <w:rPr>
          <w:spacing w:val="-12"/>
        </w:rPr>
        <w:t> </w:t>
      </w:r>
      <w:r>
        <w:rPr/>
        <w:t>karşı</w:t>
      </w:r>
      <w:r>
        <w:rPr>
          <w:spacing w:val="-11"/>
        </w:rPr>
        <w:t> </w:t>
      </w:r>
      <w:r>
        <w:rPr/>
        <w:t>hazırlıklı</w:t>
      </w:r>
      <w:r>
        <w:rPr>
          <w:spacing w:val="-10"/>
        </w:rPr>
        <w:t> </w:t>
      </w:r>
      <w:r>
        <w:rPr/>
        <w:t>olma</w:t>
      </w:r>
      <w:r>
        <w:rPr>
          <w:spacing w:val="-13"/>
        </w:rPr>
        <w:t> </w:t>
      </w:r>
      <w:r>
        <w:rPr/>
        <w:t>sürecinin</w:t>
      </w:r>
      <w:r>
        <w:rPr>
          <w:spacing w:val="-11"/>
        </w:rPr>
        <w:t> </w:t>
      </w:r>
      <w:r>
        <w:rPr/>
        <w:t>gelişmesinde</w:t>
      </w:r>
      <w:r>
        <w:rPr>
          <w:spacing w:val="-11"/>
        </w:rPr>
        <w:t> </w:t>
      </w:r>
      <w:r>
        <w:rPr/>
        <w:t>etkili</w:t>
      </w:r>
      <w:r>
        <w:rPr>
          <w:spacing w:val="-10"/>
        </w:rPr>
        <w:t> </w:t>
      </w:r>
      <w:r>
        <w:rPr/>
        <w:t>olmuştur (Yılmaz, 2005: 49; Ergünay, 1996: 98). Muhtemel afetlere karşı olabilmek, can ve mal kaybının</w:t>
      </w:r>
      <w:r>
        <w:rPr>
          <w:spacing w:val="-14"/>
        </w:rPr>
        <w:t> </w:t>
      </w:r>
      <w:r>
        <w:rPr/>
        <w:t>en</w:t>
      </w:r>
      <w:r>
        <w:rPr>
          <w:spacing w:val="-16"/>
        </w:rPr>
        <w:t> </w:t>
      </w:r>
      <w:r>
        <w:rPr/>
        <w:t>aza</w:t>
      </w:r>
      <w:r>
        <w:rPr>
          <w:spacing w:val="-18"/>
        </w:rPr>
        <w:t> </w:t>
      </w:r>
      <w:r>
        <w:rPr/>
        <w:t>indirgemek</w:t>
      </w:r>
      <w:r>
        <w:rPr>
          <w:spacing w:val="-16"/>
        </w:rPr>
        <w:t> </w:t>
      </w:r>
      <w:r>
        <w:rPr/>
        <w:t>için</w:t>
      </w:r>
      <w:r>
        <w:rPr>
          <w:spacing w:val="-16"/>
        </w:rPr>
        <w:t> </w:t>
      </w:r>
      <w:r>
        <w:rPr/>
        <w:t>çok</w:t>
      </w:r>
      <w:r>
        <w:rPr>
          <w:spacing w:val="-15"/>
        </w:rPr>
        <w:t> </w:t>
      </w:r>
      <w:r>
        <w:rPr/>
        <w:t>fazla</w:t>
      </w:r>
      <w:r>
        <w:rPr>
          <w:spacing w:val="-13"/>
        </w:rPr>
        <w:t> </w:t>
      </w:r>
      <w:r>
        <w:rPr/>
        <w:t>çaba</w:t>
      </w:r>
      <w:r>
        <w:rPr>
          <w:spacing w:val="-13"/>
        </w:rPr>
        <w:t> </w:t>
      </w:r>
      <w:r>
        <w:rPr/>
        <w:t>göstermek</w:t>
      </w:r>
      <w:r>
        <w:rPr>
          <w:spacing w:val="-14"/>
        </w:rPr>
        <w:t> </w:t>
      </w:r>
      <w:r>
        <w:rPr/>
        <w:t>gerekmektedir</w:t>
      </w:r>
      <w:r>
        <w:rPr>
          <w:spacing w:val="-20"/>
        </w:rPr>
        <w:t> </w:t>
      </w:r>
      <w:r>
        <w:rPr/>
        <w:t>(Gazozcu,</w:t>
      </w:r>
      <w:r>
        <w:rPr>
          <w:spacing w:val="-16"/>
        </w:rPr>
        <w:t> </w:t>
      </w:r>
      <w:r>
        <w:rPr/>
        <w:t>2006: 16). Yaşanabilecek olası bir afet durumunda meydana gelebilecek kayıpların ortadan kaldırılması ve risklerin giderilmesi, öncelikli olarak tehlike ve tehdit altında bulunan canlıları kurtarmak, afette kaybolanların bulunarak acil yardım gereksinimlerinin giderilmesi, arama – kurtarma yeteneğinin geliştirilmesi için gereken çalışmaların yapılmasına denilir. Ayrıca afetten sonra öncelikli olarak başvurulacak sağlık, yiyecek, içecek gibi günlük tüketim konusundaki gereksinimler için gereken stok oluşturulma bunların dağıtılmasına ilişkin önceliklerin belirlenmesi ve uygulamalarının yapılması gerekmektedir (Güler, 2004:</w:t>
      </w:r>
      <w:r>
        <w:rPr>
          <w:spacing w:val="-11"/>
        </w:rPr>
        <w:t> </w:t>
      </w:r>
      <w:r>
        <w:rPr/>
        <w:t>8).</w:t>
      </w:r>
    </w:p>
    <w:p>
      <w:pPr>
        <w:spacing w:after="0" w:line="360" w:lineRule="auto"/>
        <w:jc w:val="both"/>
        <w:sectPr>
          <w:pgSz w:w="11910" w:h="16840"/>
          <w:pgMar w:header="0" w:footer="976" w:top="1580" w:bottom="1240" w:left="1140" w:right="520"/>
        </w:sectPr>
      </w:pPr>
    </w:p>
    <w:p>
      <w:pPr>
        <w:pStyle w:val="BodyText"/>
        <w:spacing w:before="98"/>
        <w:ind w:left="1836"/>
      </w:pPr>
      <w:r>
        <w:rPr/>
        <w:t>Önceden hazırlık safhasında yapılması gereken çalışmalar arasında:</w:t>
      </w:r>
    </w:p>
    <w:p>
      <w:pPr>
        <w:pStyle w:val="ListParagraph"/>
        <w:numPr>
          <w:ilvl w:val="0"/>
          <w:numId w:val="7"/>
        </w:numPr>
        <w:tabs>
          <w:tab w:pos="1981" w:val="left" w:leader="none"/>
        </w:tabs>
        <w:spacing w:line="240" w:lineRule="auto" w:before="136" w:after="0"/>
        <w:ind w:left="1980" w:right="0" w:hanging="144"/>
        <w:jc w:val="left"/>
        <w:rPr>
          <w:sz w:val="24"/>
        </w:rPr>
      </w:pPr>
      <w:r>
        <w:rPr>
          <w:sz w:val="24"/>
        </w:rPr>
        <w:t>‘Kurtarma ve Acil Yardım Planlarını il düzeyinde hazırlamak ve</w:t>
      </w:r>
      <w:r>
        <w:rPr>
          <w:spacing w:val="-8"/>
          <w:sz w:val="24"/>
        </w:rPr>
        <w:t> </w:t>
      </w:r>
      <w:r>
        <w:rPr>
          <w:sz w:val="24"/>
        </w:rPr>
        <w:t>geliştirmek,</w:t>
      </w:r>
    </w:p>
    <w:p>
      <w:pPr>
        <w:pStyle w:val="ListParagraph"/>
        <w:numPr>
          <w:ilvl w:val="0"/>
          <w:numId w:val="7"/>
        </w:numPr>
        <w:tabs>
          <w:tab w:pos="1981" w:val="left" w:leader="none"/>
        </w:tabs>
        <w:spacing w:line="240" w:lineRule="auto" w:before="140" w:after="0"/>
        <w:ind w:left="1980" w:right="0" w:hanging="144"/>
        <w:jc w:val="left"/>
        <w:rPr>
          <w:sz w:val="24"/>
        </w:rPr>
      </w:pPr>
      <w:r>
        <w:rPr>
          <w:sz w:val="24"/>
        </w:rPr>
        <w:t>Afet yönetimiyle ilgili planları merkezi düzeyde hazırlamak ve</w:t>
      </w:r>
      <w:r>
        <w:rPr>
          <w:spacing w:val="-3"/>
          <w:sz w:val="24"/>
        </w:rPr>
        <w:t> </w:t>
      </w:r>
      <w:r>
        <w:rPr>
          <w:sz w:val="24"/>
        </w:rPr>
        <w:t>geliştirmek,</w:t>
      </w:r>
    </w:p>
    <w:p>
      <w:pPr>
        <w:pStyle w:val="ListParagraph"/>
        <w:numPr>
          <w:ilvl w:val="0"/>
          <w:numId w:val="7"/>
        </w:numPr>
        <w:tabs>
          <w:tab w:pos="1990" w:val="left" w:leader="none"/>
        </w:tabs>
        <w:spacing w:line="360" w:lineRule="auto" w:before="137" w:after="0"/>
        <w:ind w:left="1128" w:right="613" w:firstLine="708"/>
        <w:jc w:val="left"/>
        <w:rPr>
          <w:sz w:val="24"/>
        </w:rPr>
      </w:pPr>
      <w:r>
        <w:rPr>
          <w:sz w:val="24"/>
        </w:rPr>
        <w:t>Bu safhada sorumluluk alan personellerin tatbikat ve eğitimlerle bilgi düzeyini geliştirmek,</w:t>
      </w:r>
    </w:p>
    <w:p>
      <w:pPr>
        <w:pStyle w:val="ListParagraph"/>
        <w:numPr>
          <w:ilvl w:val="0"/>
          <w:numId w:val="7"/>
        </w:numPr>
        <w:tabs>
          <w:tab w:pos="1998" w:val="left" w:leader="none"/>
        </w:tabs>
        <w:spacing w:line="360" w:lineRule="auto" w:before="0" w:after="0"/>
        <w:ind w:left="1128" w:right="616" w:firstLine="708"/>
        <w:jc w:val="left"/>
        <w:rPr>
          <w:sz w:val="24"/>
        </w:rPr>
      </w:pPr>
      <w:r>
        <w:rPr>
          <w:sz w:val="24"/>
        </w:rPr>
        <w:t>Gerektiğinde bölgede teçhizat merkezlerinin kurulması ve kritik malzemelerin stoklanması,</w:t>
      </w:r>
    </w:p>
    <w:p>
      <w:pPr>
        <w:pStyle w:val="ListParagraph"/>
        <w:numPr>
          <w:ilvl w:val="0"/>
          <w:numId w:val="7"/>
        </w:numPr>
        <w:tabs>
          <w:tab w:pos="1922" w:val="left" w:leader="none"/>
        </w:tabs>
        <w:spacing w:line="360" w:lineRule="auto" w:before="0" w:after="0"/>
        <w:ind w:left="1128" w:right="611" w:firstLine="708"/>
        <w:jc w:val="left"/>
        <w:rPr>
          <w:sz w:val="24"/>
        </w:rPr>
      </w:pPr>
      <w:r>
        <w:rPr>
          <w:sz w:val="24"/>
        </w:rPr>
        <w:t>Alarm ve erken uyarı sisteminin kurularak, işletilmesi ve geliştirilmesi vb. çalışmalar sayılabilir (Ergünay, 1998:</w:t>
      </w:r>
      <w:r>
        <w:rPr>
          <w:spacing w:val="-2"/>
          <w:sz w:val="24"/>
        </w:rPr>
        <w:t> </w:t>
      </w:r>
      <w:r>
        <w:rPr>
          <w:sz w:val="24"/>
        </w:rPr>
        <w:t>7-8).</w:t>
      </w:r>
    </w:p>
    <w:p>
      <w:pPr>
        <w:pStyle w:val="BodyText"/>
        <w:spacing w:line="360" w:lineRule="auto"/>
        <w:ind w:left="1128" w:right="612" w:firstLine="708"/>
        <w:jc w:val="both"/>
      </w:pPr>
      <w:r>
        <w:rPr/>
        <w:t>Doğal afetlere hazırlıklı olma aşaması kapsamında erken uyarı sistemlerinin gelişmesi de önemli bir veri kaynağı olarak kabul edilmektedir. Her ne kadar zarar azaltma faaliyetleri olası yıkıcı sonuçları en aza indirgemeye çalışsa da, doğal afetlerin gerçekleşmesi kaçınılmazdır. Bu bağlamda depremler de dâhil olmak üzere özellikle meteorolojik kökenli doğa olaylarının önceden tahmin edilmesi teknolojinin de yardımıyla mümkün hale gelmiştir (Yavaş, 2005: 48; Kadıoğlu, 2008a: 29).</w:t>
      </w:r>
    </w:p>
    <w:p>
      <w:pPr>
        <w:pStyle w:val="BodyText"/>
        <w:spacing w:line="360" w:lineRule="auto" w:before="1"/>
        <w:ind w:left="1128" w:right="610" w:firstLine="708"/>
        <w:jc w:val="both"/>
      </w:pPr>
      <w:r>
        <w:rPr/>
        <w:t>Hazırlık aşamasında tahmin ve uyarı sistemi çok önemlidir. Deprem ve diğer doğal afetlerin tahmin edilmesi konusunda metotların geliştirilmesi ve bu afetlerden doğru</w:t>
      </w:r>
      <w:r>
        <w:rPr>
          <w:spacing w:val="-18"/>
        </w:rPr>
        <w:t> </w:t>
      </w:r>
      <w:r>
        <w:rPr/>
        <w:t>zamanda</w:t>
      </w:r>
      <w:r>
        <w:rPr>
          <w:spacing w:val="-17"/>
        </w:rPr>
        <w:t> </w:t>
      </w:r>
      <w:r>
        <w:rPr/>
        <w:t>haberdar</w:t>
      </w:r>
      <w:r>
        <w:rPr>
          <w:spacing w:val="-15"/>
        </w:rPr>
        <w:t> </w:t>
      </w:r>
      <w:r>
        <w:rPr/>
        <w:t>olma</w:t>
      </w:r>
      <w:r>
        <w:rPr>
          <w:spacing w:val="-17"/>
        </w:rPr>
        <w:t> </w:t>
      </w:r>
      <w:r>
        <w:rPr/>
        <w:t>konusunda</w:t>
      </w:r>
      <w:r>
        <w:rPr>
          <w:spacing w:val="-18"/>
        </w:rPr>
        <w:t> </w:t>
      </w:r>
      <w:r>
        <w:rPr/>
        <w:t>Dünya</w:t>
      </w:r>
      <w:r>
        <w:rPr>
          <w:spacing w:val="-15"/>
        </w:rPr>
        <w:t> </w:t>
      </w:r>
      <w:r>
        <w:rPr/>
        <w:t>bilim</w:t>
      </w:r>
      <w:r>
        <w:rPr>
          <w:spacing w:val="-15"/>
        </w:rPr>
        <w:t> </w:t>
      </w:r>
      <w:r>
        <w:rPr/>
        <w:t>adamları</w:t>
      </w:r>
      <w:r>
        <w:rPr>
          <w:spacing w:val="-17"/>
        </w:rPr>
        <w:t> </w:t>
      </w:r>
      <w:r>
        <w:rPr/>
        <w:t>büyük</w:t>
      </w:r>
      <w:r>
        <w:rPr>
          <w:spacing w:val="-13"/>
        </w:rPr>
        <w:t> </w:t>
      </w:r>
      <w:r>
        <w:rPr/>
        <w:t>önem</w:t>
      </w:r>
      <w:r>
        <w:rPr>
          <w:spacing w:val="-16"/>
        </w:rPr>
        <w:t> </w:t>
      </w:r>
      <w:r>
        <w:rPr/>
        <w:t>vermektedir (Makridenko, 2001: 4).</w:t>
      </w:r>
    </w:p>
    <w:p>
      <w:pPr>
        <w:pStyle w:val="BodyText"/>
        <w:spacing w:before="4"/>
        <w:rPr>
          <w:sz w:val="36"/>
        </w:rPr>
      </w:pPr>
    </w:p>
    <w:p>
      <w:pPr>
        <w:pStyle w:val="Heading1"/>
        <w:numPr>
          <w:ilvl w:val="4"/>
          <w:numId w:val="4"/>
        </w:numPr>
        <w:tabs>
          <w:tab w:pos="2437" w:val="left" w:leader="none"/>
        </w:tabs>
        <w:spacing w:line="240" w:lineRule="auto" w:before="0" w:after="0"/>
        <w:ind w:left="2436" w:right="0" w:hanging="600"/>
        <w:jc w:val="left"/>
      </w:pPr>
      <w:bookmarkStart w:name="_bookmark20" w:id="53"/>
      <w:bookmarkEnd w:id="53"/>
      <w:r>
        <w:rPr>
          <w:b w:val="0"/>
        </w:rPr>
      </w:r>
      <w:bookmarkStart w:name="_bookmark20" w:id="54"/>
      <w:bookmarkEnd w:id="54"/>
      <w:r>
        <w:rPr/>
        <w:t>M</w:t>
      </w:r>
      <w:r>
        <w:rPr/>
        <w:t>üdahale</w:t>
      </w:r>
      <w:r>
        <w:rPr>
          <w:spacing w:val="-1"/>
        </w:rPr>
        <w:t> </w:t>
      </w:r>
      <w:r>
        <w:rPr/>
        <w:t>Evresi</w:t>
      </w:r>
    </w:p>
    <w:p>
      <w:pPr>
        <w:pStyle w:val="BodyText"/>
        <w:spacing w:line="360" w:lineRule="auto" w:before="134"/>
        <w:ind w:left="1128" w:right="608" w:firstLine="708"/>
        <w:jc w:val="both"/>
      </w:pPr>
      <w:r>
        <w:rPr/>
        <w:t>Afet durumu ve oluşan ihtiyaçları hızlıca tespit etmek, birden fazla iletişim kurabilmek, yeteri miktarda araç, gereç ve eğitimli kadroda bulunanları afet bölgesine hızlıca ulaştırmak, günlük yaşam destek ekiplerini ve acil sağlık hizmetlerinin çalışmalarını kapsamaktadır (Erkoç, 2004: 12). Hızlı bilgilenme ve tecrübeye dair tekil ve mutlak yaptırım ve disiplin gerektirmektedir. Afetlerin yerel bir olay olarak olması sebebiyle, acil müdahalenin de yerel otorite altında mahalli kaynaklarla oluşturmak, ayrıca</w:t>
      </w:r>
      <w:r>
        <w:rPr>
          <w:spacing w:val="-12"/>
        </w:rPr>
        <w:t> </w:t>
      </w:r>
      <w:r>
        <w:rPr/>
        <w:t>üst</w:t>
      </w:r>
      <w:r>
        <w:rPr>
          <w:spacing w:val="-10"/>
        </w:rPr>
        <w:t> </w:t>
      </w:r>
      <w:r>
        <w:rPr/>
        <w:t>düzey</w:t>
      </w:r>
      <w:r>
        <w:rPr>
          <w:spacing w:val="-10"/>
        </w:rPr>
        <w:t> </w:t>
      </w:r>
      <w:r>
        <w:rPr>
          <w:spacing w:val="-3"/>
        </w:rPr>
        <w:t>ya</w:t>
      </w:r>
      <w:r>
        <w:rPr>
          <w:spacing w:val="-10"/>
        </w:rPr>
        <w:t> </w:t>
      </w:r>
      <w:r>
        <w:rPr/>
        <w:t>da</w:t>
      </w:r>
      <w:r>
        <w:rPr>
          <w:spacing w:val="-12"/>
        </w:rPr>
        <w:t> </w:t>
      </w:r>
      <w:r>
        <w:rPr/>
        <w:t>komşudan</w:t>
      </w:r>
      <w:r>
        <w:rPr>
          <w:spacing w:val="-10"/>
        </w:rPr>
        <w:t> </w:t>
      </w:r>
      <w:r>
        <w:rPr/>
        <w:t>acil</w:t>
      </w:r>
      <w:r>
        <w:rPr>
          <w:spacing w:val="-10"/>
        </w:rPr>
        <w:t> </w:t>
      </w:r>
      <w:r>
        <w:rPr/>
        <w:t>müdahalenin</w:t>
      </w:r>
      <w:r>
        <w:rPr>
          <w:spacing w:val="-6"/>
        </w:rPr>
        <w:t> </w:t>
      </w:r>
      <w:r>
        <w:rPr/>
        <w:t>yapılması</w:t>
      </w:r>
      <w:r>
        <w:rPr>
          <w:spacing w:val="-10"/>
        </w:rPr>
        <w:t> </w:t>
      </w:r>
      <w:r>
        <w:rPr/>
        <w:t>hiyerarşik</w:t>
      </w:r>
      <w:r>
        <w:rPr>
          <w:spacing w:val="-11"/>
        </w:rPr>
        <w:t> </w:t>
      </w:r>
      <w:r>
        <w:rPr/>
        <w:t>bir</w:t>
      </w:r>
      <w:r>
        <w:rPr>
          <w:spacing w:val="-11"/>
        </w:rPr>
        <w:t> </w:t>
      </w:r>
      <w:r>
        <w:rPr/>
        <w:t>düzende</w:t>
      </w:r>
      <w:r>
        <w:rPr>
          <w:spacing w:val="-11"/>
        </w:rPr>
        <w:t> </w:t>
      </w:r>
      <w:r>
        <w:rPr/>
        <w:t>hazır tutmak evrensel bir kuraldır (Gülkan vd., 2003: 1).</w:t>
      </w:r>
    </w:p>
    <w:p>
      <w:pPr>
        <w:pStyle w:val="BodyText"/>
        <w:spacing w:before="1"/>
        <w:ind w:left="1836"/>
      </w:pPr>
      <w:r>
        <w:rPr/>
        <w:t>Bu evrede yapılan çalışmaların arasında;</w:t>
      </w:r>
    </w:p>
    <w:p>
      <w:pPr>
        <w:pStyle w:val="ListParagraph"/>
        <w:numPr>
          <w:ilvl w:val="0"/>
          <w:numId w:val="7"/>
        </w:numPr>
        <w:tabs>
          <w:tab w:pos="1981" w:val="left" w:leader="none"/>
        </w:tabs>
        <w:spacing w:line="240" w:lineRule="auto" w:before="137" w:after="0"/>
        <w:ind w:left="1980" w:right="0" w:hanging="144"/>
        <w:jc w:val="left"/>
        <w:rPr>
          <w:sz w:val="24"/>
        </w:rPr>
      </w:pPr>
      <w:r>
        <w:rPr>
          <w:sz w:val="24"/>
        </w:rPr>
        <w:t>Haber almak ve</w:t>
      </w:r>
      <w:r>
        <w:rPr>
          <w:spacing w:val="-1"/>
          <w:sz w:val="24"/>
        </w:rPr>
        <w:t> </w:t>
      </w:r>
      <w:r>
        <w:rPr>
          <w:sz w:val="24"/>
        </w:rPr>
        <w:t>ulaşım,</w:t>
      </w:r>
    </w:p>
    <w:p>
      <w:pPr>
        <w:pStyle w:val="ListParagraph"/>
        <w:numPr>
          <w:ilvl w:val="0"/>
          <w:numId w:val="7"/>
        </w:numPr>
        <w:tabs>
          <w:tab w:pos="1981" w:val="left" w:leader="none"/>
        </w:tabs>
        <w:spacing w:line="240" w:lineRule="auto" w:before="139" w:after="0"/>
        <w:ind w:left="1980" w:right="0" w:hanging="144"/>
        <w:jc w:val="left"/>
        <w:rPr>
          <w:sz w:val="24"/>
        </w:rPr>
      </w:pPr>
      <w:r>
        <w:rPr>
          <w:sz w:val="24"/>
        </w:rPr>
        <w:t>Gereksinimleri saptamak,</w:t>
      </w:r>
    </w:p>
    <w:p>
      <w:pPr>
        <w:spacing w:after="0" w:line="240" w:lineRule="auto"/>
        <w:jc w:val="left"/>
        <w:rPr>
          <w:sz w:val="24"/>
        </w:rPr>
        <w:sectPr>
          <w:pgSz w:w="11910" w:h="16840"/>
          <w:pgMar w:header="0" w:footer="976" w:top="1580" w:bottom="1240" w:left="1140" w:right="520"/>
        </w:sectPr>
      </w:pPr>
    </w:p>
    <w:p>
      <w:pPr>
        <w:pStyle w:val="ListParagraph"/>
        <w:numPr>
          <w:ilvl w:val="0"/>
          <w:numId w:val="7"/>
        </w:numPr>
        <w:tabs>
          <w:tab w:pos="1981" w:val="left" w:leader="none"/>
        </w:tabs>
        <w:spacing w:line="240" w:lineRule="auto" w:before="98" w:after="0"/>
        <w:ind w:left="1980" w:right="0" w:hanging="144"/>
        <w:jc w:val="left"/>
        <w:rPr>
          <w:sz w:val="24"/>
        </w:rPr>
      </w:pPr>
      <w:r>
        <w:rPr>
          <w:sz w:val="24"/>
        </w:rPr>
        <w:t>Arama ve kurtarma faaliyetleri,</w:t>
      </w:r>
    </w:p>
    <w:p>
      <w:pPr>
        <w:pStyle w:val="ListParagraph"/>
        <w:numPr>
          <w:ilvl w:val="0"/>
          <w:numId w:val="7"/>
        </w:numPr>
        <w:tabs>
          <w:tab w:pos="1983" w:val="left" w:leader="none"/>
        </w:tabs>
        <w:spacing w:line="240" w:lineRule="auto" w:before="136" w:after="0"/>
        <w:ind w:left="1982" w:right="0" w:hanging="146"/>
        <w:jc w:val="left"/>
        <w:rPr>
          <w:sz w:val="24"/>
        </w:rPr>
      </w:pPr>
      <w:r>
        <w:rPr>
          <w:sz w:val="24"/>
        </w:rPr>
        <w:t>İlk yardım ve</w:t>
      </w:r>
      <w:r>
        <w:rPr>
          <w:spacing w:val="4"/>
          <w:sz w:val="24"/>
        </w:rPr>
        <w:t> </w:t>
      </w:r>
      <w:r>
        <w:rPr>
          <w:sz w:val="24"/>
        </w:rPr>
        <w:t>tedavi,</w:t>
      </w:r>
    </w:p>
    <w:p>
      <w:pPr>
        <w:pStyle w:val="ListParagraph"/>
        <w:numPr>
          <w:ilvl w:val="0"/>
          <w:numId w:val="7"/>
        </w:numPr>
        <w:tabs>
          <w:tab w:pos="1981" w:val="left" w:leader="none"/>
        </w:tabs>
        <w:spacing w:line="240" w:lineRule="auto" w:before="140" w:after="0"/>
        <w:ind w:left="1980" w:right="0" w:hanging="144"/>
        <w:jc w:val="left"/>
        <w:rPr>
          <w:sz w:val="24"/>
        </w:rPr>
      </w:pPr>
      <w:r>
        <w:rPr>
          <w:sz w:val="24"/>
        </w:rPr>
        <w:t>Tahliye,</w:t>
      </w:r>
    </w:p>
    <w:p>
      <w:pPr>
        <w:pStyle w:val="ListParagraph"/>
        <w:numPr>
          <w:ilvl w:val="0"/>
          <w:numId w:val="7"/>
        </w:numPr>
        <w:tabs>
          <w:tab w:pos="1981" w:val="left" w:leader="none"/>
        </w:tabs>
        <w:spacing w:line="240" w:lineRule="auto" w:before="137" w:after="0"/>
        <w:ind w:left="1980" w:right="0" w:hanging="144"/>
        <w:jc w:val="left"/>
        <w:rPr>
          <w:sz w:val="24"/>
        </w:rPr>
      </w:pPr>
      <w:r>
        <w:rPr>
          <w:sz w:val="24"/>
        </w:rPr>
        <w:t>Geçici</w:t>
      </w:r>
      <w:r>
        <w:rPr>
          <w:spacing w:val="3"/>
          <w:sz w:val="24"/>
        </w:rPr>
        <w:t> </w:t>
      </w:r>
      <w:r>
        <w:rPr>
          <w:sz w:val="24"/>
        </w:rPr>
        <w:t>yerleşim,</w:t>
      </w:r>
    </w:p>
    <w:p>
      <w:pPr>
        <w:pStyle w:val="ListParagraph"/>
        <w:numPr>
          <w:ilvl w:val="0"/>
          <w:numId w:val="7"/>
        </w:numPr>
        <w:tabs>
          <w:tab w:pos="1981" w:val="left" w:leader="none"/>
        </w:tabs>
        <w:spacing w:line="240" w:lineRule="auto" w:before="139" w:after="0"/>
        <w:ind w:left="1980" w:right="0" w:hanging="144"/>
        <w:jc w:val="left"/>
        <w:rPr>
          <w:sz w:val="24"/>
        </w:rPr>
      </w:pPr>
      <w:r>
        <w:rPr>
          <w:sz w:val="24"/>
        </w:rPr>
        <w:t>Erzak ile</w:t>
      </w:r>
      <w:r>
        <w:rPr>
          <w:spacing w:val="-2"/>
          <w:sz w:val="24"/>
        </w:rPr>
        <w:t> </w:t>
      </w:r>
      <w:r>
        <w:rPr>
          <w:sz w:val="24"/>
        </w:rPr>
        <w:t>barınma,</w:t>
      </w:r>
    </w:p>
    <w:p>
      <w:pPr>
        <w:pStyle w:val="ListParagraph"/>
        <w:numPr>
          <w:ilvl w:val="0"/>
          <w:numId w:val="7"/>
        </w:numPr>
        <w:tabs>
          <w:tab w:pos="1981" w:val="left" w:leader="none"/>
        </w:tabs>
        <w:spacing w:line="240" w:lineRule="auto" w:before="137" w:after="0"/>
        <w:ind w:left="1980" w:right="0" w:hanging="144"/>
        <w:jc w:val="left"/>
        <w:rPr>
          <w:sz w:val="24"/>
        </w:rPr>
      </w:pPr>
      <w:r>
        <w:rPr>
          <w:sz w:val="24"/>
        </w:rPr>
        <w:t>Güvenlik,</w:t>
      </w:r>
    </w:p>
    <w:p>
      <w:pPr>
        <w:pStyle w:val="ListParagraph"/>
        <w:numPr>
          <w:ilvl w:val="0"/>
          <w:numId w:val="7"/>
        </w:numPr>
        <w:tabs>
          <w:tab w:pos="1981" w:val="left" w:leader="none"/>
        </w:tabs>
        <w:spacing w:line="240" w:lineRule="auto" w:before="139" w:after="0"/>
        <w:ind w:left="1980" w:right="0" w:hanging="144"/>
        <w:jc w:val="left"/>
        <w:rPr>
          <w:sz w:val="24"/>
        </w:rPr>
      </w:pPr>
      <w:r>
        <w:rPr>
          <w:sz w:val="24"/>
        </w:rPr>
        <w:t>Koruyucu hekimlik ve çevre</w:t>
      </w:r>
      <w:r>
        <w:rPr>
          <w:spacing w:val="-2"/>
          <w:sz w:val="24"/>
        </w:rPr>
        <w:t> </w:t>
      </w:r>
      <w:r>
        <w:rPr>
          <w:sz w:val="24"/>
        </w:rPr>
        <w:t>sağlığı,</w:t>
      </w:r>
    </w:p>
    <w:p>
      <w:pPr>
        <w:pStyle w:val="ListParagraph"/>
        <w:numPr>
          <w:ilvl w:val="0"/>
          <w:numId w:val="7"/>
        </w:numPr>
        <w:tabs>
          <w:tab w:pos="1981" w:val="left" w:leader="none"/>
        </w:tabs>
        <w:spacing w:line="240" w:lineRule="auto" w:before="137" w:after="0"/>
        <w:ind w:left="1980" w:right="0" w:hanging="144"/>
        <w:jc w:val="left"/>
        <w:rPr>
          <w:sz w:val="24"/>
        </w:rPr>
      </w:pPr>
      <w:r>
        <w:rPr>
          <w:sz w:val="24"/>
        </w:rPr>
        <w:t>Tehlike oluşturacak yıkıntıları ortadan</w:t>
      </w:r>
      <w:r>
        <w:rPr>
          <w:spacing w:val="4"/>
          <w:sz w:val="24"/>
        </w:rPr>
        <w:t> </w:t>
      </w:r>
      <w:r>
        <w:rPr>
          <w:sz w:val="24"/>
        </w:rPr>
        <w:t>kaldırmak,</w:t>
      </w:r>
    </w:p>
    <w:p>
      <w:pPr>
        <w:pStyle w:val="BodyText"/>
        <w:spacing w:line="360" w:lineRule="auto" w:before="139"/>
        <w:ind w:left="1128" w:right="613" w:firstLine="708"/>
      </w:pPr>
      <w:r>
        <w:rPr/>
        <w:t>•Yangın,</w:t>
      </w:r>
      <w:r>
        <w:rPr>
          <w:spacing w:val="-18"/>
        </w:rPr>
        <w:t> </w:t>
      </w:r>
      <w:r>
        <w:rPr/>
        <w:t>patlama</w:t>
      </w:r>
      <w:r>
        <w:rPr>
          <w:spacing w:val="-15"/>
        </w:rPr>
        <w:t> </w:t>
      </w:r>
      <w:r>
        <w:rPr/>
        <w:t>ve</w:t>
      </w:r>
      <w:r>
        <w:rPr>
          <w:spacing w:val="-16"/>
        </w:rPr>
        <w:t> </w:t>
      </w:r>
      <w:r>
        <w:rPr/>
        <w:t>bulaşıcı</w:t>
      </w:r>
      <w:r>
        <w:rPr>
          <w:spacing w:val="-17"/>
        </w:rPr>
        <w:t> </w:t>
      </w:r>
      <w:r>
        <w:rPr/>
        <w:t>hastalıklar</w:t>
      </w:r>
      <w:r>
        <w:rPr>
          <w:spacing w:val="-15"/>
        </w:rPr>
        <w:t> </w:t>
      </w:r>
      <w:r>
        <w:rPr/>
        <w:t>gibi</w:t>
      </w:r>
      <w:r>
        <w:rPr>
          <w:spacing w:val="-14"/>
        </w:rPr>
        <w:t> </w:t>
      </w:r>
      <w:r>
        <w:rPr/>
        <w:t>ikincil</w:t>
      </w:r>
      <w:r>
        <w:rPr>
          <w:spacing w:val="-17"/>
        </w:rPr>
        <w:t> </w:t>
      </w:r>
      <w:r>
        <w:rPr/>
        <w:t>oluşacak</w:t>
      </w:r>
      <w:r>
        <w:rPr>
          <w:spacing w:val="-14"/>
        </w:rPr>
        <w:t> </w:t>
      </w:r>
      <w:r>
        <w:rPr/>
        <w:t>olayları</w:t>
      </w:r>
      <w:r>
        <w:rPr>
          <w:spacing w:val="-16"/>
        </w:rPr>
        <w:t> </w:t>
      </w:r>
      <w:r>
        <w:rPr/>
        <w:t>önlemek</w:t>
      </w:r>
      <w:r>
        <w:rPr>
          <w:spacing w:val="-17"/>
        </w:rPr>
        <w:t> </w:t>
      </w:r>
      <w:r>
        <w:rPr/>
        <w:t>için birçok çalışmayı kapsamaktadır (Ergünay, 1998:</w:t>
      </w:r>
      <w:r>
        <w:rPr>
          <w:spacing w:val="1"/>
        </w:rPr>
        <w:t> </w:t>
      </w:r>
      <w:r>
        <w:rPr/>
        <w:t>8).</w:t>
      </w:r>
    </w:p>
    <w:p>
      <w:pPr>
        <w:pStyle w:val="BodyText"/>
        <w:spacing w:line="360" w:lineRule="auto"/>
        <w:ind w:left="1128" w:right="608" w:firstLine="708"/>
        <w:jc w:val="both"/>
      </w:pPr>
      <w:r>
        <w:rPr/>
        <w:t>Afet</w:t>
      </w:r>
      <w:r>
        <w:rPr>
          <w:spacing w:val="-13"/>
        </w:rPr>
        <w:t> </w:t>
      </w:r>
      <w:r>
        <w:rPr/>
        <w:t>sonrasındaki</w:t>
      </w:r>
      <w:r>
        <w:rPr>
          <w:spacing w:val="-13"/>
        </w:rPr>
        <w:t> </w:t>
      </w:r>
      <w:r>
        <w:rPr/>
        <w:t>ilk</w:t>
      </w:r>
      <w:r>
        <w:rPr>
          <w:spacing w:val="-12"/>
        </w:rPr>
        <w:t> </w:t>
      </w:r>
      <w:r>
        <w:rPr/>
        <w:t>zamanlarda</w:t>
      </w:r>
      <w:r>
        <w:rPr>
          <w:spacing w:val="-9"/>
        </w:rPr>
        <w:t> </w:t>
      </w:r>
      <w:r>
        <w:rPr/>
        <w:t>gerçekleştirilecek</w:t>
      </w:r>
      <w:r>
        <w:rPr>
          <w:spacing w:val="-11"/>
        </w:rPr>
        <w:t> </w:t>
      </w:r>
      <w:r>
        <w:rPr/>
        <w:t>faaliyetlerin</w:t>
      </w:r>
      <w:r>
        <w:rPr>
          <w:spacing w:val="-12"/>
        </w:rPr>
        <w:t> </w:t>
      </w:r>
      <w:r>
        <w:rPr/>
        <w:t>ana</w:t>
      </w:r>
      <w:r>
        <w:rPr>
          <w:spacing w:val="-14"/>
        </w:rPr>
        <w:t> </w:t>
      </w:r>
      <w:r>
        <w:rPr/>
        <w:t>hedefi</w:t>
      </w:r>
      <w:r>
        <w:rPr>
          <w:spacing w:val="-5"/>
        </w:rPr>
        <w:t> </w:t>
      </w:r>
      <w:r>
        <w:rPr/>
        <w:t>büyük oranda insan hayatını kurtarmak, yaralıları tedavi etmek ve ortada kalan insanların</w:t>
      </w:r>
      <w:r>
        <w:rPr>
          <w:spacing w:val="-25"/>
        </w:rPr>
        <w:t> </w:t>
      </w:r>
      <w:r>
        <w:rPr/>
        <w:t>gereli olan yiyecek içecek, barınma vb. ihtiyaçlarını karşılamak olmalıdır. Fakat bu noktada kaynak yönetiminin de etkin ve verimli yürütülmesi gerekmektedir (Kadıoğlu, 2008a: 33).</w:t>
      </w:r>
    </w:p>
    <w:p>
      <w:pPr>
        <w:pStyle w:val="BodyText"/>
        <w:spacing w:line="360" w:lineRule="auto"/>
        <w:ind w:left="1128" w:right="612" w:firstLine="708"/>
        <w:jc w:val="both"/>
      </w:pPr>
      <w:r>
        <w:rPr/>
        <w:t>Bu</w:t>
      </w:r>
      <w:r>
        <w:rPr>
          <w:spacing w:val="-10"/>
        </w:rPr>
        <w:t> </w:t>
      </w:r>
      <w:r>
        <w:rPr/>
        <w:t>evrede</w:t>
      </w:r>
      <w:r>
        <w:rPr>
          <w:spacing w:val="-11"/>
        </w:rPr>
        <w:t> </w:t>
      </w:r>
      <w:r>
        <w:rPr/>
        <w:t>insanların</w:t>
      </w:r>
      <w:r>
        <w:rPr>
          <w:spacing w:val="-10"/>
        </w:rPr>
        <w:t> </w:t>
      </w:r>
      <w:r>
        <w:rPr/>
        <w:t>psikolojik</w:t>
      </w:r>
      <w:r>
        <w:rPr>
          <w:spacing w:val="-9"/>
        </w:rPr>
        <w:t> </w:t>
      </w:r>
      <w:r>
        <w:rPr/>
        <w:t>durumlarıyla</w:t>
      </w:r>
      <w:r>
        <w:rPr>
          <w:spacing w:val="-11"/>
        </w:rPr>
        <w:t> </w:t>
      </w:r>
      <w:r>
        <w:rPr/>
        <w:t>da</w:t>
      </w:r>
      <w:r>
        <w:rPr>
          <w:spacing w:val="-11"/>
        </w:rPr>
        <w:t> </w:t>
      </w:r>
      <w:r>
        <w:rPr/>
        <w:t>ilgilenmek</w:t>
      </w:r>
      <w:r>
        <w:rPr>
          <w:spacing w:val="-10"/>
        </w:rPr>
        <w:t> </w:t>
      </w:r>
      <w:r>
        <w:rPr/>
        <w:t>gerekmektedir.</w:t>
      </w:r>
      <w:r>
        <w:rPr>
          <w:spacing w:val="-4"/>
        </w:rPr>
        <w:t> </w:t>
      </w:r>
      <w:r>
        <w:rPr/>
        <w:t>Yoksa bir afet cinsiyet, yaş ve ekonomik farlılık gözetmeksizin herkesi etkilemektedir. Afetten etkilenen kişilerin bu psikolojik durumlardan kurtulmaları için yardımcı olmak gerekir (Görgü, 2006:</w:t>
      </w:r>
      <w:r>
        <w:rPr>
          <w:spacing w:val="-1"/>
        </w:rPr>
        <w:t> </w:t>
      </w:r>
      <w:r>
        <w:rPr/>
        <w:t>13).</w:t>
      </w:r>
    </w:p>
    <w:p>
      <w:pPr>
        <w:pStyle w:val="BodyText"/>
        <w:spacing w:line="360" w:lineRule="auto"/>
        <w:ind w:left="1128" w:right="610" w:firstLine="708"/>
        <w:jc w:val="both"/>
      </w:pPr>
      <w:r>
        <w:rPr/>
        <w:t>Bu aşamayı hayati kılan bir diğer nokta da afet müdahalesi kapsamında yaşanabilecek ikinci bir yıkımın zararlarını da en aza indirgemektir (Petak, 1985: 3).</w:t>
      </w:r>
    </w:p>
    <w:p>
      <w:pPr>
        <w:pStyle w:val="BodyText"/>
        <w:spacing w:before="4"/>
        <w:rPr>
          <w:sz w:val="36"/>
        </w:rPr>
      </w:pPr>
    </w:p>
    <w:p>
      <w:pPr>
        <w:pStyle w:val="Heading1"/>
        <w:numPr>
          <w:ilvl w:val="4"/>
          <w:numId w:val="4"/>
        </w:numPr>
        <w:tabs>
          <w:tab w:pos="2437" w:val="left" w:leader="none"/>
        </w:tabs>
        <w:spacing w:line="240" w:lineRule="auto" w:before="0" w:after="0"/>
        <w:ind w:left="2436" w:right="0" w:hanging="600"/>
        <w:jc w:val="left"/>
      </w:pPr>
      <w:bookmarkStart w:name="_bookmark21" w:id="55"/>
      <w:bookmarkEnd w:id="55"/>
      <w:r>
        <w:rPr>
          <w:b w:val="0"/>
        </w:rPr>
      </w:r>
      <w:bookmarkStart w:name="_bookmark21" w:id="56"/>
      <w:bookmarkEnd w:id="56"/>
      <w:r>
        <w:rPr/>
        <w:t>İy</w:t>
      </w:r>
      <w:r>
        <w:rPr/>
        <w:t>ileştirme</w:t>
      </w:r>
      <w:r>
        <w:rPr>
          <w:spacing w:val="-2"/>
        </w:rPr>
        <w:t> </w:t>
      </w:r>
      <w:r>
        <w:rPr/>
        <w:t>Evresi</w:t>
      </w:r>
    </w:p>
    <w:p>
      <w:pPr>
        <w:pStyle w:val="BodyText"/>
        <w:spacing w:line="360" w:lineRule="auto" w:before="134"/>
        <w:ind w:left="1128" w:right="610" w:firstLine="708"/>
        <w:jc w:val="both"/>
      </w:pPr>
      <w:r>
        <w:rPr/>
        <w:t>Kurtarma ve ilk yardım safhasından sonra, iyileştirme safhasındaki faaliyetler afete maruz kalmış toplumun uğramış haberleşme, su, yol, kanalizasyon vb. ihtiyaçlarını minimum düzeyde de olsa karşılamak, psikolojik ve sosyal desteğin sağlanması gibi faaliyeti içermektedir (Ergünay, 1998: 9). İyileştirme, insanların, yerel toplulukların, iş sahibi kişilerin normal işlerini kendiliğinden yürütebilir hale gelmesi ve gelecekte muhtemel afetlere karşı dirençli durumu getirilmesidir (Gülkan vd., 2003: 51).</w:t>
      </w:r>
    </w:p>
    <w:p>
      <w:pPr>
        <w:pStyle w:val="BodyText"/>
        <w:spacing w:line="360" w:lineRule="auto" w:before="1"/>
        <w:ind w:left="1128" w:right="613" w:firstLine="708"/>
        <w:jc w:val="both"/>
      </w:pPr>
      <w:r>
        <w:rPr/>
        <w:t>Bu</w:t>
      </w:r>
      <w:r>
        <w:rPr>
          <w:spacing w:val="-12"/>
        </w:rPr>
        <w:t> </w:t>
      </w:r>
      <w:r>
        <w:rPr/>
        <w:t>evre</w:t>
      </w:r>
      <w:r>
        <w:rPr>
          <w:spacing w:val="-13"/>
        </w:rPr>
        <w:t> </w:t>
      </w:r>
      <w:r>
        <w:rPr/>
        <w:t>afet</w:t>
      </w:r>
      <w:r>
        <w:rPr>
          <w:spacing w:val="-11"/>
        </w:rPr>
        <w:t> </w:t>
      </w:r>
      <w:r>
        <w:rPr/>
        <w:t>durumuna</w:t>
      </w:r>
      <w:r>
        <w:rPr>
          <w:spacing w:val="-13"/>
        </w:rPr>
        <w:t> </w:t>
      </w:r>
      <w:r>
        <w:rPr/>
        <w:t>karşı</w:t>
      </w:r>
      <w:r>
        <w:rPr>
          <w:spacing w:val="-12"/>
        </w:rPr>
        <w:t> </w:t>
      </w:r>
      <w:r>
        <w:rPr/>
        <w:t>daha</w:t>
      </w:r>
      <w:r>
        <w:rPr>
          <w:spacing w:val="-13"/>
        </w:rPr>
        <w:t> </w:t>
      </w:r>
      <w:r>
        <w:rPr/>
        <w:t>güçlü</w:t>
      </w:r>
      <w:r>
        <w:rPr>
          <w:spacing w:val="-12"/>
        </w:rPr>
        <w:t> </w:t>
      </w:r>
      <w:r>
        <w:rPr/>
        <w:t>olmayı</w:t>
      </w:r>
      <w:r>
        <w:rPr>
          <w:spacing w:val="-9"/>
        </w:rPr>
        <w:t> </w:t>
      </w:r>
      <w:r>
        <w:rPr/>
        <w:t>gerektirmektedir.</w:t>
      </w:r>
      <w:r>
        <w:rPr>
          <w:spacing w:val="-12"/>
        </w:rPr>
        <w:t> </w:t>
      </w:r>
      <w:r>
        <w:rPr/>
        <w:t>Yani</w:t>
      </w:r>
      <w:r>
        <w:rPr>
          <w:spacing w:val="-12"/>
        </w:rPr>
        <w:t> </w:t>
      </w:r>
      <w:r>
        <w:rPr/>
        <w:t>iyileştirme evresi eskisine göre daha üst standartlar yakalamayı gerektirir. Afet ve acil durumun ortadan</w:t>
      </w:r>
      <w:r>
        <w:rPr>
          <w:spacing w:val="-18"/>
        </w:rPr>
        <w:t> </w:t>
      </w:r>
      <w:r>
        <w:rPr/>
        <w:t>kaldırılması</w:t>
      </w:r>
      <w:r>
        <w:rPr>
          <w:spacing w:val="-17"/>
        </w:rPr>
        <w:t> </w:t>
      </w:r>
      <w:r>
        <w:rPr/>
        <w:t>sonrasında</w:t>
      </w:r>
      <w:r>
        <w:rPr>
          <w:spacing w:val="-17"/>
        </w:rPr>
        <w:t> </w:t>
      </w:r>
      <w:r>
        <w:rPr/>
        <w:t>asıl</w:t>
      </w:r>
      <w:r>
        <w:rPr>
          <w:spacing w:val="-17"/>
        </w:rPr>
        <w:t> </w:t>
      </w:r>
      <w:r>
        <w:rPr/>
        <w:t>hedefin,</w:t>
      </w:r>
      <w:r>
        <w:rPr>
          <w:spacing w:val="-17"/>
        </w:rPr>
        <w:t> </w:t>
      </w:r>
      <w:r>
        <w:rPr/>
        <w:t>zarar</w:t>
      </w:r>
      <w:r>
        <w:rPr>
          <w:spacing w:val="-14"/>
        </w:rPr>
        <w:t> </w:t>
      </w:r>
      <w:r>
        <w:rPr/>
        <w:t>görmüş</w:t>
      </w:r>
      <w:r>
        <w:rPr>
          <w:spacing w:val="-18"/>
        </w:rPr>
        <w:t> </w:t>
      </w:r>
      <w:r>
        <w:rPr/>
        <w:t>bireylerin</w:t>
      </w:r>
      <w:r>
        <w:rPr>
          <w:spacing w:val="-17"/>
        </w:rPr>
        <w:t> </w:t>
      </w:r>
      <w:r>
        <w:rPr/>
        <w:t>desteklenmesi</w:t>
      </w:r>
      <w:r>
        <w:rPr>
          <w:spacing w:val="-17"/>
        </w:rPr>
        <w:t> </w:t>
      </w:r>
      <w:r>
        <w:rPr/>
        <w:t>kadar,</w:t>
      </w:r>
    </w:p>
    <w:p>
      <w:pPr>
        <w:spacing w:after="0" w:line="360" w:lineRule="auto"/>
        <w:jc w:val="both"/>
        <w:sectPr>
          <w:pgSz w:w="11910" w:h="16840"/>
          <w:pgMar w:header="0" w:footer="976" w:top="1580" w:bottom="1240" w:left="1140" w:right="520"/>
        </w:sectPr>
      </w:pPr>
    </w:p>
    <w:p>
      <w:pPr>
        <w:pStyle w:val="BodyText"/>
        <w:spacing w:line="360" w:lineRule="auto" w:before="98"/>
        <w:ind w:left="1128" w:right="614"/>
        <w:jc w:val="both"/>
      </w:pPr>
      <w:r>
        <w:rPr/>
        <w:t>ekonominin yeniden canlandırılarak kazanılması, toplumun eğitimi, ticaret ve sanayinin geliştirilmesi,</w:t>
      </w:r>
      <w:r>
        <w:rPr>
          <w:spacing w:val="-14"/>
        </w:rPr>
        <w:t> </w:t>
      </w:r>
      <w:r>
        <w:rPr/>
        <w:t>altyapının</w:t>
      </w:r>
      <w:r>
        <w:rPr>
          <w:spacing w:val="-11"/>
        </w:rPr>
        <w:t> </w:t>
      </w:r>
      <w:r>
        <w:rPr/>
        <w:t>geliştirilmesi,</w:t>
      </w:r>
      <w:r>
        <w:rPr>
          <w:spacing w:val="-13"/>
        </w:rPr>
        <w:t> </w:t>
      </w:r>
      <w:r>
        <w:rPr/>
        <w:t>psikolojik</w:t>
      </w:r>
      <w:r>
        <w:rPr>
          <w:spacing w:val="-15"/>
        </w:rPr>
        <w:t> </w:t>
      </w:r>
      <w:r>
        <w:rPr/>
        <w:t>ve</w:t>
      </w:r>
      <w:r>
        <w:rPr>
          <w:spacing w:val="-14"/>
        </w:rPr>
        <w:t> </w:t>
      </w:r>
      <w:r>
        <w:rPr/>
        <w:t>sosyal</w:t>
      </w:r>
      <w:r>
        <w:rPr>
          <w:spacing w:val="-13"/>
        </w:rPr>
        <w:t> </w:t>
      </w:r>
      <w:r>
        <w:rPr/>
        <w:t>hizmetler</w:t>
      </w:r>
      <w:r>
        <w:rPr>
          <w:spacing w:val="-14"/>
        </w:rPr>
        <w:t> </w:t>
      </w:r>
      <w:r>
        <w:rPr/>
        <w:t>sağlanarak</w:t>
      </w:r>
      <w:r>
        <w:rPr>
          <w:spacing w:val="-13"/>
        </w:rPr>
        <w:t> </w:t>
      </w:r>
      <w:r>
        <w:rPr/>
        <w:t>toplumu muhtemel yeni bir afet karşısında daha dirençli olmasını sağlamaktır (Özdemir ve İlki, 2004: 22).</w:t>
      </w:r>
    </w:p>
    <w:p>
      <w:pPr>
        <w:pStyle w:val="BodyText"/>
        <w:spacing w:before="3"/>
        <w:rPr>
          <w:sz w:val="36"/>
        </w:rPr>
      </w:pPr>
    </w:p>
    <w:p>
      <w:pPr>
        <w:pStyle w:val="Heading1"/>
        <w:numPr>
          <w:ilvl w:val="4"/>
          <w:numId w:val="4"/>
        </w:numPr>
        <w:tabs>
          <w:tab w:pos="2437" w:val="left" w:leader="none"/>
        </w:tabs>
        <w:spacing w:line="240" w:lineRule="auto" w:before="0" w:after="0"/>
        <w:ind w:left="2436" w:right="0" w:hanging="600"/>
        <w:jc w:val="left"/>
      </w:pPr>
      <w:bookmarkStart w:name="_bookmark22" w:id="57"/>
      <w:bookmarkEnd w:id="57"/>
      <w:r>
        <w:rPr>
          <w:b w:val="0"/>
        </w:rPr>
      </w:r>
      <w:bookmarkStart w:name="_bookmark22" w:id="58"/>
      <w:bookmarkEnd w:id="58"/>
      <w:r>
        <w:rPr/>
        <w:t>Y</w:t>
      </w:r>
      <w:r>
        <w:rPr/>
        <w:t>eniden Yapılandırma</w:t>
      </w:r>
      <w:r>
        <w:rPr>
          <w:spacing w:val="-1"/>
        </w:rPr>
        <w:t> </w:t>
      </w:r>
      <w:r>
        <w:rPr/>
        <w:t>Evresi</w:t>
      </w:r>
    </w:p>
    <w:p>
      <w:pPr>
        <w:pStyle w:val="BodyText"/>
        <w:spacing w:line="360" w:lineRule="auto" w:before="135"/>
        <w:ind w:left="1128" w:right="609" w:firstLine="708"/>
        <w:jc w:val="both"/>
      </w:pPr>
      <w:r>
        <w:rPr/>
        <w:t>Yeniden yapılandırma evresinde amaç afete maruz kalmış kişilerin afet olmadan önceki seviyeye ulaştırmaktır. Bu evreden hasar oluşan tüm tesis ve yapıların yeniden yapılması, bozulmuş sosyal, psikolojik ve sosyal düzenin yapılandırılması için çalışma sağlanır. Bu evrede afet sonrası oluşan tüm etkiler silinir. Enkaz vb. gibi kalıntılar tamamen temizlenir. Mekân hiçbir afet yaşanmamış hale getirilir. Bu çalışmalar birkaç yılı bulabilir. Afet yönetiminde etkili olmak için kaynakların önceden bilinip planlaması gerekmektedir. Bu durum ancak etkin planlama ve uygulanabilir olmasıyla gerçekleşmektedir. Bu nedenle iyi bir afet yönetimi için en önemli durum planlama ve acil yardım planları sağlamaktadır (Şengün ve Temiz, 2007: 266).</w:t>
      </w:r>
    </w:p>
    <w:p>
      <w:pPr>
        <w:pStyle w:val="BodyText"/>
        <w:spacing w:line="360" w:lineRule="auto"/>
        <w:ind w:left="1128" w:right="611" w:firstLine="708"/>
        <w:jc w:val="both"/>
      </w:pPr>
      <w:r>
        <w:rPr/>
        <w:t>Türkiye özelinde yapılacak değerlendirmeler neticesinde, afet yönetim döngüsünde</w:t>
      </w:r>
      <w:r>
        <w:rPr>
          <w:spacing w:val="-11"/>
        </w:rPr>
        <w:t> </w:t>
      </w:r>
      <w:r>
        <w:rPr/>
        <w:t>afet</w:t>
      </w:r>
      <w:r>
        <w:rPr>
          <w:spacing w:val="-12"/>
        </w:rPr>
        <w:t> </w:t>
      </w:r>
      <w:r>
        <w:rPr/>
        <w:t>öncesi</w:t>
      </w:r>
      <w:r>
        <w:rPr>
          <w:spacing w:val="-11"/>
        </w:rPr>
        <w:t> </w:t>
      </w:r>
      <w:r>
        <w:rPr/>
        <w:t>süreçlere</w:t>
      </w:r>
      <w:r>
        <w:rPr>
          <w:spacing w:val="-14"/>
        </w:rPr>
        <w:t> </w:t>
      </w:r>
      <w:r>
        <w:rPr/>
        <w:t>ağırlık</w:t>
      </w:r>
      <w:r>
        <w:rPr>
          <w:spacing w:val="-12"/>
        </w:rPr>
        <w:t> </w:t>
      </w:r>
      <w:r>
        <w:rPr/>
        <w:t>verilmediği</w:t>
      </w:r>
      <w:r>
        <w:rPr>
          <w:spacing w:val="-12"/>
        </w:rPr>
        <w:t> </w:t>
      </w:r>
      <w:r>
        <w:rPr/>
        <w:t>ve</w:t>
      </w:r>
      <w:r>
        <w:rPr>
          <w:spacing w:val="-9"/>
        </w:rPr>
        <w:t> </w:t>
      </w:r>
      <w:r>
        <w:rPr/>
        <w:t>yapılan</w:t>
      </w:r>
      <w:r>
        <w:rPr>
          <w:spacing w:val="-7"/>
        </w:rPr>
        <w:t> </w:t>
      </w:r>
      <w:r>
        <w:rPr/>
        <w:t>yasal</w:t>
      </w:r>
      <w:r>
        <w:rPr>
          <w:spacing w:val="-12"/>
        </w:rPr>
        <w:t> </w:t>
      </w:r>
      <w:r>
        <w:rPr/>
        <w:t>düzenlemelerin</w:t>
      </w:r>
      <w:r>
        <w:rPr>
          <w:spacing w:val="-12"/>
        </w:rPr>
        <w:t> </w:t>
      </w:r>
      <w:r>
        <w:rPr/>
        <w:t>afet sonrasında meydana gelen yıkımın zararlarını azaltma doğrultusunda olduğu görülebilir (Balamir, 2001: 208; Ganapati, 2005’den aktaran Aydıner, 2014:</w:t>
      </w:r>
      <w:r>
        <w:rPr>
          <w:spacing w:val="1"/>
        </w:rPr>
        <w:t> </w:t>
      </w:r>
      <w:r>
        <w:rPr/>
        <w:t>29).</w:t>
      </w:r>
    </w:p>
    <w:p>
      <w:pPr>
        <w:pStyle w:val="BodyText"/>
        <w:spacing w:before="4"/>
        <w:rPr>
          <w:sz w:val="36"/>
        </w:rPr>
      </w:pPr>
    </w:p>
    <w:p>
      <w:pPr>
        <w:pStyle w:val="Heading1"/>
        <w:ind w:left="1836"/>
      </w:pPr>
      <w:bookmarkStart w:name="_bookmark23" w:id="59"/>
      <w:bookmarkEnd w:id="59"/>
      <w:r>
        <w:rPr>
          <w:b w:val="0"/>
        </w:rPr>
      </w:r>
      <w:r>
        <w:rPr/>
        <w:t>2.3. Türkiye’de Afet Yönetimi</w:t>
      </w:r>
    </w:p>
    <w:p>
      <w:pPr>
        <w:pStyle w:val="BodyText"/>
        <w:spacing w:line="360" w:lineRule="auto" w:before="134"/>
        <w:ind w:left="1128" w:right="609" w:firstLine="708"/>
        <w:jc w:val="both"/>
      </w:pPr>
      <w:r>
        <w:rPr/>
        <w:t>Türkiye, geçmişten bu güne kadar büyük boyutta yaralanma, mal kaybı ve can kaybına neden olan doğal afetlerle çoğunlukla karşılaşan bir ülkedir. Ülkenin iklimi, topografyası</w:t>
      </w:r>
      <w:r>
        <w:rPr>
          <w:spacing w:val="-11"/>
        </w:rPr>
        <w:t> </w:t>
      </w:r>
      <w:r>
        <w:rPr/>
        <w:t>ve</w:t>
      </w:r>
      <w:r>
        <w:rPr>
          <w:spacing w:val="-13"/>
        </w:rPr>
        <w:t> </w:t>
      </w:r>
      <w:r>
        <w:rPr/>
        <w:t>jeolojik</w:t>
      </w:r>
      <w:r>
        <w:rPr>
          <w:spacing w:val="-6"/>
        </w:rPr>
        <w:t> </w:t>
      </w:r>
      <w:r>
        <w:rPr/>
        <w:t>yapısı</w:t>
      </w:r>
      <w:r>
        <w:rPr>
          <w:spacing w:val="-11"/>
        </w:rPr>
        <w:t> </w:t>
      </w:r>
      <w:r>
        <w:rPr/>
        <w:t>afetlerde</w:t>
      </w:r>
      <w:r>
        <w:rPr>
          <w:spacing w:val="-10"/>
        </w:rPr>
        <w:t> </w:t>
      </w:r>
      <w:r>
        <w:rPr/>
        <w:t>etkili</w:t>
      </w:r>
      <w:r>
        <w:rPr>
          <w:spacing w:val="-8"/>
        </w:rPr>
        <w:t> </w:t>
      </w:r>
      <w:r>
        <w:rPr/>
        <w:t>olmaktadır.</w:t>
      </w:r>
      <w:r>
        <w:rPr>
          <w:spacing w:val="-12"/>
        </w:rPr>
        <w:t> </w:t>
      </w:r>
      <w:r>
        <w:rPr/>
        <w:t>Türkiye’de</w:t>
      </w:r>
      <w:r>
        <w:rPr>
          <w:spacing w:val="-12"/>
        </w:rPr>
        <w:t> </w:t>
      </w:r>
      <w:r>
        <w:rPr/>
        <w:t>öncelikli</w:t>
      </w:r>
      <w:r>
        <w:rPr>
          <w:spacing w:val="-10"/>
        </w:rPr>
        <w:t> </w:t>
      </w:r>
      <w:r>
        <w:rPr/>
        <w:t>depremler olmak üzere, sel, toprak kayması, kuraklık ve kaya düşmeleri gibi afetler meydana gelmektedir (Akyel, 2007:</w:t>
      </w:r>
      <w:r>
        <w:rPr>
          <w:spacing w:val="-1"/>
        </w:rPr>
        <w:t> </w:t>
      </w:r>
      <w:r>
        <w:rPr/>
        <w:t>26).</w:t>
      </w:r>
    </w:p>
    <w:p>
      <w:pPr>
        <w:pStyle w:val="BodyText"/>
        <w:spacing w:before="1"/>
        <w:rPr>
          <w:sz w:val="36"/>
        </w:rPr>
      </w:pPr>
    </w:p>
    <w:p>
      <w:pPr>
        <w:pStyle w:val="BodyText"/>
        <w:spacing w:line="360" w:lineRule="auto"/>
        <w:ind w:left="1128" w:right="610" w:firstLine="708"/>
        <w:jc w:val="both"/>
      </w:pPr>
      <w:r>
        <w:rPr/>
        <w:t>Türkiye’de doğal afetlere yönelik yapılan yasal ve kurumsal düzenlemeler dört dönemde ele alınmaktadır (Çorbacıoğlu ve Kapucu, 2003: 53; Öztürk, 2003: 49;</w:t>
      </w:r>
      <w:r>
        <w:rPr>
          <w:spacing w:val="-40"/>
        </w:rPr>
        <w:t> </w:t>
      </w:r>
      <w:r>
        <w:rPr/>
        <w:t>Yılmaz,</w:t>
      </w:r>
    </w:p>
    <w:p>
      <w:pPr>
        <w:pStyle w:val="BodyText"/>
        <w:ind w:left="1128"/>
        <w:jc w:val="both"/>
      </w:pPr>
      <w:r>
        <w:rPr/>
        <w:t>2007: 75).</w:t>
      </w:r>
    </w:p>
    <w:p>
      <w:pPr>
        <w:pStyle w:val="ListParagraph"/>
        <w:numPr>
          <w:ilvl w:val="0"/>
          <w:numId w:val="8"/>
        </w:numPr>
        <w:tabs>
          <w:tab w:pos="2077" w:val="left" w:leader="none"/>
        </w:tabs>
        <w:spacing w:line="240" w:lineRule="auto" w:before="137" w:after="0"/>
        <w:ind w:left="2076" w:right="0" w:hanging="240"/>
        <w:jc w:val="left"/>
        <w:rPr>
          <w:sz w:val="24"/>
        </w:rPr>
      </w:pPr>
      <w:r>
        <w:rPr>
          <w:sz w:val="24"/>
        </w:rPr>
        <w:t>1944 öncesi</w:t>
      </w:r>
      <w:r>
        <w:rPr>
          <w:spacing w:val="-2"/>
          <w:sz w:val="24"/>
        </w:rPr>
        <w:t> </w:t>
      </w:r>
      <w:r>
        <w:rPr>
          <w:sz w:val="24"/>
        </w:rPr>
        <w:t>dönem</w:t>
      </w:r>
    </w:p>
    <w:p>
      <w:pPr>
        <w:pStyle w:val="ListParagraph"/>
        <w:numPr>
          <w:ilvl w:val="0"/>
          <w:numId w:val="8"/>
        </w:numPr>
        <w:tabs>
          <w:tab w:pos="2077" w:val="left" w:leader="none"/>
        </w:tabs>
        <w:spacing w:line="240" w:lineRule="auto" w:before="139" w:after="0"/>
        <w:ind w:left="2076" w:right="0" w:hanging="240"/>
        <w:jc w:val="left"/>
        <w:rPr>
          <w:sz w:val="24"/>
        </w:rPr>
      </w:pPr>
      <w:r>
        <w:rPr>
          <w:sz w:val="24"/>
        </w:rPr>
        <w:t>1944 - 1958 yılları arası</w:t>
      </w:r>
      <w:r>
        <w:rPr>
          <w:spacing w:val="1"/>
          <w:sz w:val="24"/>
        </w:rPr>
        <w:t> </w:t>
      </w:r>
      <w:r>
        <w:rPr>
          <w:sz w:val="24"/>
        </w:rPr>
        <w:t>dönemi</w:t>
      </w:r>
    </w:p>
    <w:p>
      <w:pPr>
        <w:spacing w:after="0" w:line="240" w:lineRule="auto"/>
        <w:jc w:val="left"/>
        <w:rPr>
          <w:sz w:val="24"/>
        </w:rPr>
        <w:sectPr>
          <w:pgSz w:w="11910" w:h="16840"/>
          <w:pgMar w:header="0" w:footer="976" w:top="1580" w:bottom="1240" w:left="1140" w:right="520"/>
        </w:sectPr>
      </w:pPr>
    </w:p>
    <w:p>
      <w:pPr>
        <w:pStyle w:val="ListParagraph"/>
        <w:numPr>
          <w:ilvl w:val="0"/>
          <w:numId w:val="8"/>
        </w:numPr>
        <w:tabs>
          <w:tab w:pos="2077" w:val="left" w:leader="none"/>
        </w:tabs>
        <w:spacing w:line="240" w:lineRule="auto" w:before="98" w:after="0"/>
        <w:ind w:left="2076" w:right="0" w:hanging="240"/>
        <w:jc w:val="left"/>
        <w:rPr>
          <w:sz w:val="24"/>
        </w:rPr>
      </w:pPr>
      <w:r>
        <w:rPr>
          <w:sz w:val="24"/>
        </w:rPr>
        <w:t>1958 - 1999 yılları arası</w:t>
      </w:r>
      <w:r>
        <w:rPr>
          <w:spacing w:val="3"/>
          <w:sz w:val="24"/>
        </w:rPr>
        <w:t> </w:t>
      </w:r>
      <w:r>
        <w:rPr>
          <w:sz w:val="24"/>
        </w:rPr>
        <w:t>dönemi</w:t>
      </w:r>
    </w:p>
    <w:p>
      <w:pPr>
        <w:pStyle w:val="ListParagraph"/>
        <w:numPr>
          <w:ilvl w:val="0"/>
          <w:numId w:val="8"/>
        </w:numPr>
        <w:tabs>
          <w:tab w:pos="2077" w:val="left" w:leader="none"/>
        </w:tabs>
        <w:spacing w:line="240" w:lineRule="auto" w:before="136" w:after="0"/>
        <w:ind w:left="2076" w:right="0" w:hanging="240"/>
        <w:jc w:val="left"/>
        <w:rPr>
          <w:sz w:val="24"/>
        </w:rPr>
      </w:pPr>
      <w:r>
        <w:rPr>
          <w:sz w:val="24"/>
        </w:rPr>
        <w:t>1999 sonrası</w:t>
      </w:r>
      <w:r>
        <w:rPr>
          <w:spacing w:val="-2"/>
          <w:sz w:val="24"/>
        </w:rPr>
        <w:t> </w:t>
      </w:r>
      <w:r>
        <w:rPr>
          <w:sz w:val="24"/>
        </w:rPr>
        <w:t>dönem</w:t>
      </w:r>
    </w:p>
    <w:p>
      <w:pPr>
        <w:pStyle w:val="BodyText"/>
        <w:rPr>
          <w:sz w:val="26"/>
        </w:rPr>
      </w:pPr>
    </w:p>
    <w:p>
      <w:pPr>
        <w:pStyle w:val="BodyText"/>
        <w:spacing w:before="5"/>
        <w:rPr>
          <w:sz w:val="22"/>
        </w:rPr>
      </w:pPr>
    </w:p>
    <w:p>
      <w:pPr>
        <w:pStyle w:val="Heading2"/>
        <w:rPr>
          <w:i/>
        </w:rPr>
      </w:pPr>
      <w:r>
        <w:rPr>
          <w:i/>
        </w:rPr>
        <w:t>1944 öncesi dönem</w:t>
      </w:r>
    </w:p>
    <w:p>
      <w:pPr>
        <w:pStyle w:val="BodyText"/>
        <w:spacing w:line="360" w:lineRule="auto" w:before="135"/>
        <w:ind w:left="1128" w:right="611" w:firstLine="708"/>
        <w:jc w:val="both"/>
      </w:pPr>
      <w:r>
        <w:rPr/>
        <w:t>Özellikle depremler ve diğer doğal afetlerden etkilenen topluma yardım etme geleneği çok eski zamanlara kadar uzanır. Buna ilk yazılı örnek olarak Eylül 1509 senesinde olan İstanbul depremidir. İleriki dönemlerde ortaya konan yapı kanunlarının ana esasını meydana getiren kanunlar çerçevesinde, yapılaşma ve yerleşmelerin fen, sağlık ve sanat kurallarına uygun düzeye getirmek hedeflenmiştir. Kanunda afet zararlarının en aza indirgenmesi konusunda doğrudan hükümler tespit edilmese de, bu kanunun yapılaşma ve yerleşmelere yeni esaslar getirdiğinden dolayı, dolaylıda olsa doğal afet zararlarının en aza indirgenmesi için yapılan çalışmalara yardımcı olacağı söylenebilir.</w:t>
      </w:r>
    </w:p>
    <w:p>
      <w:pPr>
        <w:pStyle w:val="BodyText"/>
        <w:spacing w:line="360" w:lineRule="auto"/>
        <w:ind w:left="1128" w:right="611" w:firstLine="708"/>
        <w:jc w:val="both"/>
      </w:pPr>
      <w:r>
        <w:rPr/>
        <w:t>1939 yılında 3611 sayılı kanun ile Bayındırlık Bakanlığı kuruluş kanunda değiştirilerek</w:t>
      </w:r>
      <w:r>
        <w:rPr>
          <w:spacing w:val="-8"/>
        </w:rPr>
        <w:t> </w:t>
      </w:r>
      <w:r>
        <w:rPr/>
        <w:t>yerine</w:t>
      </w:r>
      <w:r>
        <w:rPr>
          <w:spacing w:val="-7"/>
        </w:rPr>
        <w:t> </w:t>
      </w:r>
      <w:r>
        <w:rPr/>
        <w:t>yapı</w:t>
      </w:r>
      <w:r>
        <w:rPr>
          <w:spacing w:val="-8"/>
        </w:rPr>
        <w:t> </w:t>
      </w:r>
      <w:r>
        <w:rPr/>
        <w:t>ve</w:t>
      </w:r>
      <w:r>
        <w:rPr>
          <w:spacing w:val="-9"/>
        </w:rPr>
        <w:t> </w:t>
      </w:r>
      <w:r>
        <w:rPr/>
        <w:t>İmar</w:t>
      </w:r>
      <w:r>
        <w:rPr>
          <w:spacing w:val="-9"/>
        </w:rPr>
        <w:t> </w:t>
      </w:r>
      <w:r>
        <w:rPr/>
        <w:t>İşleri</w:t>
      </w:r>
      <w:r>
        <w:rPr>
          <w:spacing w:val="-10"/>
        </w:rPr>
        <w:t> </w:t>
      </w:r>
      <w:r>
        <w:rPr/>
        <w:t>Reisliğine</w:t>
      </w:r>
      <w:r>
        <w:rPr>
          <w:spacing w:val="-9"/>
        </w:rPr>
        <w:t> </w:t>
      </w:r>
      <w:r>
        <w:rPr/>
        <w:t>bağlı</w:t>
      </w:r>
      <w:r>
        <w:rPr>
          <w:spacing w:val="-10"/>
        </w:rPr>
        <w:t> </w:t>
      </w:r>
      <w:r>
        <w:rPr/>
        <w:t>olarak</w:t>
      </w:r>
      <w:r>
        <w:rPr>
          <w:spacing w:val="-8"/>
        </w:rPr>
        <w:t> </w:t>
      </w:r>
      <w:r>
        <w:rPr/>
        <w:t>yeni</w:t>
      </w:r>
      <w:r>
        <w:rPr>
          <w:spacing w:val="-10"/>
        </w:rPr>
        <w:t> </w:t>
      </w:r>
      <w:r>
        <w:rPr/>
        <w:t>bir</w:t>
      </w:r>
      <w:r>
        <w:rPr>
          <w:spacing w:val="-10"/>
        </w:rPr>
        <w:t> </w:t>
      </w:r>
      <w:r>
        <w:rPr/>
        <w:t>birim</w:t>
      </w:r>
      <w:r>
        <w:rPr>
          <w:spacing w:val="-10"/>
        </w:rPr>
        <w:t> </w:t>
      </w:r>
      <w:r>
        <w:rPr/>
        <w:t>kurulmuştur (Göktürk ve Yılmaz, 2001:</w:t>
      </w:r>
      <w:r>
        <w:rPr>
          <w:spacing w:val="-2"/>
        </w:rPr>
        <w:t> </w:t>
      </w:r>
      <w:r>
        <w:rPr/>
        <w:t>7).</w:t>
      </w:r>
    </w:p>
    <w:p>
      <w:pPr>
        <w:pStyle w:val="BodyText"/>
        <w:spacing w:before="5"/>
        <w:rPr>
          <w:sz w:val="36"/>
        </w:rPr>
      </w:pPr>
    </w:p>
    <w:p>
      <w:pPr>
        <w:pStyle w:val="Heading2"/>
        <w:rPr>
          <w:i/>
        </w:rPr>
      </w:pPr>
      <w:r>
        <w:rPr>
          <w:i/>
        </w:rPr>
        <w:t>1944-1958 yılları arası dönem</w:t>
      </w:r>
    </w:p>
    <w:p>
      <w:pPr>
        <w:pStyle w:val="BodyText"/>
        <w:spacing w:line="360" w:lineRule="auto" w:before="132"/>
        <w:ind w:left="1128" w:right="611" w:firstLine="708"/>
        <w:jc w:val="both"/>
      </w:pPr>
      <w:r>
        <w:rPr/>
        <w:t>1994- 1958 yılları arasında Türkiye’de afetle ilgili düzenleme 17 Ocak 1939 yılında gerçekleşen Erzincan depremi sonrasında o günkü hükümet, bazı yasal düzenlemeler yapmak mecburiyetinde kalmıştır. Afetlere ilişkin ilk yasa ise, 17 Ocak 1940 tarihli ve 3773 sayılı “Erzincan’da ve Erzincan Depreminden Müteessir Olan Mıntıkalarda Zarar Görenlere Yapılacak Yapılar Hakkında Kanun” adlı yasadır. Bu yasayla evi yıkılan kişilere nakdi ve ayni yardım yapılması kurallara bağlanmıştır (Yılmaz, 2003: 75).</w:t>
      </w:r>
    </w:p>
    <w:p>
      <w:pPr>
        <w:pStyle w:val="BodyText"/>
        <w:spacing w:line="360" w:lineRule="auto" w:before="1"/>
        <w:ind w:left="1128" w:right="612" w:firstLine="708"/>
        <w:jc w:val="both"/>
      </w:pPr>
      <w:r>
        <w:rPr/>
        <w:t>Türkiye’de ilk deprem bölgeleri haritası ve Türkiye yer sarsıntısı bölgeleri yapı yönetmeliği 1945 yılında, şimdiki adıyla afet bölgelerinde yapılacak yapılarla hakkında yönetmelik</w:t>
      </w:r>
      <w:r>
        <w:rPr>
          <w:spacing w:val="-12"/>
        </w:rPr>
        <w:t> </w:t>
      </w:r>
      <w:r>
        <w:rPr/>
        <w:t>hazırlanıp</w:t>
      </w:r>
      <w:r>
        <w:rPr>
          <w:spacing w:val="-11"/>
        </w:rPr>
        <w:t> </w:t>
      </w:r>
      <w:r>
        <w:rPr/>
        <w:t>uygulanması</w:t>
      </w:r>
      <w:r>
        <w:rPr>
          <w:spacing w:val="-9"/>
        </w:rPr>
        <w:t> </w:t>
      </w:r>
      <w:r>
        <w:rPr/>
        <w:t>mecburi</w:t>
      </w:r>
      <w:r>
        <w:rPr>
          <w:spacing w:val="-11"/>
        </w:rPr>
        <w:t> </w:t>
      </w:r>
      <w:r>
        <w:rPr/>
        <w:t>hale</w:t>
      </w:r>
      <w:r>
        <w:rPr>
          <w:spacing w:val="-10"/>
        </w:rPr>
        <w:t> </w:t>
      </w:r>
      <w:r>
        <w:rPr/>
        <w:t>getirilmiştir.</w:t>
      </w:r>
      <w:r>
        <w:rPr>
          <w:spacing w:val="-11"/>
        </w:rPr>
        <w:t> </w:t>
      </w:r>
      <w:r>
        <w:rPr/>
        <w:t>Bayındırlık</w:t>
      </w:r>
      <w:r>
        <w:rPr>
          <w:spacing w:val="-10"/>
        </w:rPr>
        <w:t> </w:t>
      </w:r>
      <w:r>
        <w:rPr/>
        <w:t>Bakanlığı</w:t>
      </w:r>
      <w:r>
        <w:rPr>
          <w:spacing w:val="-7"/>
        </w:rPr>
        <w:t> </w:t>
      </w:r>
      <w:r>
        <w:rPr/>
        <w:t>yapı ve imar işlerine bağlı olarak 1953 yılında deprem bürosu kurulmuştur. Bu büro 1955 yılında DE- SE- YA (deprem- seylap-yangın) şubesi haline dönüştürülerek doğal afet zararların azaltılması çalışmaları bu şube ile yürütülmeye başlatılmıştır (Göktürk ve Yılmaz, 2001:</w:t>
      </w:r>
      <w:r>
        <w:rPr>
          <w:spacing w:val="-1"/>
        </w:rPr>
        <w:t> </w:t>
      </w:r>
      <w:r>
        <w:rPr/>
        <w:t>8).</w:t>
      </w:r>
    </w:p>
    <w:p>
      <w:pPr>
        <w:spacing w:after="0" w:line="360" w:lineRule="auto"/>
        <w:jc w:val="both"/>
        <w:sectPr>
          <w:pgSz w:w="11910" w:h="16840"/>
          <w:pgMar w:header="0" w:footer="976" w:top="1580" w:bottom="1240" w:left="1140" w:right="520"/>
        </w:sectPr>
      </w:pPr>
    </w:p>
    <w:p>
      <w:pPr>
        <w:pStyle w:val="BodyText"/>
        <w:rPr>
          <w:sz w:val="20"/>
        </w:rPr>
      </w:pPr>
    </w:p>
    <w:p>
      <w:pPr>
        <w:pStyle w:val="BodyText"/>
        <w:rPr>
          <w:sz w:val="17"/>
        </w:rPr>
      </w:pPr>
    </w:p>
    <w:p>
      <w:pPr>
        <w:pStyle w:val="Heading2"/>
        <w:spacing w:before="90"/>
        <w:rPr>
          <w:i/>
        </w:rPr>
      </w:pPr>
      <w:r>
        <w:rPr>
          <w:i/>
        </w:rPr>
        <w:t>1958-1999 yılları arası dönem</w:t>
      </w:r>
    </w:p>
    <w:p>
      <w:pPr>
        <w:pStyle w:val="BodyText"/>
        <w:spacing w:line="360" w:lineRule="auto" w:before="134"/>
        <w:ind w:left="1128" w:right="608" w:firstLine="708"/>
        <w:jc w:val="both"/>
      </w:pPr>
      <w:r>
        <w:rPr/>
        <w:t>1959</w:t>
      </w:r>
      <w:r>
        <w:rPr>
          <w:spacing w:val="-13"/>
        </w:rPr>
        <w:t> </w:t>
      </w:r>
      <w:r>
        <w:rPr/>
        <w:t>yılında</w:t>
      </w:r>
      <w:r>
        <w:rPr>
          <w:spacing w:val="-16"/>
        </w:rPr>
        <w:t> </w:t>
      </w:r>
      <w:r>
        <w:rPr/>
        <w:t>7269</w:t>
      </w:r>
      <w:r>
        <w:rPr>
          <w:spacing w:val="-14"/>
        </w:rPr>
        <w:t> </w:t>
      </w:r>
      <w:r>
        <w:rPr/>
        <w:t>sayılı</w:t>
      </w:r>
      <w:r>
        <w:rPr>
          <w:spacing w:val="-14"/>
        </w:rPr>
        <w:t> </w:t>
      </w:r>
      <w:r>
        <w:rPr/>
        <w:t>Umumi</w:t>
      </w:r>
      <w:r>
        <w:rPr>
          <w:spacing w:val="-15"/>
        </w:rPr>
        <w:t> </w:t>
      </w:r>
      <w:r>
        <w:rPr/>
        <w:t>Hayata</w:t>
      </w:r>
      <w:r>
        <w:rPr>
          <w:spacing w:val="-15"/>
        </w:rPr>
        <w:t> </w:t>
      </w:r>
      <w:r>
        <w:rPr/>
        <w:t>Müessir</w:t>
      </w:r>
      <w:r>
        <w:rPr>
          <w:spacing w:val="-14"/>
        </w:rPr>
        <w:t> </w:t>
      </w:r>
      <w:r>
        <w:rPr/>
        <w:t>Afetler</w:t>
      </w:r>
      <w:r>
        <w:rPr>
          <w:spacing w:val="-15"/>
        </w:rPr>
        <w:t> </w:t>
      </w:r>
      <w:r>
        <w:rPr/>
        <w:t>sebebiyle</w:t>
      </w:r>
      <w:r>
        <w:rPr>
          <w:spacing w:val="-16"/>
        </w:rPr>
        <w:t> </w:t>
      </w:r>
      <w:r>
        <w:rPr/>
        <w:t>alınan</w:t>
      </w:r>
      <w:r>
        <w:rPr>
          <w:spacing w:val="-15"/>
        </w:rPr>
        <w:t> </w:t>
      </w:r>
      <w:r>
        <w:rPr/>
        <w:t>tedbirler ve yapılan yardımlarla ilgili kanun çıkarılmasında önemli bir gelişme yaşanmıştır. 1988 yılında çıkarılan afetlerle ilişkin acil yardım teşkilatı ve planlama esaslarına dair yönetmelik</w:t>
      </w:r>
      <w:r>
        <w:rPr>
          <w:spacing w:val="-7"/>
        </w:rPr>
        <w:t> </w:t>
      </w:r>
      <w:r>
        <w:rPr/>
        <w:t>ile</w:t>
      </w:r>
      <w:r>
        <w:rPr>
          <w:spacing w:val="-8"/>
        </w:rPr>
        <w:t> </w:t>
      </w:r>
      <w:r>
        <w:rPr/>
        <w:t>devam</w:t>
      </w:r>
      <w:r>
        <w:rPr>
          <w:spacing w:val="-4"/>
        </w:rPr>
        <w:t> </w:t>
      </w:r>
      <w:r>
        <w:rPr/>
        <w:t>eden</w:t>
      </w:r>
      <w:r>
        <w:rPr>
          <w:spacing w:val="-5"/>
        </w:rPr>
        <w:t> </w:t>
      </w:r>
      <w:r>
        <w:rPr/>
        <w:t>gelişmeler</w:t>
      </w:r>
      <w:r>
        <w:rPr>
          <w:spacing w:val="-8"/>
        </w:rPr>
        <w:t> </w:t>
      </w:r>
      <w:r>
        <w:rPr/>
        <w:t>devletin</w:t>
      </w:r>
      <w:r>
        <w:rPr>
          <w:spacing w:val="-7"/>
        </w:rPr>
        <w:t> </w:t>
      </w:r>
      <w:r>
        <w:rPr/>
        <w:t>bütün</w:t>
      </w:r>
      <w:r>
        <w:rPr>
          <w:spacing w:val="-3"/>
        </w:rPr>
        <w:t> </w:t>
      </w:r>
      <w:r>
        <w:rPr/>
        <w:t>imkânlarının</w:t>
      </w:r>
      <w:r>
        <w:rPr>
          <w:spacing w:val="-7"/>
        </w:rPr>
        <w:t> </w:t>
      </w:r>
      <w:r>
        <w:rPr/>
        <w:t>afet</w:t>
      </w:r>
      <w:r>
        <w:rPr>
          <w:spacing w:val="-7"/>
        </w:rPr>
        <w:t> </w:t>
      </w:r>
      <w:r>
        <w:rPr/>
        <w:t>bölgesine</w:t>
      </w:r>
      <w:r>
        <w:rPr>
          <w:spacing w:val="-5"/>
        </w:rPr>
        <w:t> </w:t>
      </w:r>
      <w:r>
        <w:rPr/>
        <w:t>en</w:t>
      </w:r>
      <w:r>
        <w:rPr>
          <w:spacing w:val="-6"/>
        </w:rPr>
        <w:t> </w:t>
      </w:r>
      <w:r>
        <w:rPr/>
        <w:t>hızlı şekilde ulaşmasını ve afetlerden etkilenen vatandaşlara en etkin ilk müdahalenin yapılması</w:t>
      </w:r>
      <w:r>
        <w:rPr>
          <w:spacing w:val="-17"/>
        </w:rPr>
        <w:t> </w:t>
      </w:r>
      <w:r>
        <w:rPr/>
        <w:t>ön</w:t>
      </w:r>
      <w:r>
        <w:rPr>
          <w:spacing w:val="-15"/>
        </w:rPr>
        <w:t> </w:t>
      </w:r>
      <w:r>
        <w:rPr/>
        <w:t>görülmüştür.</w:t>
      </w:r>
      <w:r>
        <w:rPr>
          <w:spacing w:val="-18"/>
        </w:rPr>
        <w:t> </w:t>
      </w:r>
      <w:r>
        <w:rPr/>
        <w:t>Afeti</w:t>
      </w:r>
      <w:r>
        <w:rPr>
          <w:spacing w:val="-11"/>
        </w:rPr>
        <w:t> </w:t>
      </w:r>
      <w:r>
        <w:rPr/>
        <w:t>yöneten</w:t>
      </w:r>
      <w:r>
        <w:rPr>
          <w:spacing w:val="-15"/>
        </w:rPr>
        <w:t> </w:t>
      </w:r>
      <w:r>
        <w:rPr/>
        <w:t>merkezin</w:t>
      </w:r>
      <w:r>
        <w:rPr>
          <w:spacing w:val="-14"/>
        </w:rPr>
        <w:t> </w:t>
      </w:r>
      <w:r>
        <w:rPr/>
        <w:t>temel</w:t>
      </w:r>
      <w:r>
        <w:rPr>
          <w:spacing w:val="-16"/>
        </w:rPr>
        <w:t> </w:t>
      </w:r>
      <w:r>
        <w:rPr/>
        <w:t>ve</w:t>
      </w:r>
      <w:r>
        <w:rPr>
          <w:spacing w:val="-18"/>
        </w:rPr>
        <w:t> </w:t>
      </w:r>
      <w:r>
        <w:rPr/>
        <w:t>esas</w:t>
      </w:r>
      <w:r>
        <w:rPr>
          <w:spacing w:val="-14"/>
        </w:rPr>
        <w:t> </w:t>
      </w:r>
      <w:r>
        <w:rPr/>
        <w:t>görevi:</w:t>
      </w:r>
      <w:r>
        <w:rPr>
          <w:spacing w:val="-16"/>
        </w:rPr>
        <w:t> </w:t>
      </w:r>
      <w:r>
        <w:rPr/>
        <w:t>krizin</w:t>
      </w:r>
      <w:r>
        <w:rPr>
          <w:spacing w:val="-16"/>
        </w:rPr>
        <w:t> </w:t>
      </w:r>
      <w:r>
        <w:rPr/>
        <w:t>önlenmesi, ortadan kaldırılması </w:t>
      </w:r>
      <w:r>
        <w:rPr>
          <w:spacing w:val="-3"/>
        </w:rPr>
        <w:t>ya </w:t>
      </w:r>
      <w:r>
        <w:rPr/>
        <w:t>da milli çıkarlar doğrultusunda bitirilmesi amacıyla yapılması gereken</w:t>
      </w:r>
      <w:r>
        <w:rPr>
          <w:spacing w:val="-16"/>
        </w:rPr>
        <w:t> </w:t>
      </w:r>
      <w:r>
        <w:rPr/>
        <w:t>hazırlık</w:t>
      </w:r>
      <w:r>
        <w:rPr>
          <w:spacing w:val="-17"/>
        </w:rPr>
        <w:t> </w:t>
      </w:r>
      <w:r>
        <w:rPr/>
        <w:t>ve</w:t>
      </w:r>
      <w:r>
        <w:rPr>
          <w:spacing w:val="-18"/>
        </w:rPr>
        <w:t> </w:t>
      </w:r>
      <w:r>
        <w:rPr/>
        <w:t>faaliyetleri</w:t>
      </w:r>
      <w:r>
        <w:rPr>
          <w:spacing w:val="-13"/>
        </w:rPr>
        <w:t> </w:t>
      </w:r>
      <w:r>
        <w:rPr/>
        <w:t>yönlendirilmesinde,</w:t>
      </w:r>
      <w:r>
        <w:rPr>
          <w:spacing w:val="-15"/>
        </w:rPr>
        <w:t> </w:t>
      </w:r>
      <w:r>
        <w:rPr/>
        <w:t>ilgili</w:t>
      </w:r>
      <w:r>
        <w:rPr>
          <w:spacing w:val="-17"/>
        </w:rPr>
        <w:t> </w:t>
      </w:r>
      <w:r>
        <w:rPr/>
        <w:t>Bakanlıkla</w:t>
      </w:r>
      <w:r>
        <w:rPr>
          <w:spacing w:val="-17"/>
        </w:rPr>
        <w:t> </w:t>
      </w:r>
      <w:r>
        <w:rPr/>
        <w:t>beraber</w:t>
      </w:r>
      <w:r>
        <w:rPr>
          <w:spacing w:val="-16"/>
        </w:rPr>
        <w:t> </w:t>
      </w:r>
      <w:r>
        <w:rPr/>
        <w:t>genelkurmay başkanlığı ve kurum ve kuruluşlar arasında koordinasyonu, iş birliğini sağlamak olarak ifade edilmiştir (Aktel, 2007:</w:t>
      </w:r>
      <w:r>
        <w:rPr>
          <w:spacing w:val="-13"/>
        </w:rPr>
        <w:t> </w:t>
      </w:r>
      <w:r>
        <w:rPr/>
        <w:t>153).</w:t>
      </w:r>
    </w:p>
    <w:p>
      <w:pPr>
        <w:pStyle w:val="BodyText"/>
        <w:spacing w:before="5"/>
        <w:rPr>
          <w:sz w:val="36"/>
        </w:rPr>
      </w:pPr>
    </w:p>
    <w:p>
      <w:pPr>
        <w:pStyle w:val="Heading2"/>
        <w:rPr>
          <w:i/>
        </w:rPr>
      </w:pPr>
      <w:r>
        <w:rPr>
          <w:i/>
        </w:rPr>
        <w:t>1999 sonrası dönem</w:t>
      </w:r>
    </w:p>
    <w:p>
      <w:pPr>
        <w:pStyle w:val="BodyText"/>
        <w:spacing w:line="360" w:lineRule="auto" w:before="134"/>
        <w:ind w:left="1128" w:right="611" w:firstLine="708"/>
        <w:jc w:val="both"/>
      </w:pPr>
      <w:r>
        <w:rPr/>
        <w:t>1999 yılındaki Marmara Depremi sonrasında afet yönetimi konusunda yeterli olunmadığı ve sonrasında kanun hükmünde kararnameler ile mevzuatta büyük değişiklikler getirilmiştir. Marmara Depreminde sanayi ve nüfus yoğunluğu fazla olan bölgeler</w:t>
      </w:r>
      <w:r>
        <w:rPr>
          <w:spacing w:val="-13"/>
        </w:rPr>
        <w:t> </w:t>
      </w:r>
      <w:r>
        <w:rPr/>
        <w:t>etkilenmiş,</w:t>
      </w:r>
      <w:r>
        <w:rPr>
          <w:spacing w:val="-11"/>
        </w:rPr>
        <w:t> </w:t>
      </w:r>
      <w:r>
        <w:rPr/>
        <w:t>bölgenin</w:t>
      </w:r>
      <w:r>
        <w:rPr>
          <w:spacing w:val="-12"/>
        </w:rPr>
        <w:t> </w:t>
      </w:r>
      <w:r>
        <w:rPr/>
        <w:t>normal</w:t>
      </w:r>
      <w:r>
        <w:rPr>
          <w:spacing w:val="-8"/>
        </w:rPr>
        <w:t> </w:t>
      </w:r>
      <w:r>
        <w:rPr/>
        <w:t>yaşama</w:t>
      </w:r>
      <w:r>
        <w:rPr>
          <w:spacing w:val="-13"/>
        </w:rPr>
        <w:t> </w:t>
      </w:r>
      <w:r>
        <w:rPr/>
        <w:t>dönmesi,</w:t>
      </w:r>
      <w:r>
        <w:rPr>
          <w:spacing w:val="-9"/>
        </w:rPr>
        <w:t> </w:t>
      </w:r>
      <w:r>
        <w:rPr/>
        <w:t>yıkım</w:t>
      </w:r>
      <w:r>
        <w:rPr>
          <w:spacing w:val="-12"/>
        </w:rPr>
        <w:t> </w:t>
      </w:r>
      <w:r>
        <w:rPr/>
        <w:t>ve</w:t>
      </w:r>
      <w:r>
        <w:rPr>
          <w:spacing w:val="-13"/>
        </w:rPr>
        <w:t> </w:t>
      </w:r>
      <w:r>
        <w:rPr/>
        <w:t>hasarların</w:t>
      </w:r>
      <w:r>
        <w:rPr>
          <w:spacing w:val="-10"/>
        </w:rPr>
        <w:t> </w:t>
      </w:r>
      <w:r>
        <w:rPr/>
        <w:t>giderilmesi</w:t>
      </w:r>
      <w:r>
        <w:rPr>
          <w:spacing w:val="-12"/>
        </w:rPr>
        <w:t> </w:t>
      </w:r>
      <w:r>
        <w:rPr/>
        <w:t>ve ülkede yasal tedbirler alınması amacıyla 4452 sayılı ‘Doğal Afetlere Karşı Alınacak Önlemler ve Doğal Afetler Nedeniyle Doğan Zararların Giderilmesi için Yapılacak Düzenlemeler Hakkında Yetki Kanunu’ (R.G. 29.08.1999 tarih ve 23801 sayı) çıkartılmıştır (Aktel, 2010:</w:t>
      </w:r>
      <w:r>
        <w:rPr>
          <w:spacing w:val="-1"/>
        </w:rPr>
        <w:t> </w:t>
      </w:r>
      <w:r>
        <w:rPr/>
        <w:t>171).</w:t>
      </w:r>
    </w:p>
    <w:p>
      <w:pPr>
        <w:pStyle w:val="BodyText"/>
        <w:spacing w:line="360" w:lineRule="auto"/>
        <w:ind w:left="1128" w:right="610" w:firstLine="708"/>
        <w:jc w:val="both"/>
      </w:pPr>
      <w:r>
        <w:rPr/>
        <w:t>Başbakanlık</w:t>
      </w:r>
      <w:r>
        <w:rPr>
          <w:spacing w:val="-12"/>
        </w:rPr>
        <w:t> </w:t>
      </w:r>
      <w:r>
        <w:rPr/>
        <w:t>daha</w:t>
      </w:r>
      <w:r>
        <w:rPr>
          <w:spacing w:val="-13"/>
        </w:rPr>
        <w:t> </w:t>
      </w:r>
      <w:r>
        <w:rPr/>
        <w:t>sonrasında</w:t>
      </w:r>
      <w:r>
        <w:rPr>
          <w:spacing w:val="-13"/>
        </w:rPr>
        <w:t> </w:t>
      </w:r>
      <w:r>
        <w:rPr/>
        <w:t>5902</w:t>
      </w:r>
      <w:r>
        <w:rPr>
          <w:spacing w:val="-12"/>
        </w:rPr>
        <w:t> </w:t>
      </w:r>
      <w:r>
        <w:rPr/>
        <w:t>sayılı</w:t>
      </w:r>
      <w:r>
        <w:rPr>
          <w:spacing w:val="-12"/>
        </w:rPr>
        <w:t> </w:t>
      </w:r>
      <w:r>
        <w:rPr/>
        <w:t>kanun</w:t>
      </w:r>
      <w:r>
        <w:rPr>
          <w:spacing w:val="-11"/>
        </w:rPr>
        <w:t> </w:t>
      </w:r>
      <w:r>
        <w:rPr/>
        <w:t>ile</w:t>
      </w:r>
      <w:r>
        <w:rPr>
          <w:spacing w:val="-12"/>
        </w:rPr>
        <w:t> </w:t>
      </w:r>
      <w:r>
        <w:rPr/>
        <w:t>2009</w:t>
      </w:r>
      <w:r>
        <w:rPr>
          <w:spacing w:val="-10"/>
        </w:rPr>
        <w:t> </w:t>
      </w:r>
      <w:r>
        <w:rPr/>
        <w:t>yılında</w:t>
      </w:r>
      <w:r>
        <w:rPr>
          <w:spacing w:val="-12"/>
        </w:rPr>
        <w:t> </w:t>
      </w:r>
      <w:r>
        <w:rPr/>
        <w:t>acil</w:t>
      </w:r>
      <w:r>
        <w:rPr>
          <w:spacing w:val="-11"/>
        </w:rPr>
        <w:t> </w:t>
      </w:r>
      <w:r>
        <w:rPr/>
        <w:t>ve</w:t>
      </w:r>
      <w:r>
        <w:rPr>
          <w:spacing w:val="-13"/>
        </w:rPr>
        <w:t> </w:t>
      </w:r>
      <w:r>
        <w:rPr/>
        <w:t>afet</w:t>
      </w:r>
      <w:r>
        <w:rPr>
          <w:spacing w:val="-10"/>
        </w:rPr>
        <w:t> </w:t>
      </w:r>
      <w:r>
        <w:rPr/>
        <w:t>durum yönetimi</w:t>
      </w:r>
      <w:r>
        <w:rPr>
          <w:spacing w:val="-11"/>
        </w:rPr>
        <w:t> </w:t>
      </w:r>
      <w:r>
        <w:rPr/>
        <w:t>başkanlığı</w:t>
      </w:r>
      <w:r>
        <w:rPr>
          <w:spacing w:val="-11"/>
        </w:rPr>
        <w:t> </w:t>
      </w:r>
      <w:r>
        <w:rPr/>
        <w:t>oluşturmuştur.</w:t>
      </w:r>
      <w:r>
        <w:rPr>
          <w:spacing w:val="-11"/>
        </w:rPr>
        <w:t> </w:t>
      </w:r>
      <w:r>
        <w:rPr/>
        <w:t>Türkiye’de</w:t>
      </w:r>
      <w:r>
        <w:rPr>
          <w:spacing w:val="-11"/>
        </w:rPr>
        <w:t> </w:t>
      </w:r>
      <w:r>
        <w:rPr/>
        <w:t>1999</w:t>
      </w:r>
      <w:r>
        <w:rPr>
          <w:spacing w:val="-11"/>
        </w:rPr>
        <w:t> </w:t>
      </w:r>
      <w:r>
        <w:rPr/>
        <w:t>Marmara</w:t>
      </w:r>
      <w:r>
        <w:rPr>
          <w:spacing w:val="-12"/>
        </w:rPr>
        <w:t> </w:t>
      </w:r>
      <w:r>
        <w:rPr/>
        <w:t>depremi</w:t>
      </w:r>
      <w:r>
        <w:rPr>
          <w:spacing w:val="-10"/>
        </w:rPr>
        <w:t> </w:t>
      </w:r>
      <w:r>
        <w:rPr/>
        <w:t>sonrasında</w:t>
      </w:r>
      <w:r>
        <w:rPr>
          <w:spacing w:val="-11"/>
        </w:rPr>
        <w:t> </w:t>
      </w:r>
      <w:r>
        <w:rPr/>
        <w:t>acil</w:t>
      </w:r>
      <w:r>
        <w:rPr>
          <w:spacing w:val="-10"/>
        </w:rPr>
        <w:t> </w:t>
      </w:r>
      <w:r>
        <w:rPr/>
        <w:t>ve afet yönetiminde büyük değişimler</w:t>
      </w:r>
      <w:r>
        <w:rPr>
          <w:spacing w:val="8"/>
        </w:rPr>
        <w:t> </w:t>
      </w:r>
      <w:r>
        <w:rPr/>
        <w:t>yapmıştır.</w:t>
      </w:r>
    </w:p>
    <w:p>
      <w:pPr>
        <w:pStyle w:val="BodyText"/>
        <w:spacing w:line="360" w:lineRule="auto"/>
        <w:ind w:left="1128" w:right="610" w:firstLine="708"/>
        <w:jc w:val="both"/>
      </w:pPr>
      <w:r>
        <w:rPr/>
        <w:t>Yapılan değişikliklerle Türkiye’nin afet yönetimi konusunda yetersiz olduğu görülmektedir. Marmara depremi sonrasında Türkiye’de mevzuat ve kurumlarda yapılanma konusunda alınması gereken tedbirlerin hızlıca alınarak, afet yönetimi sisteminde gerekli düzenlemeler yapılması için tartışmalar olmuştur.</w:t>
      </w:r>
    </w:p>
    <w:p>
      <w:pPr>
        <w:pStyle w:val="BodyText"/>
        <w:spacing w:line="360" w:lineRule="auto" w:before="1"/>
        <w:ind w:left="1128" w:right="611" w:firstLine="708"/>
        <w:jc w:val="both"/>
      </w:pPr>
      <w:r>
        <w:rPr/>
        <w:t>Türkiye’de afet yönetimine olan bakış açısı değişmeye başlamıştır. Afet hizmetlerini bir yerden yürütmek maksadıyla oluşturulan ve yeni bir kurum olan Afet ve Acil Durum Yönetimi Başkanlığı’nın (AFAD) ana hedefi, afet anında, afet sırasında ve</w:t>
      </w:r>
    </w:p>
    <w:p>
      <w:pPr>
        <w:spacing w:after="0" w:line="360" w:lineRule="auto"/>
        <w:jc w:val="both"/>
        <w:sectPr>
          <w:pgSz w:w="11910" w:h="16840"/>
          <w:pgMar w:header="0" w:footer="976" w:top="1580" w:bottom="1240" w:left="1140" w:right="520"/>
        </w:sectPr>
      </w:pPr>
    </w:p>
    <w:p>
      <w:pPr>
        <w:pStyle w:val="BodyText"/>
        <w:spacing w:line="360" w:lineRule="auto" w:before="98"/>
        <w:ind w:left="1128" w:right="610"/>
        <w:jc w:val="both"/>
      </w:pPr>
      <w:r>
        <w:rPr/>
        <w:t>sonrasındaki görev, sorumluluk ve hizmetin yerel yönetimin üstlenmesini sağlamak ve bu</w:t>
      </w:r>
      <w:r>
        <w:rPr>
          <w:spacing w:val="-14"/>
        </w:rPr>
        <w:t> </w:t>
      </w:r>
      <w:r>
        <w:rPr/>
        <w:t>işlemleri</w:t>
      </w:r>
      <w:r>
        <w:rPr>
          <w:spacing w:val="-15"/>
        </w:rPr>
        <w:t> </w:t>
      </w:r>
      <w:r>
        <w:rPr/>
        <w:t>koordine</w:t>
      </w:r>
      <w:r>
        <w:rPr>
          <w:spacing w:val="-14"/>
        </w:rPr>
        <w:t> </w:t>
      </w:r>
      <w:r>
        <w:rPr/>
        <w:t>ve</w:t>
      </w:r>
      <w:r>
        <w:rPr>
          <w:spacing w:val="-13"/>
        </w:rPr>
        <w:t> </w:t>
      </w:r>
      <w:r>
        <w:rPr/>
        <w:t>denetlemektir.</w:t>
      </w:r>
      <w:r>
        <w:rPr>
          <w:spacing w:val="-14"/>
        </w:rPr>
        <w:t> </w:t>
      </w:r>
      <w:r>
        <w:rPr/>
        <w:t>Türkiye’de</w:t>
      </w:r>
      <w:r>
        <w:rPr>
          <w:spacing w:val="-15"/>
        </w:rPr>
        <w:t> </w:t>
      </w:r>
      <w:r>
        <w:rPr/>
        <w:t>bütünleşik</w:t>
      </w:r>
      <w:r>
        <w:rPr>
          <w:spacing w:val="-13"/>
        </w:rPr>
        <w:t> </w:t>
      </w:r>
      <w:r>
        <w:rPr/>
        <w:t>afet</w:t>
      </w:r>
      <w:r>
        <w:rPr>
          <w:spacing w:val="-9"/>
        </w:rPr>
        <w:t> </w:t>
      </w:r>
      <w:r>
        <w:rPr/>
        <w:t>yönetimi</w:t>
      </w:r>
      <w:r>
        <w:rPr>
          <w:spacing w:val="-14"/>
        </w:rPr>
        <w:t> </w:t>
      </w:r>
      <w:r>
        <w:rPr/>
        <w:t>kullanılmaya geçilmiştir (Törenci, 2015:</w:t>
      </w:r>
      <w:r>
        <w:rPr>
          <w:spacing w:val="-1"/>
        </w:rPr>
        <w:t> </w:t>
      </w:r>
      <w:r>
        <w:rPr/>
        <w:t>44).</w:t>
      </w:r>
    </w:p>
    <w:p>
      <w:pPr>
        <w:pStyle w:val="BodyText"/>
        <w:spacing w:before="4"/>
        <w:rPr>
          <w:sz w:val="36"/>
        </w:rPr>
      </w:pPr>
    </w:p>
    <w:p>
      <w:pPr>
        <w:pStyle w:val="Heading1"/>
        <w:numPr>
          <w:ilvl w:val="2"/>
          <w:numId w:val="9"/>
        </w:numPr>
        <w:tabs>
          <w:tab w:pos="2437" w:val="left" w:leader="none"/>
        </w:tabs>
        <w:spacing w:line="240" w:lineRule="auto" w:before="1" w:after="0"/>
        <w:ind w:left="2436" w:right="0" w:hanging="600"/>
        <w:jc w:val="left"/>
      </w:pPr>
      <w:bookmarkStart w:name="_bookmark24" w:id="60"/>
      <w:bookmarkEnd w:id="60"/>
      <w:r>
        <w:rPr>
          <w:b w:val="0"/>
        </w:rPr>
      </w:r>
      <w:bookmarkStart w:name="_bookmark24" w:id="61"/>
      <w:bookmarkEnd w:id="61"/>
      <w:r>
        <w:rPr/>
        <w:t>5902</w:t>
      </w:r>
      <w:r>
        <w:rPr/>
        <w:t> Sayılı Yasa’da Afet Yönetim</w:t>
      </w:r>
      <w:r>
        <w:rPr>
          <w:spacing w:val="-4"/>
        </w:rPr>
        <w:t> </w:t>
      </w:r>
      <w:r>
        <w:rPr/>
        <w:t>Yapılanması</w:t>
      </w:r>
    </w:p>
    <w:p>
      <w:pPr>
        <w:pStyle w:val="BodyText"/>
        <w:spacing w:line="360" w:lineRule="auto" w:before="132"/>
        <w:ind w:left="1128" w:right="613" w:firstLine="708"/>
      </w:pPr>
      <w:r>
        <w:rPr/>
        <w:t>Türkiye'deki afet yönetimi merkez örgütlenme ve taşra örgütlenmesinden oluşmaktadır.</w:t>
      </w:r>
    </w:p>
    <w:p>
      <w:pPr>
        <w:pStyle w:val="BodyText"/>
        <w:spacing w:before="6"/>
        <w:rPr>
          <w:sz w:val="36"/>
        </w:rPr>
      </w:pPr>
    </w:p>
    <w:p>
      <w:pPr>
        <w:pStyle w:val="Heading1"/>
        <w:numPr>
          <w:ilvl w:val="3"/>
          <w:numId w:val="9"/>
        </w:numPr>
        <w:tabs>
          <w:tab w:pos="2617" w:val="left" w:leader="none"/>
        </w:tabs>
        <w:spacing w:line="240" w:lineRule="auto" w:before="0" w:after="0"/>
        <w:ind w:left="2616" w:right="0" w:hanging="780"/>
        <w:jc w:val="left"/>
      </w:pPr>
      <w:bookmarkStart w:name="_bookmark25" w:id="62"/>
      <w:bookmarkEnd w:id="62"/>
      <w:r>
        <w:rPr>
          <w:b w:val="0"/>
        </w:rPr>
      </w:r>
      <w:bookmarkStart w:name="_bookmark25" w:id="63"/>
      <w:bookmarkEnd w:id="63"/>
      <w:r>
        <w:rPr/>
        <w:t>M</w:t>
      </w:r>
      <w:r>
        <w:rPr/>
        <w:t>erkez</w:t>
      </w:r>
      <w:r>
        <w:rPr>
          <w:spacing w:val="-2"/>
        </w:rPr>
        <w:t> </w:t>
      </w:r>
      <w:r>
        <w:rPr/>
        <w:t>Örgütlenmesi</w:t>
      </w:r>
    </w:p>
    <w:p>
      <w:pPr>
        <w:spacing w:before="132"/>
        <w:ind w:left="1836" w:right="0" w:firstLine="0"/>
        <w:jc w:val="left"/>
        <w:rPr>
          <w:i/>
          <w:sz w:val="24"/>
        </w:rPr>
      </w:pPr>
      <w:r>
        <w:rPr>
          <w:i/>
          <w:sz w:val="24"/>
        </w:rPr>
        <w:t>Afet ve Acil Durum Yüksek Kurulu</w:t>
      </w:r>
    </w:p>
    <w:p>
      <w:pPr>
        <w:pStyle w:val="BodyText"/>
        <w:spacing w:line="360" w:lineRule="auto" w:before="140"/>
        <w:ind w:left="1128" w:right="616" w:firstLine="708"/>
        <w:jc w:val="both"/>
      </w:pPr>
      <w:r>
        <w:rPr/>
        <w:t>AADYK; Afet ve acil durumlarıyla ilgili hazırlanan rapor, plan ve programları onaylamayla</w:t>
      </w:r>
      <w:r>
        <w:rPr>
          <w:spacing w:val="-4"/>
        </w:rPr>
        <w:t> </w:t>
      </w:r>
      <w:r>
        <w:rPr/>
        <w:t>yetkilidir</w:t>
      </w:r>
      <w:r>
        <w:rPr>
          <w:spacing w:val="-7"/>
        </w:rPr>
        <w:t> </w:t>
      </w:r>
      <w:r>
        <w:rPr/>
        <w:t>(5902</w:t>
      </w:r>
      <w:r>
        <w:rPr>
          <w:spacing w:val="-9"/>
        </w:rPr>
        <w:t> </w:t>
      </w:r>
      <w:r>
        <w:rPr/>
        <w:t>sayılı</w:t>
      </w:r>
      <w:r>
        <w:rPr>
          <w:spacing w:val="-5"/>
        </w:rPr>
        <w:t> </w:t>
      </w:r>
      <w:r>
        <w:rPr/>
        <w:t>Afet</w:t>
      </w:r>
      <w:r>
        <w:rPr>
          <w:spacing w:val="-8"/>
        </w:rPr>
        <w:t> </w:t>
      </w:r>
      <w:r>
        <w:rPr/>
        <w:t>ve</w:t>
      </w:r>
      <w:r>
        <w:rPr>
          <w:spacing w:val="-9"/>
        </w:rPr>
        <w:t> </w:t>
      </w:r>
      <w:r>
        <w:rPr/>
        <w:t>Acil</w:t>
      </w:r>
      <w:r>
        <w:rPr>
          <w:spacing w:val="-9"/>
        </w:rPr>
        <w:t> </w:t>
      </w:r>
      <w:r>
        <w:rPr/>
        <w:t>Durum</w:t>
      </w:r>
      <w:r>
        <w:rPr>
          <w:spacing w:val="-9"/>
        </w:rPr>
        <w:t> </w:t>
      </w:r>
      <w:r>
        <w:rPr/>
        <w:t>Yönetimi</w:t>
      </w:r>
      <w:r>
        <w:rPr>
          <w:spacing w:val="-8"/>
        </w:rPr>
        <w:t> </w:t>
      </w:r>
      <w:r>
        <w:rPr/>
        <w:t>Başkanlığının</w:t>
      </w:r>
      <w:r>
        <w:rPr>
          <w:spacing w:val="-8"/>
        </w:rPr>
        <w:t> </w:t>
      </w:r>
      <w:r>
        <w:rPr/>
        <w:t>Teşkilat ve Görevleri Hakkında Kanun: Madde</w:t>
      </w:r>
      <w:r>
        <w:rPr>
          <w:spacing w:val="-2"/>
        </w:rPr>
        <w:t> </w:t>
      </w:r>
      <w:r>
        <w:rPr/>
        <w:t>3/1).</w:t>
      </w:r>
    </w:p>
    <w:p>
      <w:pPr>
        <w:spacing w:line="275" w:lineRule="exact" w:before="0"/>
        <w:ind w:left="1896" w:right="0" w:firstLine="0"/>
        <w:jc w:val="left"/>
        <w:rPr>
          <w:i/>
          <w:sz w:val="24"/>
        </w:rPr>
      </w:pPr>
      <w:r>
        <w:rPr>
          <w:i/>
          <w:sz w:val="24"/>
        </w:rPr>
        <w:t>Afet ve Acil Durum Koordinasyon Kurulu</w:t>
      </w:r>
    </w:p>
    <w:p>
      <w:pPr>
        <w:pStyle w:val="BodyText"/>
        <w:spacing w:line="360" w:lineRule="auto" w:before="139"/>
        <w:ind w:left="1128" w:right="611" w:firstLine="708"/>
        <w:jc w:val="both"/>
      </w:pPr>
      <w:r>
        <w:rPr/>
        <w:t>AADKK; afet ve acil durumlarından önce hazırlık ve zarar azaltmayı, afet ve</w:t>
      </w:r>
      <w:r>
        <w:rPr>
          <w:spacing w:val="-38"/>
        </w:rPr>
        <w:t> </w:t>
      </w:r>
      <w:r>
        <w:rPr/>
        <w:t>acil durumunda müdahale, afet ve acil durum sonrasında iyileştirme faaliyetlerini değerlendirip, bunlarla ilgili alınabilecek tedbirleri belirlemek, bu tedbirlerin uygulanmasını sağlayıp ve denetlemek, kurumlar ve sivil toplum kuruluşları arasında koordinasyonu sağlamaktır (5902 sayılı Afet ve Acil Durum Yönetimi Başkanlığının Teşkilat ve Görevleri Hakkında Kanun: Madde</w:t>
      </w:r>
      <w:r>
        <w:rPr>
          <w:spacing w:val="-2"/>
        </w:rPr>
        <w:t> </w:t>
      </w:r>
      <w:r>
        <w:rPr/>
        <w:t>4/1).</w:t>
      </w:r>
    </w:p>
    <w:p>
      <w:pPr>
        <w:spacing w:line="274" w:lineRule="exact" w:before="0"/>
        <w:ind w:left="1836" w:right="0" w:firstLine="0"/>
        <w:jc w:val="left"/>
        <w:rPr>
          <w:i/>
          <w:sz w:val="24"/>
        </w:rPr>
      </w:pPr>
      <w:r>
        <w:rPr>
          <w:i/>
          <w:sz w:val="24"/>
        </w:rPr>
        <w:t>Deprem Danışma Kurulu</w:t>
      </w:r>
    </w:p>
    <w:p>
      <w:pPr>
        <w:pStyle w:val="BodyText"/>
        <w:spacing w:line="360" w:lineRule="auto" w:before="139"/>
        <w:ind w:left="1128" w:right="613" w:firstLine="708"/>
        <w:jc w:val="both"/>
      </w:pPr>
      <w:r>
        <w:rPr/>
        <w:t>Depremin oluşturduğu zararları azaltmak, depremden korunmayı sağlamak ve deprem sonrasındaki yapılabilecek çalışmalar için öneriler sunmak ve depremle alakalı araştırmalar yapmayı amaçlamaktadır (5902 sayılı Afet ve Acil Durum Yönetimi Başkanlığının Teşkilat ve Görevleri Hakkında Kanun: Madde 5/1).</w:t>
      </w:r>
    </w:p>
    <w:p>
      <w:pPr>
        <w:pStyle w:val="BodyText"/>
        <w:spacing w:before="11"/>
        <w:rPr>
          <w:sz w:val="35"/>
        </w:rPr>
      </w:pPr>
    </w:p>
    <w:p>
      <w:pPr>
        <w:spacing w:before="0"/>
        <w:ind w:left="1836" w:right="0" w:firstLine="0"/>
        <w:jc w:val="left"/>
        <w:rPr>
          <w:i/>
          <w:sz w:val="24"/>
        </w:rPr>
      </w:pPr>
      <w:r>
        <w:rPr>
          <w:i/>
          <w:sz w:val="24"/>
        </w:rPr>
        <w:t>Afet ve Acil Durum Yönetimi Başkanlığı</w:t>
      </w:r>
    </w:p>
    <w:p>
      <w:pPr>
        <w:pStyle w:val="BodyText"/>
        <w:spacing w:line="360" w:lineRule="auto" w:before="139"/>
        <w:ind w:left="1128" w:firstLine="708"/>
      </w:pPr>
      <w:r>
        <w:rPr/>
        <w:t>5902</w:t>
      </w:r>
      <w:r>
        <w:rPr>
          <w:spacing w:val="-14"/>
        </w:rPr>
        <w:t> </w:t>
      </w:r>
      <w:r>
        <w:rPr/>
        <w:t>sayılı</w:t>
      </w:r>
      <w:r>
        <w:rPr>
          <w:spacing w:val="-10"/>
        </w:rPr>
        <w:t> </w:t>
      </w:r>
      <w:r>
        <w:rPr/>
        <w:t>yasanını</w:t>
      </w:r>
      <w:r>
        <w:rPr>
          <w:spacing w:val="-12"/>
        </w:rPr>
        <w:t> </w:t>
      </w:r>
      <w:r>
        <w:rPr/>
        <w:t>6.</w:t>
      </w:r>
      <w:r>
        <w:rPr>
          <w:spacing w:val="-13"/>
        </w:rPr>
        <w:t> </w:t>
      </w:r>
      <w:r>
        <w:rPr/>
        <w:t>Maddesine</w:t>
      </w:r>
      <w:r>
        <w:rPr>
          <w:spacing w:val="-13"/>
        </w:rPr>
        <w:t> </w:t>
      </w:r>
      <w:r>
        <w:rPr/>
        <w:t>göre</w:t>
      </w:r>
      <w:r>
        <w:rPr>
          <w:spacing w:val="-15"/>
        </w:rPr>
        <w:t> </w:t>
      </w:r>
      <w:r>
        <w:rPr/>
        <w:t>AFAD</w:t>
      </w:r>
      <w:r>
        <w:rPr>
          <w:spacing w:val="-14"/>
        </w:rPr>
        <w:t> </w:t>
      </w:r>
      <w:r>
        <w:rPr/>
        <w:t>teşkilatlanmasının</w:t>
      </w:r>
      <w:r>
        <w:rPr>
          <w:spacing w:val="-13"/>
        </w:rPr>
        <w:t> </w:t>
      </w:r>
      <w:r>
        <w:rPr/>
        <w:t>hizmet</w:t>
      </w:r>
      <w:r>
        <w:rPr>
          <w:spacing w:val="-13"/>
        </w:rPr>
        <w:t> </w:t>
      </w:r>
      <w:r>
        <w:rPr/>
        <w:t>birimleri verilmiştir.</w:t>
      </w:r>
    </w:p>
    <w:p>
      <w:pPr>
        <w:pStyle w:val="BodyText"/>
        <w:spacing w:line="274" w:lineRule="exact"/>
        <w:ind w:left="1836"/>
      </w:pPr>
      <w:r>
        <w:rPr/>
        <w:t>Türkiye’nin AFAD teşkilat şeması Şekil 2. 2’de gösterilmiştir.</w:t>
      </w:r>
    </w:p>
    <w:p>
      <w:pPr>
        <w:spacing w:after="0" w:line="274" w:lineRule="exact"/>
        <w:sectPr>
          <w:pgSz w:w="11910" w:h="16840"/>
          <w:pgMar w:header="0" w:footer="976" w:top="1580" w:bottom="1240" w:left="1140" w:right="520"/>
        </w:sectPr>
      </w:pPr>
    </w:p>
    <w:p>
      <w:pPr>
        <w:pStyle w:val="Heading1"/>
        <w:spacing w:before="100"/>
        <w:ind w:left="3689"/>
      </w:pPr>
      <w:r>
        <w:rPr/>
        <w:t>Şekil 2. 2. AFAD Teşkilat Şeması</w:t>
      </w:r>
    </w:p>
    <w:p>
      <w:pPr>
        <w:pStyle w:val="BodyText"/>
        <w:spacing w:before="8"/>
        <w:rPr>
          <w:b/>
          <w:sz w:val="12"/>
        </w:rPr>
      </w:pPr>
      <w:r>
        <w:rPr/>
        <w:drawing>
          <wp:anchor distT="0" distB="0" distL="0" distR="0" allowOverlap="1" layoutInCell="1" locked="0" behindDoc="1" simplePos="0" relativeHeight="268434575">
            <wp:simplePos x="0" y="0"/>
            <wp:positionH relativeFrom="page">
              <wp:posOffset>1529729</wp:posOffset>
            </wp:positionH>
            <wp:positionV relativeFrom="paragraph">
              <wp:posOffset>117870</wp:posOffset>
            </wp:positionV>
            <wp:extent cx="5367269" cy="3168396"/>
            <wp:effectExtent l="0" t="0" r="0" b="0"/>
            <wp:wrapTopAndBottom/>
            <wp:docPr id="9" name="image7.jpeg" descr=""/>
            <wp:cNvGraphicFramePr>
              <a:graphicFrameLocks noChangeAspect="1"/>
            </wp:cNvGraphicFramePr>
            <a:graphic>
              <a:graphicData uri="http://schemas.openxmlformats.org/drawingml/2006/picture">
                <pic:pic>
                  <pic:nvPicPr>
                    <pic:cNvPr id="10" name="image7.jpeg"/>
                    <pic:cNvPicPr/>
                  </pic:nvPicPr>
                  <pic:blipFill>
                    <a:blip r:embed="rId20" cstate="print"/>
                    <a:stretch>
                      <a:fillRect/>
                    </a:stretch>
                  </pic:blipFill>
                  <pic:spPr>
                    <a:xfrm>
                      <a:off x="0" y="0"/>
                      <a:ext cx="5367269" cy="3168396"/>
                    </a:xfrm>
                    <a:prstGeom prst="rect">
                      <a:avLst/>
                    </a:prstGeom>
                  </pic:spPr>
                </pic:pic>
              </a:graphicData>
            </a:graphic>
          </wp:anchor>
        </w:drawing>
      </w:r>
    </w:p>
    <w:p>
      <w:pPr>
        <w:spacing w:before="140"/>
        <w:ind w:left="1128" w:right="0" w:firstLine="0"/>
        <w:jc w:val="left"/>
        <w:rPr>
          <w:sz w:val="20"/>
        </w:rPr>
      </w:pPr>
      <w:r>
        <w:rPr>
          <w:b/>
          <w:sz w:val="20"/>
        </w:rPr>
        <w:t>Kaynak: </w:t>
      </w:r>
      <w:hyperlink r:id="rId21">
        <w:r>
          <w:rPr>
            <w:sz w:val="20"/>
          </w:rPr>
          <w:t>https://www.afad.gov.tr/tr/2218/Teskilat-Semasi, </w:t>
        </w:r>
      </w:hyperlink>
      <w:r>
        <w:rPr>
          <w:sz w:val="20"/>
        </w:rPr>
        <w:t>2019</w:t>
      </w:r>
    </w:p>
    <w:p>
      <w:pPr>
        <w:pStyle w:val="BodyText"/>
        <w:spacing w:line="360" w:lineRule="auto" w:before="179"/>
        <w:ind w:left="1128" w:right="608" w:firstLine="708"/>
        <w:jc w:val="both"/>
      </w:pPr>
      <w:r>
        <w:rPr/>
        <w:t>AFAD</w:t>
      </w:r>
      <w:r>
        <w:rPr>
          <w:spacing w:val="-10"/>
        </w:rPr>
        <w:t> </w:t>
      </w:r>
      <w:r>
        <w:rPr/>
        <w:t>Başkan’ın</w:t>
      </w:r>
      <w:r>
        <w:rPr>
          <w:spacing w:val="-6"/>
        </w:rPr>
        <w:t> </w:t>
      </w:r>
      <w:r>
        <w:rPr/>
        <w:t>görevleri,</w:t>
      </w:r>
      <w:r>
        <w:rPr>
          <w:spacing w:val="-4"/>
        </w:rPr>
        <w:t> </w:t>
      </w:r>
      <w:r>
        <w:rPr/>
        <w:t>yapılacak</w:t>
      </w:r>
      <w:r>
        <w:rPr>
          <w:spacing w:val="-10"/>
        </w:rPr>
        <w:t> </w:t>
      </w:r>
      <w:r>
        <w:rPr/>
        <w:t>hizmeti</w:t>
      </w:r>
      <w:r>
        <w:rPr>
          <w:spacing w:val="-9"/>
        </w:rPr>
        <w:t> </w:t>
      </w:r>
      <w:r>
        <w:rPr/>
        <w:t>afet</w:t>
      </w:r>
      <w:r>
        <w:rPr>
          <w:spacing w:val="-5"/>
        </w:rPr>
        <w:t> </w:t>
      </w:r>
      <w:r>
        <w:rPr/>
        <w:t>yönetimi</w:t>
      </w:r>
      <w:r>
        <w:rPr>
          <w:spacing w:val="-9"/>
        </w:rPr>
        <w:t> </w:t>
      </w:r>
      <w:r>
        <w:rPr/>
        <w:t>kurallarına</w:t>
      </w:r>
      <w:r>
        <w:rPr>
          <w:spacing w:val="-10"/>
        </w:rPr>
        <w:t> </w:t>
      </w:r>
      <w:r>
        <w:rPr/>
        <w:t>uygun</w:t>
      </w:r>
      <w:r>
        <w:rPr>
          <w:spacing w:val="-10"/>
        </w:rPr>
        <w:t> </w:t>
      </w:r>
      <w:r>
        <w:rPr/>
        <w:t>bir şekilde yürütmek; AADKK’nın toplanması için kurul başkanına önerilerde bulunarak, afet esnasında müdahalede koordinasyonu sağlamak ve bunları üst makama bildirmek, sivil savunma müdürlüklerinin görev yerlerine ilişkin kuruluşların koordinasyonunu sağlamak, iç denetleyici atamak, resmi ve özel kuruluşlarla ilişkilerini sağlamak, halkla ilişkiler ve basın ile çalışmalarını planlayıp ve yürütmek, yıllık çalışmaların raporlarını ve eylem planlarını hazırlayıp ve Başbakan </w:t>
      </w:r>
      <w:r>
        <w:rPr>
          <w:spacing w:val="-3"/>
        </w:rPr>
        <w:t>ya </w:t>
      </w:r>
      <w:r>
        <w:rPr/>
        <w:t>da ilgili olduğu bakanlık kanalı ile verilmesi planlanan görevleri yerine getirmektir. Başkan, görevlerin sürdürülmesinde Başbakana karşı mesuldür (5902 sayılı Afet ve Acil Durum Yönetimi Başkanlığının Teşkilat ve Görevleri Hakkında Kanun: Madde</w:t>
      </w:r>
      <w:r>
        <w:rPr>
          <w:spacing w:val="-2"/>
        </w:rPr>
        <w:t> </w:t>
      </w:r>
      <w:r>
        <w:rPr/>
        <w:t>7/1).</w:t>
      </w:r>
    </w:p>
    <w:p>
      <w:pPr>
        <w:pStyle w:val="BodyText"/>
        <w:spacing w:line="360" w:lineRule="auto" w:before="1"/>
        <w:ind w:left="1128" w:right="609" w:firstLine="708"/>
        <w:jc w:val="both"/>
      </w:pPr>
      <w:r>
        <w:rPr/>
        <w:t>Planlama ve Zarar Azaltma Dairesi Başkanlığı’nın görevleri, Türkiye genelinde uygulanacak olan risk yönetimi, afet ve acil durum müdahale ve zarar azaltma planları yapmak ya da yaptırmak, olası afet bölgelerini tespit ederek önleyici tedbirler almak, zarara uğraması olası olan yerlerin plan, proje ve imar esaslarının belirlenmesi, ayni, maddi ve insani yardımların belirlenmesi, afet ve acil durumlarla ilgili halkı bilgilendirme, bilinçlendirme yapmak, ülkemizde ve diğer ülkelerde meydana gelen afet ve acil durum hakkında bilgi toplamak ve değerlendirmek (5902 sayılı Afet ve Acil Durum Yönetimi Başkanlığının Teşkilat ve Görevleri Hakkında Kanun: Madde 8/1).</w:t>
      </w:r>
    </w:p>
    <w:p>
      <w:pPr>
        <w:spacing w:after="0" w:line="360" w:lineRule="auto"/>
        <w:jc w:val="both"/>
        <w:sectPr>
          <w:pgSz w:w="11910" w:h="16840"/>
          <w:pgMar w:header="0" w:footer="976" w:top="1580" w:bottom="1240" w:left="1140" w:right="520"/>
        </w:sectPr>
      </w:pPr>
    </w:p>
    <w:p>
      <w:pPr>
        <w:pStyle w:val="BodyText"/>
        <w:spacing w:line="360" w:lineRule="auto" w:before="98"/>
        <w:ind w:left="1128" w:right="607" w:firstLine="708"/>
        <w:jc w:val="both"/>
      </w:pPr>
      <w:r>
        <w:rPr/>
        <w:t>Müdahale Dairesi Başkanlığı’nın görevleri, afet ve acil durumlar sırasında sivil toplum, kamu ve özel kuruluşlar ve yabancı kuruluşlarla ilgili olan tüm kaynakları değerlendirip afet ya da acil durumun etkilerini gidermek için müdahale faaliyetlerini yürütmek, Başbakanlık AADYM’yi yönetmek, illerde AADYM’nin açılmasını ve yönetilmesini sağlamak arama, kurtarma ve itfaiye hizmetlerinde düzenleme yapmak, koruyucu ve kurtarıcı çalışmaları planlamak ve yürütmek, afet ve acil durumla ilgili verilen görevleri yürütmektir (5902 sayılı Afet ve Acil Durum Yönetimi Başkanlığının Teşkilat ve Görevleri Hakkında Kanun: Madde 9/1).</w:t>
      </w:r>
    </w:p>
    <w:p>
      <w:pPr>
        <w:pStyle w:val="BodyText"/>
        <w:spacing w:line="360" w:lineRule="auto"/>
        <w:ind w:left="1128" w:right="610" w:firstLine="708"/>
        <w:jc w:val="both"/>
      </w:pPr>
      <w:r>
        <w:rPr/>
        <w:t>İyileştirme Dairesi Başkanlığı’nın görevleri, afet ve acil durum sonrasında yaşamın normale dönmesi için önlemler almak, afet ve acil durum gerektiren bölgelerde geçici yerleşim yerleri oluşturmak, afete maruz kalmış kişilere yiyecek, içecek, tedavi, sosyal ve psikolojik hizmetler vermek, afete maruz olan bölgelerin plan, proje işlemleri ve bu bölgedeki hukuki işlemlerin yürütülmesi için diğer kamu kurum kuruluşları ile koordineyi sağlamak, yapılan işlemleri kontrol etmek, diğer ülkelerden gelen yardımları kabul etmek ve gerektiğinden diğer ülkelere yardım etmek, afete maruz kalan bölgedeki üniversiteler, sivil toplum kuruluşları, mahalli idareler, kamu kurum ve kuruluşları ile iş birliği yaparak afet sonrasında yeniden planlama ve iyileştirme planları yapmak, hazırlanan planlar AADYK’nın onayına sunmak, onaylandıktan sonra planların uygulanmasını sağlamak, uygulanan planlarda ilerlemeye ilişkin raporları hazırlamak, başkan tarafından verilen görevleri uygulamak (5902 sayılı Afet ve Acil Durum Yönetimi Başkanlığının Teşkilat ve Görevleri Hakkında Kanun: Madde</w:t>
      </w:r>
      <w:r>
        <w:rPr>
          <w:spacing w:val="-7"/>
        </w:rPr>
        <w:t> </w:t>
      </w:r>
      <w:r>
        <w:rPr/>
        <w:t>10/1).</w:t>
      </w:r>
    </w:p>
    <w:p>
      <w:pPr>
        <w:pStyle w:val="BodyText"/>
        <w:spacing w:line="360" w:lineRule="auto"/>
        <w:ind w:left="1128" w:right="612" w:firstLine="708"/>
        <w:jc w:val="both"/>
      </w:pPr>
      <w:r>
        <w:rPr/>
        <w:t>Sivil Savunma Dairesi Başkanlığı, kamu kurumları ve özel kuruluşlarla sivil savunma hizmetlerinde planlama yapmak, uygulamak ve denetlemek, ilk yardım ve acil kurtarma çalışmalarını planlama ve yürütme, seferberlik ve savaş zamanında ihtiyaç duyulacak sivil kaynakları belirleme, sivil savunma çalışmalarının halk tarafından desteklenmesini, halkın motivasyonunu yüksek tutmaya çalışmak, kimyasal, biyolojik, radyolojik ve nükleer tehlikelere karşı alınacak tedbirleri ve yapılacak çalışmaları belirleyip kurumlar arası koordinasyonu sağlamak (5902 sayılı Afet ve Acil Durum Yönetimi Başkanlığının Teşkilat ve Görevleri Hakkında Kanun: Madde</w:t>
      </w:r>
      <w:r>
        <w:rPr>
          <w:spacing w:val="-7"/>
        </w:rPr>
        <w:t> </w:t>
      </w:r>
      <w:r>
        <w:rPr/>
        <w:t>11/1).</w:t>
      </w:r>
    </w:p>
    <w:p>
      <w:pPr>
        <w:pStyle w:val="BodyText"/>
        <w:spacing w:line="360" w:lineRule="auto" w:before="1"/>
        <w:ind w:left="1128" w:right="612" w:firstLine="708"/>
        <w:jc w:val="both"/>
      </w:pPr>
      <w:r>
        <w:rPr/>
        <w:t>Deprem Daire Başkanlığı, depreme yönelik hazırlık, deprem risk yönetimi, müdahale,</w:t>
      </w:r>
      <w:r>
        <w:rPr>
          <w:spacing w:val="-12"/>
        </w:rPr>
        <w:t> </w:t>
      </w:r>
      <w:r>
        <w:rPr/>
        <w:t>depremden</w:t>
      </w:r>
      <w:r>
        <w:rPr>
          <w:spacing w:val="-12"/>
        </w:rPr>
        <w:t> </w:t>
      </w:r>
      <w:r>
        <w:rPr/>
        <w:t>dolayı</w:t>
      </w:r>
      <w:r>
        <w:rPr>
          <w:spacing w:val="-12"/>
        </w:rPr>
        <w:t> </w:t>
      </w:r>
      <w:r>
        <w:rPr/>
        <w:t>zarara</w:t>
      </w:r>
      <w:r>
        <w:rPr>
          <w:spacing w:val="-12"/>
        </w:rPr>
        <w:t> </w:t>
      </w:r>
      <w:r>
        <w:rPr/>
        <w:t>uğramış</w:t>
      </w:r>
      <w:r>
        <w:rPr>
          <w:spacing w:val="-8"/>
        </w:rPr>
        <w:t> </w:t>
      </w:r>
      <w:r>
        <w:rPr/>
        <w:t>yerler</w:t>
      </w:r>
      <w:r>
        <w:rPr>
          <w:spacing w:val="-11"/>
        </w:rPr>
        <w:t> </w:t>
      </w:r>
      <w:r>
        <w:rPr/>
        <w:t>ile</w:t>
      </w:r>
      <w:r>
        <w:rPr>
          <w:spacing w:val="-13"/>
        </w:rPr>
        <w:t> </w:t>
      </w:r>
      <w:r>
        <w:rPr/>
        <w:t>zarara</w:t>
      </w:r>
      <w:r>
        <w:rPr>
          <w:spacing w:val="-14"/>
        </w:rPr>
        <w:t> </w:t>
      </w:r>
      <w:r>
        <w:rPr/>
        <w:t>uğraması</w:t>
      </w:r>
      <w:r>
        <w:rPr>
          <w:spacing w:val="-12"/>
        </w:rPr>
        <w:t> </w:t>
      </w:r>
      <w:r>
        <w:rPr/>
        <w:t>olası</w:t>
      </w:r>
      <w:r>
        <w:rPr>
          <w:spacing w:val="-12"/>
        </w:rPr>
        <w:t> </w:t>
      </w:r>
      <w:r>
        <w:rPr/>
        <w:t>yerlerin</w:t>
      </w:r>
      <w:r>
        <w:rPr>
          <w:spacing w:val="-12"/>
        </w:rPr>
        <w:t> </w:t>
      </w:r>
      <w:r>
        <w:rPr/>
        <w:t>plan, proje ve imar işlemlerini yürütmek, hazırlık, müdahale ve</w:t>
      </w:r>
      <w:r>
        <w:rPr>
          <w:spacing w:val="3"/>
        </w:rPr>
        <w:t> </w:t>
      </w:r>
      <w:r>
        <w:rPr/>
        <w:t>iyileştirme evrelerinde</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jc w:val="both"/>
      </w:pPr>
      <w:r>
        <w:rPr/>
        <w:t>kullanılabilecek kamu, sivil ve özel kuruluşları ve yabancı kuruluşlara ait bütün kaynakların tespiti ve etkin kullanımı, depremlerle ilgili halkı bilgilendirmek, takip etmek, değerlendirmek ve depremle alakalı hizmetlerin sürdürülmesinde başkanlığın diğer</w:t>
      </w:r>
      <w:r>
        <w:rPr>
          <w:spacing w:val="-8"/>
        </w:rPr>
        <w:t> </w:t>
      </w:r>
      <w:r>
        <w:rPr/>
        <w:t>birimlerle</w:t>
      </w:r>
      <w:r>
        <w:rPr>
          <w:spacing w:val="-6"/>
        </w:rPr>
        <w:t> </w:t>
      </w:r>
      <w:r>
        <w:rPr/>
        <w:t>arasında</w:t>
      </w:r>
      <w:r>
        <w:rPr>
          <w:spacing w:val="-4"/>
        </w:rPr>
        <w:t> </w:t>
      </w:r>
      <w:r>
        <w:rPr/>
        <w:t>danışmanlık</w:t>
      </w:r>
      <w:r>
        <w:rPr>
          <w:spacing w:val="-7"/>
        </w:rPr>
        <w:t> </w:t>
      </w:r>
      <w:r>
        <w:rPr/>
        <w:t>yapmak,</w:t>
      </w:r>
      <w:r>
        <w:rPr>
          <w:spacing w:val="-8"/>
        </w:rPr>
        <w:t> </w:t>
      </w:r>
      <w:r>
        <w:rPr/>
        <w:t>başkan</w:t>
      </w:r>
      <w:r>
        <w:rPr>
          <w:spacing w:val="-8"/>
        </w:rPr>
        <w:t> </w:t>
      </w:r>
      <w:r>
        <w:rPr/>
        <w:t>tarafından</w:t>
      </w:r>
      <w:r>
        <w:rPr>
          <w:spacing w:val="-8"/>
        </w:rPr>
        <w:t> </w:t>
      </w:r>
      <w:r>
        <w:rPr/>
        <w:t>verilen</w:t>
      </w:r>
      <w:r>
        <w:rPr>
          <w:spacing w:val="-6"/>
        </w:rPr>
        <w:t> </w:t>
      </w:r>
      <w:r>
        <w:rPr/>
        <w:t>görevleri</w:t>
      </w:r>
      <w:r>
        <w:rPr>
          <w:spacing w:val="-4"/>
        </w:rPr>
        <w:t> </w:t>
      </w:r>
      <w:r>
        <w:rPr/>
        <w:t>yerine getirmek (5902 sayılı Afet ve Acil Durum Yönetimi Başkanlığının Teşkilat ve Görevleri Hakkında Kanun: Madde 12/1).</w:t>
      </w:r>
    </w:p>
    <w:p>
      <w:pPr>
        <w:pStyle w:val="BodyText"/>
        <w:spacing w:line="360" w:lineRule="auto"/>
        <w:ind w:left="1128" w:right="612" w:firstLine="708"/>
        <w:jc w:val="both"/>
      </w:pPr>
      <w:r>
        <w:rPr/>
        <w:t>Yönetim Hizmetleri Dairesi Başkanlığı, ulusal düzeyde lojistik hizmeti yapmak, Başkanlığın idari ve mali işlemlerini yürütmek, insan kaynakları performans ölçütleri ve politikasını tespit etmek, personelin özlük işlemlerini ve eğitim çalışmalarını yürütmek, acil durum ve afet yönetimiyle ilgili yayın ve bilimsel çalışmaları toplamak, sınıflandırmak, kütüphane hizmetleri vermek ve bu konuyla ilgili süresiz ya da süreli yayınlar çıkarmaktır (5902 sayılı Afet ve Acil Durum Yönetimi Başkanlığının Teşkilat ve Görevleri Hakkında Kanun: Madde 13/1).</w:t>
      </w:r>
    </w:p>
    <w:p>
      <w:pPr>
        <w:pStyle w:val="BodyText"/>
        <w:spacing w:before="5"/>
        <w:rPr>
          <w:sz w:val="36"/>
        </w:rPr>
      </w:pPr>
    </w:p>
    <w:p>
      <w:pPr>
        <w:pStyle w:val="Heading1"/>
        <w:numPr>
          <w:ilvl w:val="3"/>
          <w:numId w:val="9"/>
        </w:numPr>
        <w:tabs>
          <w:tab w:pos="2617" w:val="left" w:leader="none"/>
        </w:tabs>
        <w:spacing w:line="240" w:lineRule="auto" w:before="1" w:after="0"/>
        <w:ind w:left="2616" w:right="0" w:hanging="780"/>
        <w:jc w:val="left"/>
      </w:pPr>
      <w:bookmarkStart w:name="_bookmark26" w:id="64"/>
      <w:bookmarkEnd w:id="64"/>
      <w:r>
        <w:rPr>
          <w:b w:val="0"/>
        </w:rPr>
      </w:r>
      <w:bookmarkStart w:name="_bookmark26" w:id="65"/>
      <w:bookmarkEnd w:id="65"/>
      <w:r>
        <w:rPr/>
        <w:t>Ta</w:t>
      </w:r>
      <w:r>
        <w:rPr/>
        <w:t>şra</w:t>
      </w:r>
      <w:r>
        <w:rPr>
          <w:spacing w:val="-1"/>
        </w:rPr>
        <w:t> </w:t>
      </w:r>
      <w:r>
        <w:rPr/>
        <w:t>Örgütlenmesi</w:t>
      </w:r>
    </w:p>
    <w:p>
      <w:pPr>
        <w:pStyle w:val="BodyText"/>
        <w:spacing w:line="360" w:lineRule="auto" w:before="132"/>
        <w:ind w:left="1128" w:right="611" w:firstLine="708"/>
        <w:jc w:val="both"/>
      </w:pPr>
      <w:r>
        <w:rPr/>
        <w:t>AFAD’ın taşra örgütlenmesini İl Afet ve Acil Durum Müdürlükleri ile Sivil Savunma Arama ve Kurtarma Birlik Müdürlükleri’nden meydana gelmektedir (Aktel, 2010: 177).</w:t>
      </w:r>
    </w:p>
    <w:p>
      <w:pPr>
        <w:pStyle w:val="BodyText"/>
        <w:spacing w:before="5"/>
        <w:rPr>
          <w:sz w:val="36"/>
        </w:rPr>
      </w:pPr>
    </w:p>
    <w:p>
      <w:pPr>
        <w:pStyle w:val="Heading1"/>
        <w:numPr>
          <w:ilvl w:val="4"/>
          <w:numId w:val="9"/>
        </w:numPr>
        <w:tabs>
          <w:tab w:pos="2797" w:val="left" w:leader="none"/>
        </w:tabs>
        <w:spacing w:line="240" w:lineRule="auto" w:before="0" w:after="0"/>
        <w:ind w:left="2797" w:right="0" w:hanging="961"/>
        <w:jc w:val="left"/>
      </w:pPr>
      <w:bookmarkStart w:name="_bookmark27" w:id="66"/>
      <w:bookmarkEnd w:id="66"/>
      <w:r>
        <w:rPr>
          <w:b w:val="0"/>
        </w:rPr>
      </w:r>
      <w:bookmarkStart w:name="_bookmark27" w:id="67"/>
      <w:bookmarkEnd w:id="67"/>
      <w:r>
        <w:rPr/>
        <w:t>İl</w:t>
      </w:r>
      <w:r>
        <w:rPr/>
        <w:t> Afet ve Acil Durum</w:t>
      </w:r>
      <w:r>
        <w:rPr>
          <w:spacing w:val="-2"/>
        </w:rPr>
        <w:t> </w:t>
      </w:r>
      <w:r>
        <w:rPr/>
        <w:t>Müdürlükleri</w:t>
      </w:r>
    </w:p>
    <w:p>
      <w:pPr>
        <w:pStyle w:val="BodyText"/>
        <w:spacing w:line="360" w:lineRule="auto" w:before="132"/>
        <w:ind w:left="1128" w:right="610" w:firstLine="708"/>
        <w:jc w:val="both"/>
      </w:pPr>
      <w:r>
        <w:rPr/>
        <w:t>İl düzeyinde bütünleşik afet ve acil durum yönetimiyle ilgili bütün unsurları</w:t>
      </w:r>
      <w:r>
        <w:rPr>
          <w:spacing w:val="-35"/>
        </w:rPr>
        <w:t> </w:t>
      </w:r>
      <w:r>
        <w:rPr/>
        <w:t>içine alacak biçimde, Başkanlığın taşra teşkilatı valiye bağlı olarak il afet ve acil durum müdürlükleri kurulmuştur. İldeki afet ve acil durum faaliyetlerin yönetiminde birincil derecede vali sorumludur. Başkanın teklifiyle Başbakan </w:t>
      </w:r>
      <w:r>
        <w:rPr>
          <w:spacing w:val="-3"/>
        </w:rPr>
        <w:t>ya </w:t>
      </w:r>
      <w:r>
        <w:rPr/>
        <w:t>da Başbakan yardımcısı tarafından il afet ve acil durum müdürü atanmaktadır. Diğer personeller ise müdürlüğün norm kadroları ile vali tarafından atanmaktadır.</w:t>
      </w:r>
    </w:p>
    <w:p>
      <w:pPr>
        <w:pStyle w:val="BodyText"/>
        <w:spacing w:line="360" w:lineRule="auto" w:before="1"/>
        <w:ind w:left="1128" w:right="612" w:firstLine="708"/>
        <w:jc w:val="both"/>
      </w:pPr>
      <w:r>
        <w:rPr>
          <w:b/>
          <w:i/>
        </w:rPr>
        <w:t>İl afet ve acil durum müdürlüklerinin görevleri; </w:t>
      </w:r>
      <w:r>
        <w:rPr/>
        <w:t>İlin afet ve acil durum risk ve tehlikelerini belirleme, afet ve acil durum için hazırlık yapma, müdahale, iyileştirme il planlarını yapma, kamu kurum ve kuruluşlarla koordinasyonu sağlamak, afet ve acil durumlarda oluşan kayıp ve hasarı tespit etmek, afet ve acil durumla ilgili eğitim çalışmaları yapmak, afet ve acil durumlarda, toplumun yiyecek, içecek, barınma ve beslenme ihtiyaçları ile arama kurtarmada kullanılacak malzemeler için depolar kurmak</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jc w:val="both"/>
      </w:pPr>
      <w:r>
        <w:rPr/>
        <w:t>ve denetlemek, bu mevzuatta savaş ve seferberlik hazırlıklarına ilişkin görevleri ilde yerine getirmek, Başkanlığın belirlediği yöntemler çevresinde hazırlık, risk azaltma, müdahale ve iyileştirme çalışmalarını diğer kuruluşlarla birlikte yapmak, biyolojik, radyolojik, kimyasal vb. diğer teknolojik maddelerin tespit, teşhis ve arındırmayla ilgili hizmetleri</w:t>
      </w:r>
      <w:r>
        <w:rPr>
          <w:spacing w:val="-3"/>
        </w:rPr>
        <w:t> </w:t>
      </w:r>
      <w:r>
        <w:rPr/>
        <w:t>yürütmek,</w:t>
      </w:r>
      <w:r>
        <w:rPr>
          <w:spacing w:val="-5"/>
        </w:rPr>
        <w:t> </w:t>
      </w:r>
      <w:r>
        <w:rPr/>
        <w:t>ilgili</w:t>
      </w:r>
      <w:r>
        <w:rPr>
          <w:spacing w:val="-4"/>
        </w:rPr>
        <w:t> </w:t>
      </w:r>
      <w:r>
        <w:rPr/>
        <w:t>olduğu</w:t>
      </w:r>
      <w:r>
        <w:rPr>
          <w:spacing w:val="-5"/>
        </w:rPr>
        <w:t> </w:t>
      </w:r>
      <w:r>
        <w:rPr/>
        <w:t>kurum</w:t>
      </w:r>
      <w:r>
        <w:rPr>
          <w:spacing w:val="-5"/>
        </w:rPr>
        <w:t> </w:t>
      </w:r>
      <w:r>
        <w:rPr/>
        <w:t>ve</w:t>
      </w:r>
      <w:r>
        <w:rPr>
          <w:spacing w:val="-6"/>
        </w:rPr>
        <w:t> </w:t>
      </w:r>
      <w:r>
        <w:rPr/>
        <w:t>kuruluşlarla</w:t>
      </w:r>
      <w:r>
        <w:rPr>
          <w:spacing w:val="-5"/>
        </w:rPr>
        <w:t> </w:t>
      </w:r>
      <w:r>
        <w:rPr/>
        <w:t>iş</w:t>
      </w:r>
      <w:r>
        <w:rPr>
          <w:spacing w:val="-4"/>
        </w:rPr>
        <w:t> </w:t>
      </w:r>
      <w:r>
        <w:rPr/>
        <w:t>birliği yapmaktır</w:t>
      </w:r>
      <w:r>
        <w:rPr>
          <w:spacing w:val="-4"/>
        </w:rPr>
        <w:t> </w:t>
      </w:r>
      <w:r>
        <w:rPr/>
        <w:t>(5902</w:t>
      </w:r>
      <w:r>
        <w:rPr>
          <w:spacing w:val="-6"/>
        </w:rPr>
        <w:t> </w:t>
      </w:r>
      <w:r>
        <w:rPr/>
        <w:t>sayılı Afet ve Acil Durum Yönetimi Başkanlığının Teşkilat ve Görevleri Hakkında Kanun: Madde</w:t>
      </w:r>
      <w:r>
        <w:rPr>
          <w:spacing w:val="-2"/>
        </w:rPr>
        <w:t> </w:t>
      </w:r>
      <w:r>
        <w:rPr/>
        <w:t>18/1-2).</w:t>
      </w:r>
    </w:p>
    <w:p>
      <w:pPr>
        <w:pStyle w:val="BodyText"/>
        <w:spacing w:before="5"/>
        <w:rPr>
          <w:sz w:val="36"/>
        </w:rPr>
      </w:pPr>
    </w:p>
    <w:p>
      <w:pPr>
        <w:pStyle w:val="Heading1"/>
        <w:numPr>
          <w:ilvl w:val="4"/>
          <w:numId w:val="9"/>
        </w:numPr>
        <w:tabs>
          <w:tab w:pos="2797" w:val="left" w:leader="none"/>
        </w:tabs>
        <w:spacing w:line="240" w:lineRule="auto" w:before="0" w:after="0"/>
        <w:ind w:left="2797" w:right="0" w:hanging="961"/>
        <w:jc w:val="left"/>
      </w:pPr>
      <w:bookmarkStart w:name="_bookmark28" w:id="68"/>
      <w:bookmarkEnd w:id="68"/>
      <w:r>
        <w:rPr>
          <w:b w:val="0"/>
        </w:rPr>
      </w:r>
      <w:bookmarkStart w:name="_bookmark28" w:id="69"/>
      <w:bookmarkEnd w:id="69"/>
      <w:r>
        <w:rPr/>
        <w:t>A</w:t>
      </w:r>
      <w:r>
        <w:rPr/>
        <w:t>fet ve Acil Durum Arama ve Kurtarma Birlik</w:t>
      </w:r>
      <w:r>
        <w:rPr>
          <w:spacing w:val="-9"/>
        </w:rPr>
        <w:t> </w:t>
      </w:r>
      <w:r>
        <w:rPr/>
        <w:t>Müdürlükleri</w:t>
      </w:r>
    </w:p>
    <w:p>
      <w:pPr>
        <w:pStyle w:val="BodyText"/>
        <w:spacing w:line="360" w:lineRule="auto" w:before="132"/>
        <w:ind w:left="1128" w:right="612" w:firstLine="708"/>
        <w:jc w:val="both"/>
      </w:pPr>
      <w:r>
        <w:rPr/>
        <w:t>Başkanlığa bağlı olarak belirlenen illerde afet ve acil durum arama ve kurtarma birlikleri il afet ve acil durum müdürlüğünce kurulabilmektedir. Bu birlikler, il afete acil durum arama ve kurtarma müdürlüğünün emrince görev yapmaktadır. Bu biçimde kurulan müdürlük sayıca yirmiyi geçemez (5902 sayılı Afet ve Acil Durum Yönetimi Başkanlığının Teşkilat ve Görevleri Hakkında Kanun: Madde 19/1).</w:t>
      </w:r>
    </w:p>
    <w:p>
      <w:pPr>
        <w:pStyle w:val="BodyText"/>
        <w:spacing w:before="5"/>
        <w:rPr>
          <w:sz w:val="36"/>
        </w:rPr>
      </w:pPr>
    </w:p>
    <w:p>
      <w:pPr>
        <w:pStyle w:val="Heading1"/>
        <w:numPr>
          <w:ilvl w:val="1"/>
          <w:numId w:val="10"/>
        </w:numPr>
        <w:tabs>
          <w:tab w:pos="2257" w:val="left" w:leader="none"/>
        </w:tabs>
        <w:spacing w:line="240" w:lineRule="auto" w:before="0" w:after="0"/>
        <w:ind w:left="2256" w:right="0" w:hanging="420"/>
        <w:jc w:val="left"/>
      </w:pPr>
      <w:bookmarkStart w:name="_bookmark29" w:id="70"/>
      <w:bookmarkEnd w:id="70"/>
      <w:r>
        <w:rPr>
          <w:b w:val="0"/>
        </w:rPr>
      </w:r>
      <w:bookmarkStart w:name="_bookmark29" w:id="71"/>
      <w:bookmarkEnd w:id="71"/>
      <w:r>
        <w:rPr/>
        <w:t>Ba</w:t>
      </w:r>
      <w:r>
        <w:rPr/>
        <w:t>zı Ülkelerdeki Afet Yönetim</w:t>
      </w:r>
      <w:r>
        <w:rPr>
          <w:spacing w:val="-4"/>
        </w:rPr>
        <w:t> </w:t>
      </w:r>
      <w:r>
        <w:rPr/>
        <w:t>Sistemleri</w:t>
      </w:r>
    </w:p>
    <w:p>
      <w:pPr>
        <w:pStyle w:val="BodyText"/>
        <w:spacing w:before="135"/>
        <w:ind w:left="1836"/>
      </w:pPr>
      <w:r>
        <w:rPr/>
        <w:t>Bu bölümde diğer ülkelerin afet yönetim sistemleri yer almaktadır.</w:t>
      </w:r>
    </w:p>
    <w:p>
      <w:pPr>
        <w:pStyle w:val="BodyText"/>
        <w:rPr>
          <w:sz w:val="26"/>
        </w:rPr>
      </w:pPr>
    </w:p>
    <w:p>
      <w:pPr>
        <w:pStyle w:val="BodyText"/>
        <w:spacing w:before="2"/>
        <w:rPr>
          <w:sz w:val="22"/>
        </w:rPr>
      </w:pPr>
    </w:p>
    <w:p>
      <w:pPr>
        <w:pStyle w:val="Heading1"/>
        <w:numPr>
          <w:ilvl w:val="2"/>
          <w:numId w:val="10"/>
        </w:numPr>
        <w:tabs>
          <w:tab w:pos="2437" w:val="left" w:leader="none"/>
        </w:tabs>
        <w:spacing w:line="240" w:lineRule="auto" w:before="1" w:after="0"/>
        <w:ind w:left="2436" w:right="0" w:hanging="600"/>
        <w:jc w:val="left"/>
      </w:pPr>
      <w:bookmarkStart w:name="_bookmark30" w:id="72"/>
      <w:bookmarkEnd w:id="72"/>
      <w:r>
        <w:rPr>
          <w:b w:val="0"/>
        </w:rPr>
      </w:r>
      <w:bookmarkStart w:name="_bookmark30" w:id="73"/>
      <w:bookmarkEnd w:id="73"/>
      <w:r>
        <w:rPr/>
        <w:t>A</w:t>
      </w:r>
      <w:r>
        <w:rPr/>
        <w:t>merika Birleşik Devletleri</w:t>
      </w:r>
    </w:p>
    <w:p>
      <w:pPr>
        <w:pStyle w:val="BodyText"/>
        <w:spacing w:line="360" w:lineRule="auto" w:before="134"/>
        <w:ind w:left="1128" w:right="608" w:firstLine="708"/>
        <w:jc w:val="both"/>
      </w:pPr>
      <w:r>
        <w:rPr/>
        <w:t>ABD’ler, afet yönetimi sistemi (IEMS) olarak bütünleşik afet yönetimi sistemini kullanmaktadır. Farklı acil durumlar için diğerlerinden ayrı planlar yaparak işlevsel bir yaklaşım kullanılmaktadır. IEMS, her afetin ortak bir noktası bulunmaktadır. Örnek olarak,</w:t>
      </w:r>
      <w:r>
        <w:rPr>
          <w:spacing w:val="-12"/>
        </w:rPr>
        <w:t> </w:t>
      </w:r>
      <w:r>
        <w:rPr/>
        <w:t>deprem</w:t>
      </w:r>
      <w:r>
        <w:rPr>
          <w:spacing w:val="-8"/>
        </w:rPr>
        <w:t> </w:t>
      </w:r>
      <w:r>
        <w:rPr/>
        <w:t>ve</w:t>
      </w:r>
      <w:r>
        <w:rPr>
          <w:spacing w:val="-12"/>
        </w:rPr>
        <w:t> </w:t>
      </w:r>
      <w:r>
        <w:rPr/>
        <w:t>kasırgadan</w:t>
      </w:r>
      <w:r>
        <w:rPr>
          <w:spacing w:val="-12"/>
        </w:rPr>
        <w:t> </w:t>
      </w:r>
      <w:r>
        <w:rPr/>
        <w:t>etkilenen</w:t>
      </w:r>
      <w:r>
        <w:rPr>
          <w:spacing w:val="-9"/>
        </w:rPr>
        <w:t> </w:t>
      </w:r>
      <w:r>
        <w:rPr/>
        <w:t>insanların</w:t>
      </w:r>
      <w:r>
        <w:rPr>
          <w:spacing w:val="-9"/>
        </w:rPr>
        <w:t> </w:t>
      </w:r>
      <w:r>
        <w:rPr/>
        <w:t>barınma,</w:t>
      </w:r>
      <w:r>
        <w:rPr>
          <w:spacing w:val="-12"/>
        </w:rPr>
        <w:t> </w:t>
      </w:r>
      <w:r>
        <w:rPr/>
        <w:t>beslenme</w:t>
      </w:r>
      <w:r>
        <w:rPr>
          <w:spacing w:val="-12"/>
        </w:rPr>
        <w:t> </w:t>
      </w:r>
      <w:r>
        <w:rPr/>
        <w:t>vb.</w:t>
      </w:r>
      <w:r>
        <w:rPr>
          <w:spacing w:val="-9"/>
        </w:rPr>
        <w:t> </w:t>
      </w:r>
      <w:r>
        <w:rPr/>
        <w:t>ortak</w:t>
      </w:r>
      <w:r>
        <w:rPr>
          <w:spacing w:val="-12"/>
        </w:rPr>
        <w:t> </w:t>
      </w:r>
      <w:r>
        <w:rPr/>
        <w:t>ihtiyaçları bulunur (Şengezer, 2002: 42).</w:t>
      </w:r>
    </w:p>
    <w:p>
      <w:pPr>
        <w:pStyle w:val="BodyText"/>
        <w:spacing w:line="360" w:lineRule="auto"/>
        <w:ind w:left="1128" w:right="611" w:firstLine="708"/>
        <w:jc w:val="both"/>
      </w:pPr>
      <w:r>
        <w:rPr/>
        <w:t>ABD’lerin afet yönetim sisteminde dikey ve yatay ilişkilerini organize edip bağlantı kuracak kurum FEMA’dır. FEMA’nın açılımı Federal Emergency Management Agency’dir. FEMA ulusal düzeylerde afetleri yönetip, çalışmaları yapıp, Başkana rapor hazırlayıp</w:t>
      </w:r>
      <w:r>
        <w:rPr>
          <w:spacing w:val="-8"/>
        </w:rPr>
        <w:t> </w:t>
      </w:r>
      <w:r>
        <w:rPr/>
        <w:t>veren</w:t>
      </w:r>
      <w:r>
        <w:rPr>
          <w:spacing w:val="-5"/>
        </w:rPr>
        <w:t> </w:t>
      </w:r>
      <w:r>
        <w:rPr/>
        <w:t>bağımsız</w:t>
      </w:r>
      <w:r>
        <w:rPr>
          <w:spacing w:val="-7"/>
        </w:rPr>
        <w:t> </w:t>
      </w:r>
      <w:r>
        <w:rPr/>
        <w:t>bir</w:t>
      </w:r>
      <w:r>
        <w:rPr>
          <w:spacing w:val="-9"/>
        </w:rPr>
        <w:t> </w:t>
      </w:r>
      <w:r>
        <w:rPr/>
        <w:t>kuruluştur.</w:t>
      </w:r>
      <w:r>
        <w:rPr>
          <w:spacing w:val="-7"/>
        </w:rPr>
        <w:t> </w:t>
      </w:r>
      <w:r>
        <w:rPr/>
        <w:t>Eyalet</w:t>
      </w:r>
      <w:r>
        <w:rPr>
          <w:spacing w:val="-7"/>
        </w:rPr>
        <w:t> </w:t>
      </w:r>
      <w:r>
        <w:rPr/>
        <w:t>düzeyindeyse</w:t>
      </w:r>
      <w:r>
        <w:rPr>
          <w:spacing w:val="-7"/>
        </w:rPr>
        <w:t> </w:t>
      </w:r>
      <w:r>
        <w:rPr/>
        <w:t>FEMA</w:t>
      </w:r>
      <w:r>
        <w:rPr>
          <w:spacing w:val="-8"/>
        </w:rPr>
        <w:t> </w:t>
      </w:r>
      <w:r>
        <w:rPr/>
        <w:t>ile</w:t>
      </w:r>
      <w:r>
        <w:rPr>
          <w:spacing w:val="-7"/>
        </w:rPr>
        <w:t> </w:t>
      </w:r>
      <w:r>
        <w:rPr/>
        <w:t>diğer</w:t>
      </w:r>
      <w:r>
        <w:rPr>
          <w:spacing w:val="-8"/>
        </w:rPr>
        <w:t> </w:t>
      </w:r>
      <w:r>
        <w:rPr/>
        <w:t>kuruluşlar afetlerde oluşan etkileri azaltma tedbiri uygulanmaktadır (</w:t>
      </w:r>
      <w:hyperlink r:id="rId22">
        <w:r>
          <w:rPr>
            <w:u w:val="single"/>
          </w:rPr>
          <w:t>http://turkafet.org/tr</w:t>
        </w:r>
      </w:hyperlink>
      <w:r>
        <w:rPr/>
        <w:t>,</w:t>
      </w:r>
      <w:r>
        <w:rPr>
          <w:spacing w:val="-7"/>
        </w:rPr>
        <w:t> </w:t>
      </w:r>
      <w:r>
        <w:rPr/>
        <w:t>2018).</w:t>
      </w:r>
    </w:p>
    <w:p>
      <w:pPr>
        <w:pStyle w:val="BodyText"/>
        <w:spacing w:line="360" w:lineRule="auto" w:before="1"/>
        <w:ind w:left="1128" w:right="616" w:firstLine="708"/>
        <w:jc w:val="both"/>
      </w:pPr>
      <w:r>
        <w:rPr/>
        <w:t>FEMA; afetlere müdahaleyi planlama, afetlerden kurtulma ve zararlarını azaltmakta görevli olup, doğrudan Amerika Devlet Başkanına rapor veren bağımsız bir kuruluştur. ABD Başkanına bağlı olan FEMA tüm yerel birimlerle işbirliği</w:t>
      </w:r>
      <w:r>
        <w:rPr>
          <w:spacing w:val="51"/>
        </w:rPr>
        <w:t> </w:t>
      </w:r>
      <w:r>
        <w:rPr/>
        <w:t>yaparak</w:t>
      </w:r>
    </w:p>
    <w:p>
      <w:pPr>
        <w:spacing w:after="0" w:line="360" w:lineRule="auto"/>
        <w:jc w:val="both"/>
        <w:sectPr>
          <w:pgSz w:w="11910" w:h="16840"/>
          <w:pgMar w:header="0" w:footer="976" w:top="1580" w:bottom="1240" w:left="1140" w:right="520"/>
        </w:sectPr>
      </w:pPr>
    </w:p>
    <w:p>
      <w:pPr>
        <w:pStyle w:val="BodyText"/>
        <w:spacing w:line="360" w:lineRule="auto" w:before="98"/>
        <w:ind w:left="1128" w:right="612"/>
        <w:jc w:val="both"/>
      </w:pPr>
      <w:r>
        <w:rPr/>
        <w:t>koordinasyon sağlar. Merkezi Washington’da bulunan çok iyi donanıma sahip, uzmanların yönetiminde çalışan FEMA, herhangi bir afet gerçekleşmeden önce yardım teşkilatları kurarak, programlar hazırlamaktadır. FEMA, bütün yerel yönetimlerle iş birliği içerisinde çalışır ve her belediyeye bağlı muhtemel afet durumuna karşı ekip oluşturmaktadır (Kubalı, 2000’den aktaran; Akdağ, 2002: 14).</w:t>
      </w:r>
    </w:p>
    <w:p>
      <w:pPr>
        <w:pStyle w:val="BodyText"/>
        <w:spacing w:line="360" w:lineRule="auto"/>
        <w:ind w:left="1128" w:right="610" w:firstLine="708"/>
        <w:jc w:val="both"/>
      </w:pPr>
      <w:r>
        <w:rPr/>
        <w:t>FEMA’nın</w:t>
      </w:r>
      <w:r>
        <w:rPr>
          <w:spacing w:val="-14"/>
        </w:rPr>
        <w:t> </w:t>
      </w:r>
      <w:r>
        <w:rPr/>
        <w:t>amacı</w:t>
      </w:r>
      <w:r>
        <w:rPr>
          <w:spacing w:val="-13"/>
        </w:rPr>
        <w:t> </w:t>
      </w:r>
      <w:r>
        <w:rPr/>
        <w:t>1979</w:t>
      </w:r>
      <w:r>
        <w:rPr>
          <w:spacing w:val="-12"/>
        </w:rPr>
        <w:t> </w:t>
      </w:r>
      <w:r>
        <w:rPr/>
        <w:t>yıldan</w:t>
      </w:r>
      <w:r>
        <w:rPr>
          <w:spacing w:val="-14"/>
        </w:rPr>
        <w:t> </w:t>
      </w:r>
      <w:r>
        <w:rPr/>
        <w:t>bu</w:t>
      </w:r>
      <w:r>
        <w:rPr>
          <w:spacing w:val="-12"/>
        </w:rPr>
        <w:t> </w:t>
      </w:r>
      <w:r>
        <w:rPr/>
        <w:t>yana</w:t>
      </w:r>
      <w:r>
        <w:rPr>
          <w:spacing w:val="-14"/>
        </w:rPr>
        <w:t> </w:t>
      </w:r>
      <w:r>
        <w:rPr/>
        <w:t>açıkça</w:t>
      </w:r>
      <w:r>
        <w:rPr>
          <w:spacing w:val="-15"/>
        </w:rPr>
        <w:t> </w:t>
      </w:r>
      <w:r>
        <w:rPr/>
        <w:t>belirtilmiş</w:t>
      </w:r>
      <w:r>
        <w:rPr>
          <w:spacing w:val="-13"/>
        </w:rPr>
        <w:t> </w:t>
      </w:r>
      <w:r>
        <w:rPr/>
        <w:t>olup</w:t>
      </w:r>
      <w:r>
        <w:rPr>
          <w:spacing w:val="-11"/>
        </w:rPr>
        <w:t> </w:t>
      </w:r>
      <w:r>
        <w:rPr/>
        <w:t>amaç;</w:t>
      </w:r>
      <w:r>
        <w:rPr>
          <w:spacing w:val="-13"/>
        </w:rPr>
        <w:t> </w:t>
      </w:r>
      <w:r>
        <w:rPr/>
        <w:t>hazırlık</w:t>
      </w:r>
      <w:r>
        <w:rPr>
          <w:spacing w:val="-19"/>
        </w:rPr>
        <w:t> </w:t>
      </w:r>
      <w:r>
        <w:rPr/>
        <w:t>olma, zarar azaltma, müdahale ve iyileştirme evresini içeren kapsamlı ve risk – temelli bir acil yönetimi planıyla can ve mal kaybını en aza indirmek ve bütün ülkeyi her çeşit afet ve tehlikeden muhafaza etmektir (Akdağ, 2002:</w:t>
      </w:r>
      <w:r>
        <w:rPr>
          <w:spacing w:val="1"/>
        </w:rPr>
        <w:t> </w:t>
      </w:r>
      <w:r>
        <w:rPr/>
        <w:t>15).</w:t>
      </w:r>
    </w:p>
    <w:p>
      <w:pPr>
        <w:pStyle w:val="BodyText"/>
        <w:spacing w:line="360" w:lineRule="auto"/>
        <w:ind w:left="1128" w:right="616" w:firstLine="708"/>
        <w:jc w:val="both"/>
      </w:pPr>
      <w:r>
        <w:rPr/>
        <w:t>ABD’nin bir bölgesinde ‘afete maruz bölge’ ya da bir alanında doğal afet sebebiyle ‘olağanüstü hal’ ilan edilmesi gerektiğinde sırayla takip edilecek altı kategori bulunur. ABD’ de Başkan tarafından bir bölgenin afet bölgesi ilan edilmesi için gerekli aşamalar:</w:t>
      </w:r>
    </w:p>
    <w:p>
      <w:pPr>
        <w:pStyle w:val="ListParagraph"/>
        <w:numPr>
          <w:ilvl w:val="0"/>
          <w:numId w:val="11"/>
        </w:numPr>
        <w:tabs>
          <w:tab w:pos="2077" w:val="left" w:leader="none"/>
        </w:tabs>
        <w:spacing w:line="240" w:lineRule="auto" w:before="0" w:after="0"/>
        <w:ind w:left="1128" w:right="0" w:firstLine="708"/>
        <w:jc w:val="left"/>
        <w:rPr>
          <w:sz w:val="24"/>
        </w:rPr>
      </w:pPr>
      <w:r>
        <w:rPr>
          <w:sz w:val="24"/>
        </w:rPr>
        <w:t>Öncelikle ilçede bulunan acil yardım teşkilatı müdahale</w:t>
      </w:r>
      <w:r>
        <w:rPr>
          <w:spacing w:val="-1"/>
          <w:sz w:val="24"/>
        </w:rPr>
        <w:t> </w:t>
      </w:r>
      <w:r>
        <w:rPr>
          <w:sz w:val="24"/>
        </w:rPr>
        <w:t>etmektedir.</w:t>
      </w:r>
    </w:p>
    <w:p>
      <w:pPr>
        <w:pStyle w:val="ListParagraph"/>
        <w:numPr>
          <w:ilvl w:val="0"/>
          <w:numId w:val="11"/>
        </w:numPr>
        <w:tabs>
          <w:tab w:pos="2139" w:val="left" w:leader="none"/>
        </w:tabs>
        <w:spacing w:line="360" w:lineRule="auto" w:before="139" w:after="0"/>
        <w:ind w:left="1128" w:right="613" w:firstLine="708"/>
        <w:jc w:val="both"/>
        <w:rPr>
          <w:sz w:val="24"/>
        </w:rPr>
      </w:pPr>
      <w:r>
        <w:rPr>
          <w:sz w:val="24"/>
        </w:rPr>
        <w:t>Eğer ilçe acil yardım teşkilatı müdahalede yetersiz olduğunda il bazında (valilikten) yardım</w:t>
      </w:r>
      <w:r>
        <w:rPr>
          <w:spacing w:val="1"/>
          <w:sz w:val="24"/>
        </w:rPr>
        <w:t> </w:t>
      </w:r>
      <w:r>
        <w:rPr>
          <w:sz w:val="24"/>
        </w:rPr>
        <w:t>istenmektedir.</w:t>
      </w:r>
    </w:p>
    <w:p>
      <w:pPr>
        <w:pStyle w:val="ListParagraph"/>
        <w:numPr>
          <w:ilvl w:val="0"/>
          <w:numId w:val="11"/>
        </w:numPr>
        <w:tabs>
          <w:tab w:pos="2161" w:val="left" w:leader="none"/>
        </w:tabs>
        <w:spacing w:line="360" w:lineRule="auto" w:before="0" w:after="0"/>
        <w:ind w:left="1128" w:right="612" w:firstLine="708"/>
        <w:jc w:val="both"/>
        <w:rPr>
          <w:sz w:val="24"/>
        </w:rPr>
      </w:pPr>
      <w:r>
        <w:rPr>
          <w:sz w:val="24"/>
        </w:rPr>
        <w:t>Eğer ilçe ve il yardım teşkilatları müdahalede yetersiz olduğunda Vali Hükümet’ten yardım</w:t>
      </w:r>
      <w:r>
        <w:rPr>
          <w:spacing w:val="4"/>
          <w:sz w:val="24"/>
        </w:rPr>
        <w:t> </w:t>
      </w:r>
      <w:r>
        <w:rPr>
          <w:sz w:val="24"/>
        </w:rPr>
        <w:t>istemektedir.</w:t>
      </w:r>
    </w:p>
    <w:p>
      <w:pPr>
        <w:pStyle w:val="ListParagraph"/>
        <w:numPr>
          <w:ilvl w:val="0"/>
          <w:numId w:val="11"/>
        </w:numPr>
        <w:tabs>
          <w:tab w:pos="2156" w:val="left" w:leader="none"/>
        </w:tabs>
        <w:spacing w:line="360" w:lineRule="auto" w:before="0" w:after="0"/>
        <w:ind w:left="1128" w:right="612" w:firstLine="708"/>
        <w:jc w:val="both"/>
        <w:rPr>
          <w:sz w:val="24"/>
        </w:rPr>
      </w:pPr>
      <w:r>
        <w:rPr>
          <w:sz w:val="24"/>
        </w:rPr>
        <w:t>Valinin yardım talebi FEMA Bölge Müdürlüğü tarafından değerlendirip incelenmesi için merkezine</w:t>
      </w:r>
      <w:r>
        <w:rPr>
          <w:spacing w:val="-2"/>
          <w:sz w:val="24"/>
        </w:rPr>
        <w:t> </w:t>
      </w:r>
      <w:r>
        <w:rPr>
          <w:sz w:val="24"/>
        </w:rPr>
        <w:t>göndermektedir.</w:t>
      </w:r>
    </w:p>
    <w:p>
      <w:pPr>
        <w:pStyle w:val="ListParagraph"/>
        <w:numPr>
          <w:ilvl w:val="0"/>
          <w:numId w:val="11"/>
        </w:numPr>
        <w:tabs>
          <w:tab w:pos="2077" w:val="left" w:leader="none"/>
        </w:tabs>
        <w:spacing w:line="240" w:lineRule="auto" w:before="0" w:after="0"/>
        <w:ind w:left="1128" w:right="0" w:firstLine="708"/>
        <w:jc w:val="left"/>
        <w:rPr>
          <w:sz w:val="24"/>
        </w:rPr>
      </w:pPr>
      <w:r>
        <w:rPr>
          <w:sz w:val="24"/>
        </w:rPr>
        <w:t>FEMA Genel Müdürlüğü görüş̧ ve düşüncelerini ABD Başkanına</w:t>
      </w:r>
      <w:r>
        <w:rPr>
          <w:spacing w:val="-13"/>
          <w:sz w:val="24"/>
        </w:rPr>
        <w:t> </w:t>
      </w:r>
      <w:r>
        <w:rPr>
          <w:sz w:val="24"/>
        </w:rPr>
        <w:t>bildirir.</w:t>
      </w:r>
    </w:p>
    <w:p>
      <w:pPr>
        <w:pStyle w:val="ListParagraph"/>
        <w:numPr>
          <w:ilvl w:val="0"/>
          <w:numId w:val="11"/>
        </w:numPr>
        <w:tabs>
          <w:tab w:pos="2074" w:val="left" w:leader="none"/>
        </w:tabs>
        <w:spacing w:line="360" w:lineRule="auto" w:before="137" w:after="0"/>
        <w:ind w:left="1128" w:right="612" w:firstLine="708"/>
        <w:jc w:val="both"/>
        <w:rPr>
          <w:sz w:val="24"/>
        </w:rPr>
      </w:pPr>
      <w:r>
        <w:rPr>
          <w:sz w:val="24"/>
        </w:rPr>
        <w:t>Başkan tarafından bölge afet bölgesi olarak ilan ettikten sonra devletin</w:t>
      </w:r>
      <w:r>
        <w:rPr>
          <w:spacing w:val="-44"/>
          <w:sz w:val="24"/>
        </w:rPr>
        <w:t> </w:t>
      </w:r>
      <w:r>
        <w:rPr>
          <w:sz w:val="24"/>
        </w:rPr>
        <w:t>yardımı afet bölgesine FEMA’nın iş birliğiyle ulaşımı</w:t>
      </w:r>
      <w:r>
        <w:rPr>
          <w:spacing w:val="2"/>
          <w:sz w:val="24"/>
        </w:rPr>
        <w:t> </w:t>
      </w:r>
      <w:r>
        <w:rPr>
          <w:sz w:val="24"/>
        </w:rPr>
        <w:t>sağlanır</w:t>
      </w:r>
    </w:p>
    <w:p>
      <w:pPr>
        <w:pStyle w:val="BodyText"/>
        <w:ind w:left="1836"/>
      </w:pPr>
      <w:r>
        <w:rPr/>
        <w:t>( </w:t>
      </w:r>
      <w:hyperlink r:id="rId23">
        <w:r>
          <w:rPr/>
          <w:t>http://www.fema.gov.tr</w:t>
        </w:r>
      </w:hyperlink>
      <w:r>
        <w:rPr/>
        <w:t>, 2019).</w:t>
      </w:r>
    </w:p>
    <w:p>
      <w:pPr>
        <w:pStyle w:val="BodyText"/>
        <w:rPr>
          <w:sz w:val="26"/>
        </w:rPr>
      </w:pPr>
    </w:p>
    <w:p>
      <w:pPr>
        <w:pStyle w:val="BodyText"/>
        <w:spacing w:before="5"/>
        <w:rPr>
          <w:sz w:val="22"/>
        </w:rPr>
      </w:pPr>
    </w:p>
    <w:p>
      <w:pPr>
        <w:pStyle w:val="Heading1"/>
        <w:numPr>
          <w:ilvl w:val="2"/>
          <w:numId w:val="10"/>
        </w:numPr>
        <w:tabs>
          <w:tab w:pos="2437" w:val="left" w:leader="none"/>
        </w:tabs>
        <w:spacing w:line="240" w:lineRule="auto" w:before="0" w:after="0"/>
        <w:ind w:left="2436" w:right="0" w:hanging="600"/>
        <w:jc w:val="left"/>
      </w:pPr>
      <w:bookmarkStart w:name="_bookmark31" w:id="74"/>
      <w:bookmarkEnd w:id="74"/>
      <w:r>
        <w:rPr>
          <w:b w:val="0"/>
        </w:rPr>
      </w:r>
      <w:bookmarkStart w:name="_bookmark31" w:id="75"/>
      <w:bookmarkEnd w:id="75"/>
      <w:r>
        <w:rPr/>
        <w:t>Jap</w:t>
      </w:r>
      <w:r>
        <w:rPr/>
        <w:t>onya</w:t>
      </w:r>
    </w:p>
    <w:p>
      <w:pPr>
        <w:pStyle w:val="BodyText"/>
        <w:spacing w:line="360" w:lineRule="auto" w:before="133"/>
        <w:ind w:left="1128" w:right="610" w:firstLine="708"/>
        <w:jc w:val="both"/>
      </w:pPr>
      <w:r>
        <w:rPr/>
        <w:t>Japonya’da oluşan doğal afetlerin teşkilatlanma ve koordinasyonundan sorumlu mevki National Land Agency (NLA) içeresindeki “Disaster Prevention Bureau” Afetleri Önleme Bürosudur. Bu büro, Japonya’da meydana gelecek tüm afetlerle alakalı sorunların etkilerini azaltıcı ya da önleyici yöntemlerin belirlenip planlanmasında ve “Doğal Afetlere Karşı Önlemler Temel Yasası” ile büyük ölçüde deprem felaketlerine karşı “Önlemler Yasası’nın uygulanmasında sorumludur. Bu büroyu, “Genel Yönetim</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jc w:val="both"/>
      </w:pPr>
      <w:r>
        <w:rPr/>
        <w:t>Dairesi”, “Afetleri Önleme Koordinasyon Dairesi”, “Yeniden İnşa ve İyileştirme Dairesi”, “Deprem Felaketine Karşı Tedbirler Dairesi” ve “Afetlere Karşı Tedbirleri Uygulama Dairesi” oluşturmaktadır.</w:t>
      </w:r>
    </w:p>
    <w:p>
      <w:pPr>
        <w:pStyle w:val="BodyText"/>
        <w:spacing w:line="360" w:lineRule="auto"/>
        <w:ind w:left="1128" w:right="611" w:firstLine="708"/>
        <w:jc w:val="both"/>
      </w:pPr>
      <w:r>
        <w:rPr/>
        <w:t>Doğal afetlerle alakalı koordinasyon konuları, 1961 yılında, ‘Afetlere Karşı önlemler Temel Kanunu’ ile düzenlenmiştir. Bu kanun, oluşan afetlere göre gözden geçirilip değiştirilmek için 1997 yılında son şeklini almıştır. Doğal afetler konusunda detaylı ve etkin bir yönetim oluşturmak amacıyla Japonya’ da iki ayrı örgütlenme oluşturmuştur.</w:t>
      </w:r>
      <w:r>
        <w:rPr>
          <w:spacing w:val="-17"/>
        </w:rPr>
        <w:t> </w:t>
      </w:r>
      <w:r>
        <w:rPr/>
        <w:t>Bunlardan</w:t>
      </w:r>
      <w:r>
        <w:rPr>
          <w:spacing w:val="-15"/>
        </w:rPr>
        <w:t> </w:t>
      </w:r>
      <w:r>
        <w:rPr/>
        <w:t>birincisi</w:t>
      </w:r>
      <w:r>
        <w:rPr>
          <w:spacing w:val="-16"/>
        </w:rPr>
        <w:t> </w:t>
      </w:r>
      <w:r>
        <w:rPr/>
        <w:t>daimi,</w:t>
      </w:r>
      <w:r>
        <w:rPr>
          <w:spacing w:val="-15"/>
        </w:rPr>
        <w:t> </w:t>
      </w:r>
      <w:r>
        <w:rPr/>
        <w:t>ikincisi</w:t>
      </w:r>
      <w:r>
        <w:rPr>
          <w:spacing w:val="-16"/>
        </w:rPr>
        <w:t> </w:t>
      </w:r>
      <w:r>
        <w:rPr/>
        <w:t>ise</w:t>
      </w:r>
      <w:r>
        <w:rPr>
          <w:spacing w:val="-18"/>
        </w:rPr>
        <w:t> </w:t>
      </w:r>
      <w:r>
        <w:rPr/>
        <w:t>afet</w:t>
      </w:r>
      <w:r>
        <w:rPr>
          <w:spacing w:val="-15"/>
        </w:rPr>
        <w:t> </w:t>
      </w:r>
      <w:r>
        <w:rPr/>
        <w:t>durumları</w:t>
      </w:r>
      <w:r>
        <w:rPr>
          <w:spacing w:val="-16"/>
        </w:rPr>
        <w:t> </w:t>
      </w:r>
      <w:r>
        <w:rPr/>
        <w:t>olaraktır</w:t>
      </w:r>
      <w:r>
        <w:rPr>
          <w:spacing w:val="-11"/>
        </w:rPr>
        <w:t> </w:t>
      </w:r>
      <w:r>
        <w:rPr/>
        <w:t>(Uluğ,</w:t>
      </w:r>
      <w:r>
        <w:rPr>
          <w:spacing w:val="-17"/>
        </w:rPr>
        <w:t> </w:t>
      </w:r>
      <w:r>
        <w:rPr/>
        <w:t>2009: 10).</w:t>
      </w:r>
    </w:p>
    <w:p>
      <w:pPr>
        <w:pStyle w:val="BodyText"/>
        <w:spacing w:line="276" w:lineRule="exact"/>
        <w:ind w:left="1836"/>
      </w:pPr>
      <w:r>
        <w:rPr/>
        <w:t>Japonya daimi örgütlenme teşkilat yapısı Şekil 2. 3’de gösterilmiştir.</w:t>
      </w:r>
    </w:p>
    <w:p>
      <w:pPr>
        <w:spacing w:after="0" w:line="276" w:lineRule="exact"/>
        <w:sectPr>
          <w:pgSz w:w="11910" w:h="16840"/>
          <w:pgMar w:header="0" w:footer="976" w:top="1580" w:bottom="1240" w:left="1140" w:right="520"/>
        </w:sectPr>
      </w:pPr>
    </w:p>
    <w:p>
      <w:pPr>
        <w:pStyle w:val="Heading1"/>
        <w:spacing w:before="102"/>
        <w:ind w:left="2630"/>
      </w:pPr>
      <w:r>
        <w:rPr/>
        <w:t>Şekil 2. 3. Japonya Daimi Örgütlenme Teşkilat Yapısı</w:t>
      </w:r>
    </w:p>
    <w:p>
      <w:pPr>
        <w:pStyle w:val="BodyText"/>
        <w:spacing w:before="2"/>
        <w:rPr>
          <w:b/>
          <w:sz w:val="10"/>
        </w:rPr>
      </w:pPr>
      <w:r>
        <w:rPr/>
        <w:drawing>
          <wp:anchor distT="0" distB="0" distL="0" distR="0" allowOverlap="1" layoutInCell="1" locked="0" behindDoc="1" simplePos="0" relativeHeight="268434599">
            <wp:simplePos x="0" y="0"/>
            <wp:positionH relativeFrom="page">
              <wp:posOffset>1890395</wp:posOffset>
            </wp:positionH>
            <wp:positionV relativeFrom="paragraph">
              <wp:posOffset>99199</wp:posOffset>
            </wp:positionV>
            <wp:extent cx="4937307" cy="3619119"/>
            <wp:effectExtent l="0" t="0" r="0" b="0"/>
            <wp:wrapTopAndBottom/>
            <wp:docPr id="11" name="image8.jpeg" descr=""/>
            <wp:cNvGraphicFramePr>
              <a:graphicFrameLocks noChangeAspect="1"/>
            </wp:cNvGraphicFramePr>
            <a:graphic>
              <a:graphicData uri="http://schemas.openxmlformats.org/drawingml/2006/picture">
                <pic:pic>
                  <pic:nvPicPr>
                    <pic:cNvPr id="12" name="image8.jpeg"/>
                    <pic:cNvPicPr/>
                  </pic:nvPicPr>
                  <pic:blipFill>
                    <a:blip r:embed="rId24" cstate="print"/>
                    <a:stretch>
                      <a:fillRect/>
                    </a:stretch>
                  </pic:blipFill>
                  <pic:spPr>
                    <a:xfrm>
                      <a:off x="0" y="0"/>
                      <a:ext cx="4937307" cy="3619119"/>
                    </a:xfrm>
                    <a:prstGeom prst="rect">
                      <a:avLst/>
                    </a:prstGeom>
                  </pic:spPr>
                </pic:pic>
              </a:graphicData>
            </a:graphic>
          </wp:anchor>
        </w:drawing>
      </w:r>
    </w:p>
    <w:p>
      <w:pPr>
        <w:spacing w:line="261" w:lineRule="auto" w:before="113"/>
        <w:ind w:left="1128" w:right="612" w:firstLine="708"/>
        <w:jc w:val="both"/>
        <w:rPr>
          <w:sz w:val="20"/>
        </w:rPr>
      </w:pPr>
      <w:r>
        <w:rPr>
          <w:b/>
          <w:sz w:val="20"/>
        </w:rPr>
        <w:t>Kaynak: </w:t>
      </w:r>
      <w:r>
        <w:rPr>
          <w:sz w:val="20"/>
        </w:rPr>
        <w:t>Kentsel Afet Risklerine Yönelik Zarar Azaltma Stratejilerinin Geliştirilmesi </w:t>
      </w:r>
      <w:r>
        <w:rPr>
          <w:b/>
          <w:sz w:val="20"/>
        </w:rPr>
        <w:t>(</w:t>
      </w:r>
      <w:r>
        <w:rPr>
          <w:sz w:val="20"/>
        </w:rPr>
        <w:t>Şahin, 2009:120).</w:t>
      </w:r>
    </w:p>
    <w:p>
      <w:pPr>
        <w:pStyle w:val="BodyText"/>
        <w:spacing w:line="360" w:lineRule="auto" w:before="157"/>
        <w:ind w:left="1128" w:right="611" w:firstLine="708"/>
        <w:jc w:val="both"/>
      </w:pPr>
      <w:r>
        <w:rPr/>
        <w:t>Herhangi bir doğal afet olayında ilk dakikadan itibaren hangi kurumun ne yapacağı, kurumlar arasında koordinasyonun nasıl sağlanacağı ve doğal afete karşı önceden afet anında ve sonrasında alınacak tedbirler ve yapılması gereken işlemleri belirleyen belgedir (Akdağ, 2002: 17).</w:t>
      </w:r>
    </w:p>
    <w:p>
      <w:pPr>
        <w:pStyle w:val="BodyText"/>
        <w:spacing w:line="360" w:lineRule="auto" w:before="1"/>
        <w:ind w:left="1128" w:right="612" w:firstLine="708"/>
        <w:jc w:val="both"/>
      </w:pPr>
      <w:r>
        <w:rPr/>
        <w:t>NLA, normal zamanlarda devamlı bir şekilde köylere kadar bütün yerleşim yerlerinin planlamalarını, haritalarını, binaların yapılarını ve konumlarını, her bir evde yaşamakta olan aile bireyleri hakkında ayrıntılı olarak bilgileri oluşmaktadır. Böylelikle herhangi bir afet durumunda afetten etkilenen bina ve binada yaşayan bireyler hakkında detaylı bilgiler arama, kurtarma ve yardım ekiplerine iletilmektedir (Uluğ, 2009: 11).</w:t>
      </w:r>
    </w:p>
    <w:p>
      <w:pPr>
        <w:pStyle w:val="BodyText"/>
        <w:spacing w:line="360" w:lineRule="auto"/>
        <w:ind w:left="1128" w:right="609" w:firstLine="708"/>
        <w:jc w:val="both"/>
      </w:pPr>
      <w:r>
        <w:rPr/>
        <w:t>Ülkenin, bölgesel ve yerel ölçekte geniş çapta planlanmasının ve operasyon yetkisinin</w:t>
      </w:r>
      <w:r>
        <w:rPr>
          <w:spacing w:val="-8"/>
        </w:rPr>
        <w:t> </w:t>
      </w:r>
      <w:r>
        <w:rPr/>
        <w:t>kabul</w:t>
      </w:r>
      <w:r>
        <w:rPr>
          <w:spacing w:val="-7"/>
        </w:rPr>
        <w:t> </w:t>
      </w:r>
      <w:r>
        <w:rPr/>
        <w:t>edildiği,</w:t>
      </w:r>
      <w:r>
        <w:rPr>
          <w:spacing w:val="-5"/>
        </w:rPr>
        <w:t> </w:t>
      </w:r>
      <w:r>
        <w:rPr/>
        <w:t>etkin</w:t>
      </w:r>
      <w:r>
        <w:rPr>
          <w:spacing w:val="-8"/>
        </w:rPr>
        <w:t> </w:t>
      </w:r>
      <w:r>
        <w:rPr/>
        <w:t>bir</w:t>
      </w:r>
      <w:r>
        <w:rPr>
          <w:spacing w:val="-8"/>
        </w:rPr>
        <w:t> </w:t>
      </w:r>
      <w:r>
        <w:rPr/>
        <w:t>Coğrafi</w:t>
      </w:r>
      <w:r>
        <w:rPr>
          <w:spacing w:val="-8"/>
        </w:rPr>
        <w:t> </w:t>
      </w:r>
      <w:r>
        <w:rPr/>
        <w:t>Bilgi</w:t>
      </w:r>
      <w:r>
        <w:rPr>
          <w:spacing w:val="-7"/>
        </w:rPr>
        <w:t> </w:t>
      </w:r>
      <w:r>
        <w:rPr/>
        <w:t>Sistemi</w:t>
      </w:r>
      <w:r>
        <w:rPr>
          <w:spacing w:val="-8"/>
        </w:rPr>
        <w:t> </w:t>
      </w:r>
      <w:r>
        <w:rPr/>
        <w:t>(GIS)</w:t>
      </w:r>
      <w:r>
        <w:rPr>
          <w:spacing w:val="-8"/>
        </w:rPr>
        <w:t> </w:t>
      </w:r>
      <w:r>
        <w:rPr/>
        <w:t>ile</w:t>
      </w:r>
      <w:r>
        <w:rPr>
          <w:spacing w:val="-8"/>
        </w:rPr>
        <w:t> </w:t>
      </w:r>
      <w:r>
        <w:rPr/>
        <w:t>kontrol</w:t>
      </w:r>
      <w:r>
        <w:rPr>
          <w:spacing w:val="-7"/>
        </w:rPr>
        <w:t> </w:t>
      </w:r>
      <w:r>
        <w:rPr/>
        <w:t>edilen,</w:t>
      </w:r>
      <w:r>
        <w:rPr>
          <w:spacing w:val="-7"/>
        </w:rPr>
        <w:t> </w:t>
      </w:r>
      <w:r>
        <w:rPr/>
        <w:t>bununla birlikte ulusal seviye de koordinasyonun sağlanması gerektiği bir "Ulusal Afet Erken Uyarı</w:t>
      </w:r>
      <w:r>
        <w:rPr>
          <w:spacing w:val="-16"/>
        </w:rPr>
        <w:t> </w:t>
      </w:r>
      <w:r>
        <w:rPr/>
        <w:t>ve</w:t>
      </w:r>
      <w:r>
        <w:rPr>
          <w:spacing w:val="-15"/>
        </w:rPr>
        <w:t> </w:t>
      </w:r>
      <w:r>
        <w:rPr/>
        <w:t>Yönetim"</w:t>
      </w:r>
      <w:r>
        <w:rPr>
          <w:spacing w:val="-14"/>
        </w:rPr>
        <w:t> </w:t>
      </w:r>
      <w:r>
        <w:rPr/>
        <w:t>yapısına</w:t>
      </w:r>
      <w:r>
        <w:rPr>
          <w:spacing w:val="-15"/>
        </w:rPr>
        <w:t> </w:t>
      </w:r>
      <w:r>
        <w:rPr/>
        <w:t>sahip</w:t>
      </w:r>
      <w:r>
        <w:rPr>
          <w:spacing w:val="-13"/>
        </w:rPr>
        <w:t> </w:t>
      </w:r>
      <w:r>
        <w:rPr/>
        <w:t>olmayı</w:t>
      </w:r>
      <w:r>
        <w:rPr>
          <w:spacing w:val="-15"/>
        </w:rPr>
        <w:t> </w:t>
      </w:r>
      <w:r>
        <w:rPr/>
        <w:t>hedeflemiştir</w:t>
      </w:r>
      <w:r>
        <w:rPr>
          <w:spacing w:val="-13"/>
        </w:rPr>
        <w:t> </w:t>
      </w:r>
      <w:r>
        <w:rPr/>
        <w:t>(Erkal</w:t>
      </w:r>
      <w:r>
        <w:rPr>
          <w:spacing w:val="-15"/>
        </w:rPr>
        <w:t> </w:t>
      </w:r>
      <w:r>
        <w:rPr/>
        <w:t>ve</w:t>
      </w:r>
      <w:r>
        <w:rPr>
          <w:spacing w:val="-15"/>
        </w:rPr>
        <w:t> </w:t>
      </w:r>
      <w:r>
        <w:rPr/>
        <w:t>Değerliyurt,</w:t>
      </w:r>
      <w:r>
        <w:rPr>
          <w:spacing w:val="-16"/>
        </w:rPr>
        <w:t> </w:t>
      </w:r>
      <w:r>
        <w:rPr/>
        <w:t>2011:</w:t>
      </w:r>
      <w:r>
        <w:rPr>
          <w:spacing w:val="-14"/>
        </w:rPr>
        <w:t> </w:t>
      </w:r>
      <w:r>
        <w:rPr/>
        <w:t>160).</w:t>
      </w:r>
    </w:p>
    <w:p>
      <w:pPr>
        <w:spacing w:after="0" w:line="360" w:lineRule="auto"/>
        <w:jc w:val="both"/>
        <w:sectPr>
          <w:pgSz w:w="11910" w:h="16840"/>
          <w:pgMar w:header="0" w:footer="976" w:top="1580" w:bottom="1240" w:left="1140" w:right="520"/>
        </w:sectPr>
      </w:pPr>
    </w:p>
    <w:p>
      <w:pPr>
        <w:pStyle w:val="Heading1"/>
        <w:numPr>
          <w:ilvl w:val="2"/>
          <w:numId w:val="10"/>
        </w:numPr>
        <w:tabs>
          <w:tab w:pos="2437" w:val="left" w:leader="none"/>
        </w:tabs>
        <w:spacing w:line="240" w:lineRule="auto" w:before="102" w:after="0"/>
        <w:ind w:left="2436" w:right="0" w:hanging="600"/>
        <w:jc w:val="left"/>
      </w:pPr>
      <w:bookmarkStart w:name="_bookmark32" w:id="76"/>
      <w:bookmarkEnd w:id="76"/>
      <w:r>
        <w:rPr>
          <w:b w:val="0"/>
        </w:rPr>
      </w:r>
      <w:bookmarkStart w:name="_bookmark32" w:id="77"/>
      <w:bookmarkEnd w:id="77"/>
      <w:r>
        <w:rPr/>
        <w:t>F</w:t>
      </w:r>
      <w:r>
        <w:rPr/>
        <w:t>ransa</w:t>
      </w:r>
    </w:p>
    <w:p>
      <w:pPr>
        <w:pStyle w:val="BodyText"/>
        <w:spacing w:line="360" w:lineRule="auto" w:before="132"/>
        <w:ind w:left="1128" w:right="613" w:firstLine="708"/>
        <w:jc w:val="both"/>
      </w:pPr>
      <w:r>
        <w:rPr/>
        <w:t>Fransa’daki afet yönetimi baya karışık bir yapı içerisindedir. İllerde, bölgelerde, yerel yönetimlerde ve merkezi hükümette değişmekte olan ağırlıkları da konuyla alakalıdır.</w:t>
      </w:r>
    </w:p>
    <w:p>
      <w:pPr>
        <w:pStyle w:val="BodyText"/>
        <w:spacing w:line="360" w:lineRule="auto" w:before="2"/>
        <w:ind w:left="1128" w:right="608" w:firstLine="708"/>
        <w:jc w:val="both"/>
      </w:pPr>
      <w:r>
        <w:rPr/>
        <w:t>Bunlardan hariç olarak, afetler ve arama-kurtarma konuları hakkında uzman olan kuruluşların da teşkilat şeması içerisine alınabilir (Akdağ, 2002: 22).</w:t>
      </w:r>
    </w:p>
    <w:p>
      <w:pPr>
        <w:pStyle w:val="BodyText"/>
        <w:spacing w:before="10"/>
        <w:rPr>
          <w:sz w:val="35"/>
        </w:rPr>
      </w:pPr>
    </w:p>
    <w:p>
      <w:pPr>
        <w:spacing w:before="0"/>
        <w:ind w:left="1836" w:right="0" w:firstLine="0"/>
        <w:jc w:val="left"/>
        <w:rPr>
          <w:i/>
          <w:sz w:val="24"/>
        </w:rPr>
      </w:pPr>
      <w:r>
        <w:rPr>
          <w:i/>
          <w:sz w:val="24"/>
        </w:rPr>
        <w:t>Genel yapı</w:t>
      </w:r>
    </w:p>
    <w:p>
      <w:pPr>
        <w:pStyle w:val="BodyText"/>
        <w:spacing w:line="360" w:lineRule="auto" w:before="139"/>
        <w:ind w:left="1128" w:right="611" w:firstLine="708"/>
        <w:jc w:val="both"/>
      </w:pPr>
      <w:r>
        <w:rPr/>
        <w:t>Fransa’da Halk Güvenliği Müdürlüğü, her türlü kazaları, can ve malların güvenliğinde, çevre koruma, felaket ve afetlerde risk azaltma görevinde bulunmaktadır. Müdürlük, halkın güvenliği yönetimi ulusal acil durumu hizmetini yönetmektedir, yardım işlemlerinde mahalli kurtarma hizmetlerinin koordinasyonunu da sağlar. Bu kuruluş, doğal ve teknolojik kazaları önlemek içim çalışma yapar, tedbir alma, yardım planı</w:t>
      </w:r>
      <w:r>
        <w:rPr>
          <w:spacing w:val="-11"/>
        </w:rPr>
        <w:t> </w:t>
      </w:r>
      <w:r>
        <w:rPr/>
        <w:t>ve</w:t>
      </w:r>
      <w:r>
        <w:rPr>
          <w:spacing w:val="-9"/>
        </w:rPr>
        <w:t> </w:t>
      </w:r>
      <w:r>
        <w:rPr/>
        <w:t>yangın</w:t>
      </w:r>
      <w:r>
        <w:rPr>
          <w:spacing w:val="-9"/>
        </w:rPr>
        <w:t> </w:t>
      </w:r>
      <w:r>
        <w:rPr/>
        <w:t>söndürme</w:t>
      </w:r>
      <w:r>
        <w:rPr>
          <w:spacing w:val="-12"/>
        </w:rPr>
        <w:t> </w:t>
      </w:r>
      <w:r>
        <w:rPr/>
        <w:t>hizmetleri</w:t>
      </w:r>
      <w:r>
        <w:rPr>
          <w:spacing w:val="-7"/>
        </w:rPr>
        <w:t> </w:t>
      </w:r>
      <w:r>
        <w:rPr/>
        <w:t>konusunda</w:t>
      </w:r>
      <w:r>
        <w:rPr>
          <w:spacing w:val="-9"/>
        </w:rPr>
        <w:t> </w:t>
      </w:r>
      <w:r>
        <w:rPr/>
        <w:t>yönerge</w:t>
      </w:r>
      <w:r>
        <w:rPr>
          <w:spacing w:val="-11"/>
        </w:rPr>
        <w:t> </w:t>
      </w:r>
      <w:r>
        <w:rPr/>
        <w:t>taslağı</w:t>
      </w:r>
      <w:r>
        <w:rPr>
          <w:spacing w:val="-10"/>
        </w:rPr>
        <w:t> </w:t>
      </w:r>
      <w:r>
        <w:rPr/>
        <w:t>hazırlar,</w:t>
      </w:r>
      <w:r>
        <w:rPr>
          <w:spacing w:val="-10"/>
        </w:rPr>
        <w:t> </w:t>
      </w:r>
      <w:r>
        <w:rPr/>
        <w:t>itfaiyeci</w:t>
      </w:r>
      <w:r>
        <w:rPr>
          <w:spacing w:val="-10"/>
        </w:rPr>
        <w:t> </w:t>
      </w:r>
      <w:r>
        <w:rPr/>
        <w:t>eğitimi için yardımcı olurlar, diğer ülkelere ortak proje ve yardım operasyonları hazırlayarak halkın güvenliği için uluslararası bölümde yer alır (Erkal ve Değerliyurt, 2011:</w:t>
      </w:r>
      <w:r>
        <w:rPr>
          <w:spacing w:val="-8"/>
        </w:rPr>
        <w:t> </w:t>
      </w:r>
      <w:r>
        <w:rPr/>
        <w:t>160).</w:t>
      </w:r>
    </w:p>
    <w:p>
      <w:pPr>
        <w:pStyle w:val="BodyText"/>
        <w:rPr>
          <w:sz w:val="36"/>
        </w:rPr>
      </w:pPr>
    </w:p>
    <w:p>
      <w:pPr>
        <w:spacing w:before="1"/>
        <w:ind w:left="1836" w:right="0" w:firstLine="0"/>
        <w:jc w:val="left"/>
        <w:rPr>
          <w:i/>
          <w:sz w:val="24"/>
        </w:rPr>
      </w:pPr>
      <w:r>
        <w:rPr>
          <w:i/>
          <w:sz w:val="24"/>
        </w:rPr>
        <w:t>Müdahale</w:t>
      </w:r>
    </w:p>
    <w:p>
      <w:pPr>
        <w:pStyle w:val="BodyText"/>
        <w:spacing w:line="360" w:lineRule="auto" w:before="136"/>
        <w:ind w:left="1128" w:right="610" w:firstLine="708"/>
        <w:jc w:val="both"/>
      </w:pPr>
      <w:r>
        <w:rPr/>
        <w:t>Halk Güvenliği Müdürlüğü, Fransa İçişleri Bakanlığı’na bağlı bulunmaktadır. Operasyonun merkezi olan CODISC ulusal seviyede büyük ölçüde kurtarma operasyonlarını için 24 saat görevlidir. Felaket ve kaza ve durumlarında İçişleri Bakanlığı’ndan hariç diğer devlet kuruluşlarına karşı da sorumludur. Operasyon olduğunda koordinasyonu sağlamak için bölgelerarası merkezler kurulmuştur. Her</w:t>
      </w:r>
      <w:r>
        <w:rPr>
          <w:spacing w:val="-20"/>
        </w:rPr>
        <w:t> </w:t>
      </w:r>
      <w:r>
        <w:rPr/>
        <w:t>bölge için bölge sorumlusunun yetkisinde koordinasyon sağlanmaktadır. Müdahale kısmında buluna</w:t>
      </w:r>
      <w:r>
        <w:rPr>
          <w:spacing w:val="-16"/>
        </w:rPr>
        <w:t> </w:t>
      </w:r>
      <w:r>
        <w:rPr/>
        <w:t>birimler</w:t>
      </w:r>
      <w:r>
        <w:rPr>
          <w:spacing w:val="-16"/>
        </w:rPr>
        <w:t> </w:t>
      </w:r>
      <w:r>
        <w:rPr/>
        <w:t>Halk</w:t>
      </w:r>
      <w:r>
        <w:rPr>
          <w:spacing w:val="-15"/>
        </w:rPr>
        <w:t> </w:t>
      </w:r>
      <w:r>
        <w:rPr/>
        <w:t>Güvenliği</w:t>
      </w:r>
      <w:r>
        <w:rPr>
          <w:spacing w:val="-15"/>
        </w:rPr>
        <w:t> </w:t>
      </w:r>
      <w:r>
        <w:rPr/>
        <w:t>Müdürlüğü</w:t>
      </w:r>
      <w:r>
        <w:rPr>
          <w:spacing w:val="-15"/>
        </w:rPr>
        <w:t> </w:t>
      </w:r>
      <w:r>
        <w:rPr/>
        <w:t>personeli,</w:t>
      </w:r>
      <w:r>
        <w:rPr>
          <w:spacing w:val="-15"/>
        </w:rPr>
        <w:t> </w:t>
      </w:r>
      <w:r>
        <w:rPr/>
        <w:t>Sivil</w:t>
      </w:r>
      <w:r>
        <w:rPr>
          <w:spacing w:val="-15"/>
        </w:rPr>
        <w:t> </w:t>
      </w:r>
      <w:r>
        <w:rPr/>
        <w:t>Güvenlik</w:t>
      </w:r>
      <w:r>
        <w:rPr>
          <w:spacing w:val="-15"/>
        </w:rPr>
        <w:t> </w:t>
      </w:r>
      <w:r>
        <w:rPr/>
        <w:t>Birimi</w:t>
      </w:r>
      <w:r>
        <w:rPr>
          <w:spacing w:val="-13"/>
        </w:rPr>
        <w:t> </w:t>
      </w:r>
      <w:r>
        <w:rPr/>
        <w:t>komutasında görev alan askerler (UIISC) ve DICA özel birimleri, itfaiye birimleri (BMPM dâhil) ve diğer yerel yardım hizmetleri bulunmaktır (Erkal ve Değerliyurt, 2011:</w:t>
      </w:r>
      <w:r>
        <w:rPr>
          <w:spacing w:val="1"/>
        </w:rPr>
        <w:t> </w:t>
      </w:r>
      <w:r>
        <w:rPr/>
        <w:t>160).</w:t>
      </w:r>
    </w:p>
    <w:p>
      <w:pPr>
        <w:pStyle w:val="BodyText"/>
        <w:spacing w:line="360" w:lineRule="auto" w:before="2"/>
        <w:ind w:left="1128" w:right="608" w:firstLine="708"/>
        <w:jc w:val="both"/>
      </w:pPr>
      <w:r>
        <w:rPr/>
        <w:t>1975 yılında kurulmuş olan Sivil Güvenlik Genel Müdürlüğü 1991 yılında yeniden yapılandırılarak merkezi güvenlik genel müdürlüğü olarak ismini değiştirmiştir. Merkezi</w:t>
      </w:r>
      <w:r>
        <w:rPr>
          <w:spacing w:val="-7"/>
        </w:rPr>
        <w:t> </w:t>
      </w:r>
      <w:r>
        <w:rPr/>
        <w:t>güvenlik</w:t>
      </w:r>
      <w:r>
        <w:rPr>
          <w:spacing w:val="-6"/>
        </w:rPr>
        <w:t> </w:t>
      </w:r>
      <w:r>
        <w:rPr/>
        <w:t>genel</w:t>
      </w:r>
      <w:r>
        <w:rPr>
          <w:spacing w:val="-7"/>
        </w:rPr>
        <w:t> </w:t>
      </w:r>
      <w:r>
        <w:rPr/>
        <w:t>müdürlüğün</w:t>
      </w:r>
      <w:r>
        <w:rPr>
          <w:spacing w:val="-10"/>
        </w:rPr>
        <w:t> </w:t>
      </w:r>
      <w:r>
        <w:rPr/>
        <w:t>üç</w:t>
      </w:r>
      <w:r>
        <w:rPr>
          <w:spacing w:val="-11"/>
        </w:rPr>
        <w:t> </w:t>
      </w:r>
      <w:r>
        <w:rPr/>
        <w:t>tane</w:t>
      </w:r>
      <w:r>
        <w:rPr>
          <w:spacing w:val="-7"/>
        </w:rPr>
        <w:t> </w:t>
      </w:r>
      <w:r>
        <w:rPr/>
        <w:t>ana</w:t>
      </w:r>
      <w:r>
        <w:rPr>
          <w:spacing w:val="-8"/>
        </w:rPr>
        <w:t> </w:t>
      </w:r>
      <w:r>
        <w:rPr/>
        <w:t>görevi</w:t>
      </w:r>
      <w:r>
        <w:rPr>
          <w:spacing w:val="-9"/>
        </w:rPr>
        <w:t> </w:t>
      </w:r>
      <w:r>
        <w:rPr/>
        <w:t>bulunur.</w:t>
      </w:r>
      <w:r>
        <w:rPr>
          <w:spacing w:val="-7"/>
        </w:rPr>
        <w:t> </w:t>
      </w:r>
      <w:r>
        <w:rPr/>
        <w:t>Her</w:t>
      </w:r>
      <w:r>
        <w:rPr>
          <w:spacing w:val="-8"/>
        </w:rPr>
        <w:t> </w:t>
      </w:r>
      <w:r>
        <w:rPr/>
        <w:t>türlü</w:t>
      </w:r>
      <w:r>
        <w:rPr>
          <w:spacing w:val="-7"/>
        </w:rPr>
        <w:t> </w:t>
      </w:r>
      <w:r>
        <w:rPr/>
        <w:t>doğal</w:t>
      </w:r>
      <w:r>
        <w:rPr>
          <w:spacing w:val="-6"/>
        </w:rPr>
        <w:t> </w:t>
      </w:r>
      <w:r>
        <w:rPr/>
        <w:t>risklerin önlenmesi için diğer kurum ve kuruluşlarla organize şekilde çalışmak ve bunları uygulamak, can ve mal güvenliği için arama ve kurtarma çalışmalarını başlatıp</w:t>
      </w:r>
      <w:r>
        <w:rPr>
          <w:spacing w:val="-5"/>
        </w:rPr>
        <w:t> </w:t>
      </w:r>
      <w:r>
        <w:rPr/>
        <w:t>koordine</w:t>
      </w:r>
    </w:p>
    <w:p>
      <w:pPr>
        <w:spacing w:after="0" w:line="360" w:lineRule="auto"/>
        <w:jc w:val="both"/>
        <w:sectPr>
          <w:pgSz w:w="11910" w:h="16840"/>
          <w:pgMar w:header="0" w:footer="976" w:top="1580" w:bottom="1240" w:left="1140" w:right="520"/>
        </w:sectPr>
      </w:pPr>
    </w:p>
    <w:p>
      <w:pPr>
        <w:pStyle w:val="BodyText"/>
        <w:tabs>
          <w:tab w:pos="8208" w:val="left" w:leader="none"/>
        </w:tabs>
        <w:spacing w:line="360" w:lineRule="auto" w:before="98"/>
        <w:ind w:left="1128" w:right="616"/>
      </w:pPr>
      <w:r>
        <w:rPr/>
        <w:t>etmek,  </w:t>
      </w:r>
      <w:r>
        <w:rPr>
          <w:spacing w:val="15"/>
        </w:rPr>
        <w:t> </w:t>
      </w:r>
      <w:r>
        <w:rPr/>
        <w:t>itfaiye  </w:t>
      </w:r>
      <w:r>
        <w:rPr>
          <w:spacing w:val="15"/>
        </w:rPr>
        <w:t> </w:t>
      </w:r>
      <w:r>
        <w:rPr/>
        <w:t>hizmetleriyle  </w:t>
      </w:r>
      <w:r>
        <w:rPr>
          <w:spacing w:val="15"/>
        </w:rPr>
        <w:t> </w:t>
      </w:r>
      <w:r>
        <w:rPr/>
        <w:t>alakalı  </w:t>
      </w:r>
      <w:r>
        <w:rPr>
          <w:spacing w:val="17"/>
        </w:rPr>
        <w:t> </w:t>
      </w:r>
      <w:r>
        <w:rPr/>
        <w:t>mevzuatı  </w:t>
      </w:r>
      <w:r>
        <w:rPr>
          <w:spacing w:val="16"/>
        </w:rPr>
        <w:t> </w:t>
      </w:r>
      <w:r>
        <w:rPr/>
        <w:t>gözden  </w:t>
      </w:r>
      <w:r>
        <w:rPr>
          <w:spacing w:val="15"/>
        </w:rPr>
        <w:t> </w:t>
      </w:r>
      <w:r>
        <w:rPr/>
        <w:t>geçirmek,</w:t>
        <w:tab/>
        <w:t>yenilemek ve düzeltilmesini yapmaktır (Uluğ, 2009:</w:t>
      </w:r>
      <w:r>
        <w:rPr>
          <w:spacing w:val="5"/>
        </w:rPr>
        <w:t> </w:t>
      </w:r>
      <w:r>
        <w:rPr/>
        <w:t>12).</w:t>
      </w:r>
    </w:p>
    <w:p>
      <w:pPr>
        <w:pStyle w:val="BodyText"/>
        <w:spacing w:before="10"/>
        <w:rPr>
          <w:sz w:val="35"/>
        </w:rPr>
      </w:pPr>
    </w:p>
    <w:p>
      <w:pPr>
        <w:spacing w:before="0"/>
        <w:ind w:left="1836" w:right="0" w:firstLine="0"/>
        <w:jc w:val="left"/>
        <w:rPr>
          <w:i/>
          <w:sz w:val="24"/>
        </w:rPr>
      </w:pPr>
      <w:r>
        <w:rPr>
          <w:i/>
          <w:sz w:val="24"/>
        </w:rPr>
        <w:t>Eğitim</w:t>
      </w:r>
    </w:p>
    <w:p>
      <w:pPr>
        <w:pStyle w:val="BodyText"/>
        <w:spacing w:line="360" w:lineRule="auto" w:before="139"/>
        <w:ind w:left="1128" w:right="612" w:firstLine="768"/>
        <w:jc w:val="both"/>
      </w:pPr>
      <w:r>
        <w:rPr/>
        <w:t>Müdahalede bulunacak görevli kişilerin eğitimi, Ulusal Toplum Güvenliği Enstitüsü (INESC) ile içerisinde bulunan “Yüksek İtfaiye Subayı Okulu” ile verilmektedir (Erkal ve Değerliyurt, 2011: 161).</w:t>
      </w:r>
    </w:p>
    <w:p>
      <w:pPr>
        <w:pStyle w:val="BodyText"/>
        <w:spacing w:before="5"/>
        <w:rPr>
          <w:sz w:val="36"/>
        </w:rPr>
      </w:pPr>
    </w:p>
    <w:p>
      <w:pPr>
        <w:pStyle w:val="Heading1"/>
        <w:numPr>
          <w:ilvl w:val="2"/>
          <w:numId w:val="10"/>
        </w:numPr>
        <w:tabs>
          <w:tab w:pos="2437" w:val="left" w:leader="none"/>
        </w:tabs>
        <w:spacing w:line="240" w:lineRule="auto" w:before="0" w:after="0"/>
        <w:ind w:left="2436" w:right="0" w:hanging="600"/>
        <w:jc w:val="left"/>
      </w:pPr>
      <w:bookmarkStart w:name="_bookmark33" w:id="78"/>
      <w:bookmarkEnd w:id="78"/>
      <w:r>
        <w:rPr>
          <w:b w:val="0"/>
        </w:rPr>
      </w:r>
      <w:bookmarkStart w:name="_bookmark33" w:id="79"/>
      <w:bookmarkEnd w:id="79"/>
      <w:r>
        <w:rPr/>
        <w:t>K</w:t>
      </w:r>
      <w:r>
        <w:rPr/>
        <w:t>anada</w:t>
      </w:r>
    </w:p>
    <w:p>
      <w:pPr>
        <w:pStyle w:val="BodyText"/>
        <w:spacing w:line="360" w:lineRule="auto" w:before="133"/>
        <w:ind w:left="1128" w:right="611" w:firstLine="708"/>
        <w:jc w:val="both"/>
      </w:pPr>
      <w:r>
        <w:rPr/>
        <w:t>Federal bir yönetime sistemi olan Kanada’nın acil durumlarında mahalli kuruluşlar görevlidir. Afetin büyüklüğü mahalli oluşumların gücünü aştığı durumlarda eyalet ve federal hükümetten yardım istenilir. Uzun süreli yönetim ve uygulamada kararsızlık içerisinde olan Kanada, 1988 yılında yürürlüğe koyduğu iki yasayla hükümetin hazırlıklı olma ve müdahale konusunda sorumluluğunu belirtmiştir (Başbakanlık, 1997: 32).</w:t>
      </w:r>
    </w:p>
    <w:p>
      <w:pPr>
        <w:pStyle w:val="BodyText"/>
        <w:spacing w:line="360" w:lineRule="auto"/>
        <w:ind w:left="1128" w:right="611" w:firstLine="708"/>
        <w:jc w:val="both"/>
      </w:pPr>
      <w:r>
        <w:rPr/>
        <w:t>Kanada’da</w:t>
      </w:r>
      <w:r>
        <w:rPr>
          <w:spacing w:val="-11"/>
        </w:rPr>
        <w:t> </w:t>
      </w:r>
      <w:r>
        <w:rPr/>
        <w:t>gerçekleşebilecek</w:t>
      </w:r>
      <w:r>
        <w:rPr>
          <w:spacing w:val="-13"/>
        </w:rPr>
        <w:t> </w:t>
      </w:r>
      <w:r>
        <w:rPr/>
        <w:t>bütün</w:t>
      </w:r>
      <w:r>
        <w:rPr>
          <w:spacing w:val="-13"/>
        </w:rPr>
        <w:t> </w:t>
      </w:r>
      <w:r>
        <w:rPr/>
        <w:t>doğal</w:t>
      </w:r>
      <w:r>
        <w:rPr>
          <w:spacing w:val="-13"/>
        </w:rPr>
        <w:t> </w:t>
      </w:r>
      <w:r>
        <w:rPr/>
        <w:t>afetlere</w:t>
      </w:r>
      <w:r>
        <w:rPr>
          <w:spacing w:val="-12"/>
        </w:rPr>
        <w:t> </w:t>
      </w:r>
      <w:r>
        <w:rPr/>
        <w:t>karşı</w:t>
      </w:r>
      <w:r>
        <w:rPr>
          <w:spacing w:val="-12"/>
        </w:rPr>
        <w:t> </w:t>
      </w:r>
      <w:r>
        <w:rPr/>
        <w:t>hazır</w:t>
      </w:r>
      <w:r>
        <w:rPr>
          <w:spacing w:val="-13"/>
        </w:rPr>
        <w:t> </w:t>
      </w:r>
      <w:r>
        <w:rPr/>
        <w:t>olabilmesi</w:t>
      </w:r>
      <w:r>
        <w:rPr>
          <w:spacing w:val="-12"/>
        </w:rPr>
        <w:t> </w:t>
      </w:r>
      <w:r>
        <w:rPr/>
        <w:t>sağlamak için Milli Savunma Bakanlığının içerisinde olan “Emergency Preparedness Canada (EPC)” adlı bir federal hükümet kuruluşu görevlendirilmektedir. Bu kuruluş federal düzeyde ilgili olan Bakanı, Milli Savunma Bakanı’dır. EPC, Milli Savunma Bakanlığı teşkilatında görevini yerine getirmekte ve hem federal ve hem eyalet hükümetleri,</w:t>
      </w:r>
      <w:r>
        <w:rPr>
          <w:spacing w:val="-28"/>
        </w:rPr>
        <w:t> </w:t>
      </w:r>
      <w:r>
        <w:rPr/>
        <w:t>ayrıca Bakanlıkların arasında koordinasyonlarını sağlamaktadır (Uluğ, 2009:</w:t>
      </w:r>
      <w:r>
        <w:rPr>
          <w:spacing w:val="-4"/>
        </w:rPr>
        <w:t> </w:t>
      </w:r>
      <w:r>
        <w:rPr/>
        <w:t>13).</w:t>
      </w:r>
    </w:p>
    <w:p>
      <w:pPr>
        <w:pStyle w:val="BodyText"/>
        <w:spacing w:before="4"/>
        <w:rPr>
          <w:sz w:val="36"/>
        </w:rPr>
      </w:pPr>
    </w:p>
    <w:p>
      <w:pPr>
        <w:pStyle w:val="Heading2"/>
        <w:ind w:left="1896"/>
        <w:rPr>
          <w:i/>
        </w:rPr>
      </w:pPr>
      <w:r>
        <w:rPr>
          <w:i/>
        </w:rPr>
        <w:t>Acil Durum Kanunu:</w:t>
      </w:r>
    </w:p>
    <w:p>
      <w:pPr>
        <w:pStyle w:val="BodyText"/>
        <w:spacing w:line="360" w:lineRule="auto" w:before="135"/>
        <w:ind w:left="1128" w:right="612" w:firstLine="708"/>
        <w:jc w:val="both"/>
      </w:pPr>
      <w:r>
        <w:rPr/>
        <w:t>Federal yönetime sahip olan Kanada, müdahale edeceği acil durumu dört gruba toplamıştır. Acil durum kanununa göre, federal yönetiminde müdahale edilecek durumlar; toplumu etkileyen doğal veya insan kaynaklı afetlerle ilgili acil durumlar; toplum düzenini bozacak terör vb. acil durumlar; Kanada ve egemenliği de olan müttefiklerin güvenlik ve toprak bütünlüğünü bozacak tehditler vb. uluslararası acil durum ve savaşlar (Başbakanlık, 1997: 33).</w:t>
      </w:r>
    </w:p>
    <w:p>
      <w:pPr>
        <w:spacing w:after="0" w:line="360" w:lineRule="auto"/>
        <w:jc w:val="both"/>
        <w:sectPr>
          <w:pgSz w:w="11910" w:h="16840"/>
          <w:pgMar w:header="0" w:footer="976" w:top="1580" w:bottom="1240" w:left="1140" w:right="520"/>
        </w:sectPr>
      </w:pPr>
    </w:p>
    <w:p>
      <w:pPr>
        <w:pStyle w:val="Heading2"/>
        <w:spacing w:before="102"/>
        <w:ind w:left="1896"/>
        <w:rPr>
          <w:i/>
        </w:rPr>
      </w:pPr>
      <w:r>
        <w:rPr>
          <w:i/>
        </w:rPr>
        <w:t>Acil Durum Hazırlık Kanunu:</w:t>
      </w:r>
    </w:p>
    <w:p>
      <w:pPr>
        <w:pStyle w:val="BodyText"/>
        <w:spacing w:line="360" w:lineRule="auto" w:before="132"/>
        <w:ind w:left="1128" w:right="611" w:firstLine="708"/>
        <w:jc w:val="both"/>
      </w:pPr>
      <w:r>
        <w:rPr/>
        <w:t>Federal hükümet ile federal kurumların acil durumlar karşısında görev, sorumluluk ve bunları yerine getirmek için yapmaları gereken hazırlıklara acil durum hazırlık kanunu denir. Bu kanun acil durumlarda federal bakanlık ve bununla ilgili kuruluşların sorumluluk ve görevlerini yerine getirmek için plan yapmaları ve diğer bakanlık kuruluşlarına yapacakları yardım için hazırlıklı olmalarını emretmektedir. Acil durumlardan</w:t>
      </w:r>
      <w:r>
        <w:rPr>
          <w:spacing w:val="-8"/>
        </w:rPr>
        <w:t> </w:t>
      </w:r>
      <w:r>
        <w:rPr/>
        <w:t>görevli</w:t>
      </w:r>
      <w:r>
        <w:rPr>
          <w:spacing w:val="-8"/>
        </w:rPr>
        <w:t> </w:t>
      </w:r>
      <w:r>
        <w:rPr/>
        <w:t>olan</w:t>
      </w:r>
      <w:r>
        <w:rPr>
          <w:spacing w:val="-8"/>
        </w:rPr>
        <w:t> </w:t>
      </w:r>
      <w:r>
        <w:rPr/>
        <w:t>bakanın</w:t>
      </w:r>
      <w:r>
        <w:rPr>
          <w:spacing w:val="-9"/>
        </w:rPr>
        <w:t> </w:t>
      </w:r>
      <w:r>
        <w:rPr/>
        <w:t>diğer</w:t>
      </w:r>
      <w:r>
        <w:rPr>
          <w:spacing w:val="-11"/>
        </w:rPr>
        <w:t> </w:t>
      </w:r>
      <w:r>
        <w:rPr/>
        <w:t>federal</w:t>
      </w:r>
      <w:r>
        <w:rPr>
          <w:spacing w:val="-9"/>
        </w:rPr>
        <w:t> </w:t>
      </w:r>
      <w:r>
        <w:rPr/>
        <w:t>bakanlık</w:t>
      </w:r>
      <w:r>
        <w:rPr>
          <w:spacing w:val="-10"/>
        </w:rPr>
        <w:t> </w:t>
      </w:r>
      <w:r>
        <w:rPr/>
        <w:t>ve</w:t>
      </w:r>
      <w:r>
        <w:rPr>
          <w:spacing w:val="-11"/>
        </w:rPr>
        <w:t> </w:t>
      </w:r>
      <w:r>
        <w:rPr/>
        <w:t>kurumlar</w:t>
      </w:r>
      <w:r>
        <w:rPr>
          <w:spacing w:val="-11"/>
        </w:rPr>
        <w:t> </w:t>
      </w:r>
      <w:r>
        <w:rPr/>
        <w:t>ile</w:t>
      </w:r>
      <w:r>
        <w:rPr>
          <w:spacing w:val="-8"/>
        </w:rPr>
        <w:t> </w:t>
      </w:r>
      <w:r>
        <w:rPr/>
        <w:t>yerel</w:t>
      </w:r>
      <w:r>
        <w:rPr>
          <w:spacing w:val="-8"/>
        </w:rPr>
        <w:t> </w:t>
      </w:r>
      <w:r>
        <w:rPr/>
        <w:t>yönetimler arasındaki acil durum hazırlıklarının koordinasyonunu emretmektedir (Başbakanlık, 1997: 32).</w:t>
      </w:r>
    </w:p>
    <w:p>
      <w:pPr>
        <w:pStyle w:val="BodyText"/>
        <w:spacing w:before="7"/>
        <w:rPr>
          <w:sz w:val="36"/>
        </w:rPr>
      </w:pPr>
    </w:p>
    <w:p>
      <w:pPr>
        <w:pStyle w:val="Heading2"/>
        <w:rPr>
          <w:i/>
        </w:rPr>
      </w:pPr>
      <w:r>
        <w:rPr>
          <w:i/>
        </w:rPr>
        <w:t>Acil Durum Hazırlık Teşkilatı:</w:t>
      </w:r>
    </w:p>
    <w:p>
      <w:pPr>
        <w:pStyle w:val="BodyText"/>
        <w:spacing w:line="360" w:lineRule="auto" w:before="132"/>
        <w:ind w:left="1128" w:right="610" w:firstLine="708"/>
        <w:jc w:val="both"/>
      </w:pPr>
      <w:r>
        <w:rPr/>
        <w:t>Kanada</w:t>
      </w:r>
      <w:r>
        <w:rPr>
          <w:spacing w:val="-12"/>
        </w:rPr>
        <w:t> </w:t>
      </w:r>
      <w:r>
        <w:rPr/>
        <w:t>acil</w:t>
      </w:r>
      <w:r>
        <w:rPr>
          <w:spacing w:val="-13"/>
        </w:rPr>
        <w:t> </w:t>
      </w:r>
      <w:r>
        <w:rPr/>
        <w:t>durum</w:t>
      </w:r>
      <w:r>
        <w:rPr>
          <w:spacing w:val="-14"/>
        </w:rPr>
        <w:t> </w:t>
      </w:r>
      <w:r>
        <w:rPr/>
        <w:t>hazırlık</w:t>
      </w:r>
      <w:r>
        <w:rPr>
          <w:spacing w:val="-13"/>
        </w:rPr>
        <w:t> </w:t>
      </w:r>
      <w:r>
        <w:rPr/>
        <w:t>teşkilatı</w:t>
      </w:r>
      <w:r>
        <w:rPr>
          <w:spacing w:val="-13"/>
        </w:rPr>
        <w:t> </w:t>
      </w:r>
      <w:r>
        <w:rPr/>
        <w:t>(EPC)</w:t>
      </w:r>
      <w:r>
        <w:rPr>
          <w:spacing w:val="-14"/>
        </w:rPr>
        <w:t> </w:t>
      </w:r>
      <w:r>
        <w:rPr/>
        <w:t>milli</w:t>
      </w:r>
      <w:r>
        <w:rPr>
          <w:spacing w:val="-12"/>
        </w:rPr>
        <w:t> </w:t>
      </w:r>
      <w:r>
        <w:rPr/>
        <w:t>savunma</w:t>
      </w:r>
      <w:r>
        <w:rPr>
          <w:spacing w:val="-14"/>
        </w:rPr>
        <w:t> </w:t>
      </w:r>
      <w:r>
        <w:rPr/>
        <w:t>bakanlığına</w:t>
      </w:r>
      <w:r>
        <w:rPr>
          <w:spacing w:val="-12"/>
        </w:rPr>
        <w:t> </w:t>
      </w:r>
      <w:r>
        <w:rPr/>
        <w:t>bağlı</w:t>
      </w:r>
      <w:r>
        <w:rPr>
          <w:spacing w:val="-10"/>
        </w:rPr>
        <w:t> </w:t>
      </w:r>
      <w:r>
        <w:rPr/>
        <w:t>olarak kurulmuştur; acil durum karşısında kurumların arasında görev boşluklarının ve dublikasyonların</w:t>
      </w:r>
      <w:r>
        <w:rPr>
          <w:spacing w:val="-10"/>
        </w:rPr>
        <w:t> </w:t>
      </w:r>
      <w:r>
        <w:rPr/>
        <w:t>önlenmesinde</w:t>
      </w:r>
      <w:r>
        <w:rPr>
          <w:spacing w:val="-10"/>
        </w:rPr>
        <w:t> </w:t>
      </w:r>
      <w:r>
        <w:rPr/>
        <w:t>de</w:t>
      </w:r>
      <w:r>
        <w:rPr>
          <w:spacing w:val="-11"/>
        </w:rPr>
        <w:t> </w:t>
      </w:r>
      <w:r>
        <w:rPr/>
        <w:t>görevlidir.</w:t>
      </w:r>
      <w:r>
        <w:rPr>
          <w:spacing w:val="-10"/>
        </w:rPr>
        <w:t> </w:t>
      </w:r>
      <w:r>
        <w:rPr/>
        <w:t>Acil</w:t>
      </w:r>
      <w:r>
        <w:rPr>
          <w:spacing w:val="-9"/>
        </w:rPr>
        <w:t> </w:t>
      </w:r>
      <w:r>
        <w:rPr/>
        <w:t>durum</w:t>
      </w:r>
      <w:r>
        <w:rPr>
          <w:spacing w:val="-11"/>
        </w:rPr>
        <w:t> </w:t>
      </w:r>
      <w:r>
        <w:rPr/>
        <w:t>teşkilatı,</w:t>
      </w:r>
      <w:r>
        <w:rPr>
          <w:spacing w:val="-10"/>
        </w:rPr>
        <w:t> </w:t>
      </w:r>
      <w:r>
        <w:rPr/>
        <w:t>24</w:t>
      </w:r>
      <w:r>
        <w:rPr>
          <w:spacing w:val="-12"/>
        </w:rPr>
        <w:t> </w:t>
      </w:r>
      <w:r>
        <w:rPr/>
        <w:t>saat</w:t>
      </w:r>
      <w:r>
        <w:rPr>
          <w:spacing w:val="-9"/>
        </w:rPr>
        <w:t> </w:t>
      </w:r>
      <w:r>
        <w:rPr/>
        <w:t>sistemine</w:t>
      </w:r>
      <w:r>
        <w:rPr>
          <w:spacing w:val="-11"/>
        </w:rPr>
        <w:t> </w:t>
      </w:r>
      <w:r>
        <w:rPr/>
        <w:t>göre Ottawa’da acil durum operasyonlarında koordine etmek üzere personel bulundurmaktadır.</w:t>
      </w:r>
      <w:r>
        <w:rPr>
          <w:spacing w:val="-17"/>
        </w:rPr>
        <w:t> </w:t>
      </w:r>
      <w:r>
        <w:rPr/>
        <w:t>EPC,</w:t>
      </w:r>
      <w:r>
        <w:rPr>
          <w:spacing w:val="-13"/>
        </w:rPr>
        <w:t> </w:t>
      </w:r>
      <w:r>
        <w:rPr/>
        <w:t>barış</w:t>
      </w:r>
      <w:r>
        <w:rPr>
          <w:spacing w:val="-16"/>
        </w:rPr>
        <w:t> </w:t>
      </w:r>
      <w:r>
        <w:rPr/>
        <w:t>ve</w:t>
      </w:r>
      <w:r>
        <w:rPr>
          <w:spacing w:val="-15"/>
        </w:rPr>
        <w:t> </w:t>
      </w:r>
      <w:r>
        <w:rPr/>
        <w:t>savaş</w:t>
      </w:r>
      <w:r>
        <w:rPr>
          <w:spacing w:val="-11"/>
        </w:rPr>
        <w:t> </w:t>
      </w:r>
      <w:r>
        <w:rPr/>
        <w:t>gibi</w:t>
      </w:r>
      <w:r>
        <w:rPr>
          <w:spacing w:val="-15"/>
        </w:rPr>
        <w:t> </w:t>
      </w:r>
      <w:r>
        <w:rPr/>
        <w:t>durumlarda</w:t>
      </w:r>
      <w:r>
        <w:rPr>
          <w:spacing w:val="-14"/>
        </w:rPr>
        <w:t> </w:t>
      </w:r>
      <w:r>
        <w:rPr/>
        <w:t>acil</w:t>
      </w:r>
      <w:r>
        <w:rPr>
          <w:spacing w:val="-15"/>
        </w:rPr>
        <w:t> </w:t>
      </w:r>
      <w:r>
        <w:rPr/>
        <w:t>durum</w:t>
      </w:r>
      <w:r>
        <w:rPr>
          <w:spacing w:val="-14"/>
        </w:rPr>
        <w:t> </w:t>
      </w:r>
      <w:r>
        <w:rPr/>
        <w:t>hazırlıklarını</w:t>
      </w:r>
      <w:r>
        <w:rPr>
          <w:spacing w:val="-16"/>
        </w:rPr>
        <w:t> </w:t>
      </w:r>
      <w:r>
        <w:rPr/>
        <w:t>koordine ederek, diğer idari birimlerinde hazırlıklarını desteklemekte, araştırma ve eğitim faaliyetlerine destek olmakta, vatandaşları bilinçlendirme alanında çalışmakta yapmaktadır. EPC, afet yardım fonunu da yönetmektedir (Başbakanlık, 1997:</w:t>
      </w:r>
      <w:r>
        <w:rPr>
          <w:spacing w:val="1"/>
        </w:rPr>
        <w:t> </w:t>
      </w:r>
      <w:r>
        <w:rPr/>
        <w:t>34).</w:t>
      </w:r>
    </w:p>
    <w:p>
      <w:pPr>
        <w:spacing w:after="0" w:line="360" w:lineRule="auto"/>
        <w:jc w:val="both"/>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1453" w:right="943"/>
        <w:jc w:val="center"/>
      </w:pPr>
      <w:bookmarkStart w:name="_TOC_250000" w:id="80"/>
      <w:bookmarkEnd w:id="80"/>
      <w:r>
        <w:rPr/>
        <w:t>ÜÇÜNCÜ BÖLÜM</w:t>
      </w:r>
    </w:p>
    <w:p>
      <w:pPr>
        <w:pStyle w:val="BodyText"/>
        <w:rPr>
          <w:b/>
          <w:sz w:val="26"/>
        </w:rPr>
      </w:pPr>
    </w:p>
    <w:p>
      <w:pPr>
        <w:pStyle w:val="BodyText"/>
        <w:spacing w:before="11"/>
        <w:rPr>
          <w:b/>
          <w:sz w:val="21"/>
        </w:rPr>
      </w:pPr>
    </w:p>
    <w:p>
      <w:pPr>
        <w:pStyle w:val="ListParagraph"/>
        <w:numPr>
          <w:ilvl w:val="0"/>
          <w:numId w:val="12"/>
        </w:numPr>
        <w:tabs>
          <w:tab w:pos="2077" w:val="left" w:leader="none"/>
        </w:tabs>
        <w:spacing w:line="360" w:lineRule="auto" w:before="0" w:after="0"/>
        <w:ind w:left="2122" w:right="1140" w:hanging="286"/>
        <w:jc w:val="left"/>
        <w:rPr>
          <w:b/>
          <w:sz w:val="24"/>
        </w:rPr>
      </w:pPr>
      <w:bookmarkStart w:name="_bookmark34" w:id="81"/>
      <w:bookmarkEnd w:id="81"/>
      <w:r>
        <w:rPr/>
      </w:r>
      <w:bookmarkStart w:name="_bookmark34" w:id="82"/>
      <w:bookmarkEnd w:id="82"/>
      <w:r>
        <w:rPr>
          <w:b/>
          <w:sz w:val="24"/>
        </w:rPr>
        <w:t>G</w:t>
      </w:r>
      <w:r>
        <w:rPr>
          <w:b/>
          <w:sz w:val="24"/>
        </w:rPr>
        <w:t>ÜMÜŞHANE İLİ İLGİLİ GENEL BİLGİLER VE GÜMÜŞHANE İLİNİN</w:t>
      </w:r>
      <w:r>
        <w:rPr>
          <w:b/>
          <w:spacing w:val="-1"/>
          <w:sz w:val="24"/>
        </w:rPr>
        <w:t> </w:t>
      </w:r>
      <w:r>
        <w:rPr>
          <w:b/>
          <w:sz w:val="24"/>
        </w:rPr>
        <w:t>AFETSELLİĞİ</w:t>
      </w:r>
    </w:p>
    <w:p>
      <w:pPr>
        <w:pStyle w:val="BodyText"/>
        <w:spacing w:before="10"/>
        <w:rPr>
          <w:b/>
          <w:sz w:val="35"/>
        </w:rPr>
      </w:pPr>
    </w:p>
    <w:p>
      <w:pPr>
        <w:pStyle w:val="Heading1"/>
        <w:numPr>
          <w:ilvl w:val="1"/>
          <w:numId w:val="12"/>
        </w:numPr>
        <w:tabs>
          <w:tab w:pos="2257" w:val="left" w:leader="none"/>
        </w:tabs>
        <w:spacing w:line="240" w:lineRule="auto" w:before="0" w:after="0"/>
        <w:ind w:left="2256" w:right="0" w:hanging="420"/>
        <w:jc w:val="left"/>
      </w:pPr>
      <w:bookmarkStart w:name="_bookmark35" w:id="83"/>
      <w:bookmarkEnd w:id="83"/>
      <w:r>
        <w:rPr>
          <w:b w:val="0"/>
        </w:rPr>
      </w:r>
      <w:bookmarkStart w:name="_bookmark35" w:id="84"/>
      <w:bookmarkEnd w:id="84"/>
      <w:r>
        <w:rPr/>
        <w:t>İlin</w:t>
      </w:r>
      <w:r>
        <w:rPr/>
        <w:t> Genel Durumu ve Coğrafi</w:t>
      </w:r>
      <w:r>
        <w:rPr>
          <w:spacing w:val="-1"/>
        </w:rPr>
        <w:t> </w:t>
      </w:r>
      <w:r>
        <w:rPr/>
        <w:t>Konumu</w:t>
      </w:r>
    </w:p>
    <w:p>
      <w:pPr>
        <w:pStyle w:val="BodyText"/>
        <w:spacing w:line="360" w:lineRule="auto" w:before="135"/>
        <w:ind w:left="1128" w:right="611" w:firstLine="708"/>
        <w:jc w:val="both"/>
      </w:pPr>
      <w:r>
        <w:rPr/>
        <w:t>Gümüşhane</w:t>
      </w:r>
      <w:r>
        <w:rPr>
          <w:spacing w:val="-13"/>
        </w:rPr>
        <w:t> </w:t>
      </w:r>
      <w:r>
        <w:rPr/>
        <w:t>ili</w:t>
      </w:r>
      <w:r>
        <w:rPr>
          <w:spacing w:val="-11"/>
        </w:rPr>
        <w:t> </w:t>
      </w:r>
      <w:r>
        <w:rPr/>
        <w:t>Karadeniz</w:t>
      </w:r>
      <w:r>
        <w:rPr>
          <w:spacing w:val="-7"/>
        </w:rPr>
        <w:t> </w:t>
      </w:r>
      <w:r>
        <w:rPr/>
        <w:t>bölgesinin</w:t>
      </w:r>
      <w:r>
        <w:rPr>
          <w:spacing w:val="-11"/>
        </w:rPr>
        <w:t> </w:t>
      </w:r>
      <w:r>
        <w:rPr/>
        <w:t>doğusunda</w:t>
      </w:r>
      <w:r>
        <w:rPr>
          <w:spacing w:val="-12"/>
        </w:rPr>
        <w:t> </w:t>
      </w:r>
      <w:r>
        <w:rPr/>
        <w:t>bulunmakta</w:t>
      </w:r>
      <w:r>
        <w:rPr>
          <w:spacing w:val="-12"/>
        </w:rPr>
        <w:t> </w:t>
      </w:r>
      <w:r>
        <w:rPr/>
        <w:t>olup</w:t>
      </w:r>
      <w:r>
        <w:rPr>
          <w:spacing w:val="-11"/>
        </w:rPr>
        <w:t> </w:t>
      </w:r>
      <w:r>
        <w:rPr/>
        <w:t>kuzey</w:t>
      </w:r>
      <w:r>
        <w:rPr>
          <w:spacing w:val="-13"/>
        </w:rPr>
        <w:t> </w:t>
      </w:r>
      <w:r>
        <w:rPr/>
        <w:t>kısmında Trabzon, doğu kısmında Bayburt, batı kısmında Giresun ve güneyinde ise Erzincan ili bulunmaktadır. Gümüşhane ili Doğu Karadeniz ve Doğu Anadolu bölgesini birbirine bağlamakta ve bölgenin en önemli geçiş noktasındadır. Bu geçiş noktası Zigana Tüneli ile sağlanmaktadır. Gümüşhane ilinde ulaşım yolu tek karayolu ile sağlanmaktadır. Gümüşhane’nin</w:t>
      </w:r>
      <w:r>
        <w:rPr>
          <w:spacing w:val="12"/>
        </w:rPr>
        <w:t> </w:t>
      </w:r>
      <w:r>
        <w:rPr/>
        <w:t>enlem</w:t>
      </w:r>
      <w:r>
        <w:rPr>
          <w:spacing w:val="12"/>
        </w:rPr>
        <w:t> </w:t>
      </w:r>
      <w:r>
        <w:rPr/>
        <w:t>ve</w:t>
      </w:r>
      <w:r>
        <w:rPr>
          <w:spacing w:val="12"/>
        </w:rPr>
        <w:t> </w:t>
      </w:r>
      <w:r>
        <w:rPr/>
        <w:t>boylam</w:t>
      </w:r>
      <w:r>
        <w:rPr>
          <w:spacing w:val="12"/>
        </w:rPr>
        <w:t> </w:t>
      </w:r>
      <w:r>
        <w:rPr/>
        <w:t>olarak</w:t>
      </w:r>
      <w:r>
        <w:rPr>
          <w:spacing w:val="15"/>
        </w:rPr>
        <w:t> </w:t>
      </w:r>
      <w:r>
        <w:rPr/>
        <w:t>coğrafi</w:t>
      </w:r>
      <w:r>
        <w:rPr>
          <w:spacing w:val="14"/>
        </w:rPr>
        <w:t> </w:t>
      </w:r>
      <w:r>
        <w:rPr/>
        <w:t>konumuna</w:t>
      </w:r>
      <w:r>
        <w:rPr>
          <w:spacing w:val="11"/>
        </w:rPr>
        <w:t> </w:t>
      </w:r>
      <w:r>
        <w:rPr/>
        <w:t>bakıldığında</w:t>
      </w:r>
      <w:r>
        <w:rPr>
          <w:spacing w:val="12"/>
        </w:rPr>
        <w:t> </w:t>
      </w:r>
      <w:r>
        <w:rPr/>
        <w:t>ise,</w:t>
      </w:r>
      <w:r>
        <w:rPr>
          <w:spacing w:val="12"/>
        </w:rPr>
        <w:t> </w:t>
      </w:r>
      <w:r>
        <w:rPr/>
        <w:t>ilin</w:t>
      </w:r>
      <w:r>
        <w:rPr>
          <w:spacing w:val="13"/>
        </w:rPr>
        <w:t> </w:t>
      </w:r>
      <w:r>
        <w:rPr/>
        <w:t>38</w:t>
      </w:r>
      <w:r>
        <w:rPr>
          <w:spacing w:val="12"/>
        </w:rPr>
        <w:t> </w:t>
      </w:r>
      <w:r>
        <w:rPr/>
        <w:t>ile</w:t>
      </w:r>
    </w:p>
    <w:p>
      <w:pPr>
        <w:pStyle w:val="BodyText"/>
        <w:spacing w:line="360" w:lineRule="auto" w:before="1"/>
        <w:ind w:left="1128" w:right="612"/>
        <w:jc w:val="both"/>
      </w:pPr>
      <w:r>
        <w:rPr/>
        <w:t>40 derece doğu boylamları ile 39 ile 40 derece kuzey enlemleri arasında kaldığı görülmektedir. İlin toplam yüz ölçümü 6.575 kilometre kare olup, ortalama olarak deniz seviyesinde yüksekliği 1.210 metredir (</w:t>
      </w:r>
      <w:hyperlink r:id="rId25">
        <w:r>
          <w:rPr/>
          <w:t>www.gumushane.gov.tr</w:t>
        </w:r>
      </w:hyperlink>
      <w:r>
        <w:rPr/>
        <w:t>, 2018).</w:t>
      </w:r>
    </w:p>
    <w:p>
      <w:pPr>
        <w:pStyle w:val="BodyText"/>
        <w:spacing w:line="275" w:lineRule="exact"/>
        <w:ind w:left="1836"/>
      </w:pPr>
      <w:r>
        <w:rPr/>
        <w:t>Gümüşhane ilinin merkez ve ilçeleri haritası Şekil 3. 1’de gösterilmiştir.</w:t>
      </w:r>
    </w:p>
    <w:p>
      <w:pPr>
        <w:pStyle w:val="BodyText"/>
        <w:rPr>
          <w:sz w:val="26"/>
        </w:rPr>
      </w:pPr>
    </w:p>
    <w:p>
      <w:pPr>
        <w:pStyle w:val="BodyText"/>
        <w:spacing w:before="11"/>
        <w:rPr>
          <w:sz w:val="25"/>
        </w:rPr>
      </w:pPr>
    </w:p>
    <w:p>
      <w:pPr>
        <w:pStyle w:val="Heading1"/>
        <w:ind w:left="3183"/>
      </w:pPr>
      <w:r>
        <w:rPr/>
        <w:t>Şekil 3. 1. Gümüşhane Merkez ve İlçeleri Haritası</w:t>
      </w:r>
    </w:p>
    <w:p>
      <w:pPr>
        <w:pStyle w:val="BodyText"/>
        <w:spacing w:before="7"/>
        <w:rPr>
          <w:b/>
          <w:sz w:val="12"/>
        </w:rPr>
      </w:pPr>
      <w:r>
        <w:rPr/>
        <w:drawing>
          <wp:anchor distT="0" distB="0" distL="0" distR="0" allowOverlap="1" layoutInCell="1" locked="0" behindDoc="1" simplePos="0" relativeHeight="268434623">
            <wp:simplePos x="0" y="0"/>
            <wp:positionH relativeFrom="page">
              <wp:posOffset>1440180</wp:posOffset>
            </wp:positionH>
            <wp:positionV relativeFrom="paragraph">
              <wp:posOffset>117146</wp:posOffset>
            </wp:positionV>
            <wp:extent cx="5454177" cy="2350960"/>
            <wp:effectExtent l="0" t="0" r="0" b="0"/>
            <wp:wrapTopAndBottom/>
            <wp:docPr id="13" name="image9.jpeg" descr=""/>
            <wp:cNvGraphicFramePr>
              <a:graphicFrameLocks noChangeAspect="1"/>
            </wp:cNvGraphicFramePr>
            <a:graphic>
              <a:graphicData uri="http://schemas.openxmlformats.org/drawingml/2006/picture">
                <pic:pic>
                  <pic:nvPicPr>
                    <pic:cNvPr id="14" name="image9.jpeg"/>
                    <pic:cNvPicPr/>
                  </pic:nvPicPr>
                  <pic:blipFill>
                    <a:blip r:embed="rId26" cstate="print"/>
                    <a:stretch>
                      <a:fillRect/>
                    </a:stretch>
                  </pic:blipFill>
                  <pic:spPr>
                    <a:xfrm>
                      <a:off x="0" y="0"/>
                      <a:ext cx="5454177" cy="2350960"/>
                    </a:xfrm>
                    <a:prstGeom prst="rect">
                      <a:avLst/>
                    </a:prstGeom>
                  </pic:spPr>
                </pic:pic>
              </a:graphicData>
            </a:graphic>
          </wp:anchor>
        </w:drawing>
      </w:r>
    </w:p>
    <w:p>
      <w:pPr>
        <w:spacing w:before="168"/>
        <w:ind w:left="1188" w:right="0" w:firstLine="0"/>
        <w:jc w:val="both"/>
        <w:rPr>
          <w:sz w:val="20"/>
        </w:rPr>
      </w:pPr>
      <w:r>
        <w:rPr>
          <w:b/>
          <w:sz w:val="20"/>
        </w:rPr>
        <w:t>Kaynak: </w:t>
      </w:r>
      <w:r>
        <w:rPr>
          <w:sz w:val="20"/>
        </w:rPr>
        <w:t>Bayrak vd., 2010: 2</w:t>
      </w:r>
    </w:p>
    <w:p>
      <w:pPr>
        <w:spacing w:after="0"/>
        <w:jc w:val="both"/>
        <w:rPr>
          <w:sz w:val="20"/>
        </w:rPr>
        <w:sectPr>
          <w:pgSz w:w="11910" w:h="16840"/>
          <w:pgMar w:header="0" w:footer="976" w:top="1580" w:bottom="1240" w:left="1140" w:right="520"/>
        </w:sectPr>
      </w:pPr>
    </w:p>
    <w:p>
      <w:pPr>
        <w:pStyle w:val="BodyText"/>
        <w:spacing w:line="360" w:lineRule="auto" w:before="98"/>
        <w:ind w:left="1128" w:right="608" w:firstLine="708"/>
        <w:jc w:val="both"/>
      </w:pPr>
      <w:r>
        <w:rPr/>
        <w:t>Gümüşhane ilinin yeryüzü şekillerinin %60’lık kısmını dağlar, %29’luk kısmını platolar ve %11’lik kısmını ise ovalar oluşturur. İlin kuzey bölgesinde yer alan Merkez, Kürtün ve Torul ilçeleri topografik yönden çok fazla engebeli iken Köse, Şiran ve</w:t>
      </w:r>
      <w:r>
        <w:rPr>
          <w:spacing w:val="-30"/>
        </w:rPr>
        <w:t> </w:t>
      </w:r>
      <w:r>
        <w:rPr/>
        <w:t>Kelkit ilçeleri platolar özelliğinde yerlerdir. Gümüşhane’de bulunan ünlü yaylalar bu iki kesim arasında bulunmaktadır. Gümüşhane’de bulunan en önemli ovalar yaklaşık 280 km²</w:t>
      </w:r>
      <w:r>
        <w:rPr>
          <w:spacing w:val="-41"/>
        </w:rPr>
        <w:t> </w:t>
      </w:r>
      <w:r>
        <w:rPr/>
        <w:t>olan Kelkit</w:t>
      </w:r>
      <w:r>
        <w:rPr>
          <w:spacing w:val="-4"/>
        </w:rPr>
        <w:t> </w:t>
      </w:r>
      <w:r>
        <w:rPr/>
        <w:t>ovası</w:t>
      </w:r>
      <w:r>
        <w:rPr>
          <w:spacing w:val="-3"/>
        </w:rPr>
        <w:t> </w:t>
      </w:r>
      <w:r>
        <w:rPr/>
        <w:t>ve</w:t>
      </w:r>
      <w:r>
        <w:rPr>
          <w:spacing w:val="-5"/>
        </w:rPr>
        <w:t> </w:t>
      </w:r>
      <w:r>
        <w:rPr/>
        <w:t>256</w:t>
      </w:r>
      <w:r>
        <w:rPr>
          <w:spacing w:val="-4"/>
        </w:rPr>
        <w:t> </w:t>
      </w:r>
      <w:r>
        <w:rPr/>
        <w:t>km²</w:t>
      </w:r>
      <w:r>
        <w:rPr>
          <w:spacing w:val="-2"/>
        </w:rPr>
        <w:t> </w:t>
      </w:r>
      <w:r>
        <w:rPr/>
        <w:t>olan</w:t>
      </w:r>
      <w:r>
        <w:rPr>
          <w:spacing w:val="-4"/>
        </w:rPr>
        <w:t> </w:t>
      </w:r>
      <w:r>
        <w:rPr/>
        <w:t>Şiran</w:t>
      </w:r>
      <w:r>
        <w:rPr>
          <w:spacing w:val="-5"/>
        </w:rPr>
        <w:t> </w:t>
      </w:r>
      <w:r>
        <w:rPr/>
        <w:t>ovasıdır.</w:t>
      </w:r>
      <w:r>
        <w:rPr>
          <w:spacing w:val="-5"/>
        </w:rPr>
        <w:t> </w:t>
      </w:r>
      <w:r>
        <w:rPr/>
        <w:t>Şehrin</w:t>
      </w:r>
      <w:r>
        <w:rPr>
          <w:spacing w:val="-4"/>
        </w:rPr>
        <w:t> </w:t>
      </w:r>
      <w:r>
        <w:rPr/>
        <w:t>en</w:t>
      </w:r>
      <w:r>
        <w:rPr>
          <w:spacing w:val="-1"/>
        </w:rPr>
        <w:t> </w:t>
      </w:r>
      <w:r>
        <w:rPr/>
        <w:t>yüksek</w:t>
      </w:r>
      <w:r>
        <w:rPr>
          <w:spacing w:val="-4"/>
        </w:rPr>
        <w:t> </w:t>
      </w:r>
      <w:r>
        <w:rPr/>
        <w:t>noktası</w:t>
      </w:r>
      <w:r>
        <w:rPr>
          <w:spacing w:val="-4"/>
        </w:rPr>
        <w:t> </w:t>
      </w:r>
      <w:r>
        <w:rPr/>
        <w:t>ise</w:t>
      </w:r>
      <w:r>
        <w:rPr>
          <w:spacing w:val="-5"/>
        </w:rPr>
        <w:t> </w:t>
      </w:r>
      <w:r>
        <w:rPr/>
        <w:t>3.331</w:t>
      </w:r>
      <w:r>
        <w:rPr>
          <w:spacing w:val="-4"/>
        </w:rPr>
        <w:t> </w:t>
      </w:r>
      <w:r>
        <w:rPr/>
        <w:t>metre</w:t>
      </w:r>
      <w:r>
        <w:rPr>
          <w:spacing w:val="-3"/>
        </w:rPr>
        <w:t> </w:t>
      </w:r>
      <w:r>
        <w:rPr/>
        <w:t>ile Abdal Musa Tepesidir. Gümüşhane’de dağlar çok fazla alanı kapladığı için engebeli bir yapıya sahiptir (TUİK, 2014: 7; Özmenli, 1996:</w:t>
      </w:r>
      <w:r>
        <w:rPr>
          <w:spacing w:val="-1"/>
        </w:rPr>
        <w:t> </w:t>
      </w:r>
      <w:r>
        <w:rPr/>
        <w:t>5).</w:t>
      </w:r>
    </w:p>
    <w:p>
      <w:pPr>
        <w:pStyle w:val="BodyText"/>
        <w:spacing w:line="360" w:lineRule="auto"/>
        <w:ind w:left="1128" w:right="608" w:firstLine="708"/>
        <w:jc w:val="both"/>
      </w:pPr>
      <w:r>
        <w:rPr/>
        <w:t>Gümüşhane ili her yönüyle geçiş noktası olduğu gibi iklim özellikleri yönünden de Karadeniz ile Doğu Anadolu arasında geçiş noktası oluşturmaktadır. Zigana duvarları ile Karadeniz’in nemli havasına set çekip kop engeli ile Doğun Anadolu Bölgesinin aşırı soğuklarının geçişini engelleyen Gümüşhane ili dünyada nadiren bulunan hoş bir iklim özelliğine sahiptir. Gümüşhane Doğu Karadeniz Bölgesinin iç kısmında 39-41° Doğu Boylamları, 40-41° Kuzey Enlemleri arasında karasal bir iklime sahiptir ( </w:t>
      </w:r>
      <w:hyperlink r:id="rId25">
        <w:r>
          <w:rPr/>
          <w:t>www.gumushane.gov.tr, </w:t>
        </w:r>
      </w:hyperlink>
      <w:r>
        <w:rPr/>
        <w:t>2018).</w:t>
      </w:r>
    </w:p>
    <w:p>
      <w:pPr>
        <w:pStyle w:val="BodyText"/>
        <w:spacing w:line="360" w:lineRule="auto"/>
        <w:ind w:left="1128" w:right="610" w:firstLine="708"/>
        <w:jc w:val="both"/>
      </w:pPr>
      <w:r>
        <w:rPr/>
        <w:t>Gümüşhane’de 1961 ve 2016 yılları arasındaki iklim periyoduna göre, en düşük sıcaklık 22.02.1985 tarihinde -25.7 °C ve en yüksek sıcaklık ise 30.02.2000 tarihindeki 41 °C olarak ölçülmüştür. Yıllık olarak ortalama yağış miktarı oranı 464,2 mm,</w:t>
      </w:r>
      <w:r>
        <w:rPr>
          <w:spacing w:val="-40"/>
        </w:rPr>
        <w:t> </w:t>
      </w:r>
      <w:r>
        <w:rPr/>
        <w:t>ortalama olarak yağışlı gün sayısı 117,2, yıllık ortalama en düşük sıcaklık 4.2 °C, en yüksek sıcaklık</w:t>
      </w:r>
      <w:r>
        <w:rPr>
          <w:spacing w:val="-5"/>
        </w:rPr>
        <w:t> </w:t>
      </w:r>
      <w:r>
        <w:rPr/>
        <w:t>ise</w:t>
      </w:r>
      <w:r>
        <w:rPr>
          <w:spacing w:val="-5"/>
        </w:rPr>
        <w:t> </w:t>
      </w:r>
      <w:r>
        <w:rPr/>
        <w:t>16.2</w:t>
      </w:r>
      <w:r>
        <w:rPr>
          <w:spacing w:val="-4"/>
        </w:rPr>
        <w:t> </w:t>
      </w:r>
      <w:r>
        <w:rPr/>
        <w:t>°C</w:t>
      </w:r>
      <w:r>
        <w:rPr>
          <w:spacing w:val="-7"/>
        </w:rPr>
        <w:t> </w:t>
      </w:r>
      <w:r>
        <w:rPr/>
        <w:t>ortalama</w:t>
      </w:r>
      <w:r>
        <w:rPr>
          <w:spacing w:val="-6"/>
        </w:rPr>
        <w:t> </w:t>
      </w:r>
      <w:r>
        <w:rPr/>
        <w:t>sıcaklık</w:t>
      </w:r>
      <w:r>
        <w:rPr>
          <w:spacing w:val="-5"/>
        </w:rPr>
        <w:t> </w:t>
      </w:r>
      <w:r>
        <w:rPr/>
        <w:t>9.7</w:t>
      </w:r>
      <w:r>
        <w:rPr>
          <w:spacing w:val="-4"/>
        </w:rPr>
        <w:t> </w:t>
      </w:r>
      <w:r>
        <w:rPr/>
        <w:t>°C’dir.</w:t>
      </w:r>
      <w:r>
        <w:rPr>
          <w:spacing w:val="-7"/>
        </w:rPr>
        <w:t> </w:t>
      </w:r>
      <w:r>
        <w:rPr/>
        <w:t>En</w:t>
      </w:r>
      <w:r>
        <w:rPr>
          <w:spacing w:val="-5"/>
        </w:rPr>
        <w:t> </w:t>
      </w:r>
      <w:r>
        <w:rPr/>
        <w:t>soğuk</w:t>
      </w:r>
      <w:r>
        <w:rPr>
          <w:spacing w:val="-5"/>
        </w:rPr>
        <w:t> </w:t>
      </w:r>
      <w:r>
        <w:rPr/>
        <w:t>aylar</w:t>
      </w:r>
      <w:r>
        <w:rPr>
          <w:spacing w:val="-6"/>
        </w:rPr>
        <w:t> </w:t>
      </w:r>
      <w:r>
        <w:rPr/>
        <w:t>Ocak</w:t>
      </w:r>
      <w:r>
        <w:rPr>
          <w:spacing w:val="-5"/>
        </w:rPr>
        <w:t> </w:t>
      </w:r>
      <w:r>
        <w:rPr/>
        <w:t>ve</w:t>
      </w:r>
      <w:r>
        <w:rPr>
          <w:spacing w:val="-6"/>
        </w:rPr>
        <w:t> </w:t>
      </w:r>
      <w:r>
        <w:rPr/>
        <w:t>Şubat</w:t>
      </w:r>
      <w:r>
        <w:rPr>
          <w:spacing w:val="-4"/>
        </w:rPr>
        <w:t> </w:t>
      </w:r>
      <w:r>
        <w:rPr/>
        <w:t>aylarıdır. En sıcak aylar ise Temmuz ve Ağustostur (</w:t>
      </w:r>
      <w:hyperlink r:id="rId27">
        <w:r>
          <w:rPr/>
          <w:t>www.mgm.gov.tr</w:t>
        </w:r>
      </w:hyperlink>
      <w:r>
        <w:rPr/>
        <w:t>,</w:t>
      </w:r>
      <w:r>
        <w:rPr>
          <w:spacing w:val="-5"/>
        </w:rPr>
        <w:t> </w:t>
      </w:r>
      <w:r>
        <w:rPr/>
        <w:t>2018).</w:t>
      </w:r>
    </w:p>
    <w:p>
      <w:pPr>
        <w:pStyle w:val="BodyText"/>
        <w:spacing w:before="4"/>
        <w:rPr>
          <w:sz w:val="36"/>
        </w:rPr>
      </w:pPr>
    </w:p>
    <w:p>
      <w:pPr>
        <w:pStyle w:val="Heading1"/>
        <w:numPr>
          <w:ilvl w:val="1"/>
          <w:numId w:val="12"/>
        </w:numPr>
        <w:tabs>
          <w:tab w:pos="2257" w:val="left" w:leader="none"/>
        </w:tabs>
        <w:spacing w:line="240" w:lineRule="auto" w:before="0" w:after="0"/>
        <w:ind w:left="2256" w:right="0" w:hanging="420"/>
        <w:jc w:val="left"/>
      </w:pPr>
      <w:bookmarkStart w:name="_bookmark36" w:id="85"/>
      <w:bookmarkEnd w:id="85"/>
      <w:r>
        <w:rPr>
          <w:b w:val="0"/>
        </w:rPr>
      </w:r>
      <w:bookmarkStart w:name="_bookmark36" w:id="86"/>
      <w:bookmarkEnd w:id="86"/>
      <w:r>
        <w:rPr/>
        <w:t>G</w:t>
      </w:r>
      <w:r>
        <w:rPr/>
        <w:t>ümüşhane İlinin Afetselliği ve Afet</w:t>
      </w:r>
      <w:r>
        <w:rPr>
          <w:spacing w:val="-4"/>
        </w:rPr>
        <w:t> </w:t>
      </w:r>
      <w:r>
        <w:rPr/>
        <w:t>Geçmişi</w:t>
      </w:r>
    </w:p>
    <w:p>
      <w:pPr>
        <w:pStyle w:val="BodyText"/>
        <w:rPr>
          <w:b/>
          <w:sz w:val="26"/>
        </w:rPr>
      </w:pPr>
    </w:p>
    <w:p>
      <w:pPr>
        <w:pStyle w:val="BodyText"/>
        <w:rPr>
          <w:b/>
          <w:sz w:val="22"/>
        </w:rPr>
      </w:pPr>
    </w:p>
    <w:p>
      <w:pPr>
        <w:pStyle w:val="Heading1"/>
        <w:numPr>
          <w:ilvl w:val="2"/>
          <w:numId w:val="12"/>
        </w:numPr>
        <w:tabs>
          <w:tab w:pos="2437" w:val="left" w:leader="none"/>
        </w:tabs>
        <w:spacing w:line="240" w:lineRule="auto" w:before="0" w:after="0"/>
        <w:ind w:left="2436" w:right="0" w:hanging="600"/>
        <w:jc w:val="left"/>
      </w:pPr>
      <w:bookmarkStart w:name="_bookmark37" w:id="87"/>
      <w:bookmarkEnd w:id="87"/>
      <w:r>
        <w:rPr>
          <w:b w:val="0"/>
        </w:rPr>
      </w:r>
      <w:bookmarkStart w:name="_bookmark37" w:id="88"/>
      <w:bookmarkEnd w:id="88"/>
      <w:r>
        <w:rPr/>
        <w:t>D</w:t>
      </w:r>
      <w:r>
        <w:rPr/>
        <w:t>eprem</w:t>
      </w:r>
    </w:p>
    <w:p>
      <w:pPr>
        <w:pStyle w:val="BodyText"/>
        <w:spacing w:line="360" w:lineRule="auto" w:before="134"/>
        <w:ind w:left="1128" w:right="608" w:firstLine="708"/>
        <w:jc w:val="both"/>
      </w:pPr>
      <w:r>
        <w:rPr/>
        <w:t>İl Afet ve Acil Durum Müdürlüğü’nden alınan bilgilere göre Gümüşhane ili; güney kısmından geçen Kuzey Anadolu Fayına (KAF) yakın bir bölgede bulunmaktadır. Doğu Anadolu Fay (DAF) hattının bir uzantısı olan KAF, Kelkit’e 70 km uzaklıkta yer almaktadır. Bu nedenle Erzincan’da meydana gelen bütün depremler Gümüşhane’yi (daha çok Kelkit, Şiran ve köylerini) etkilemiş olup, can ve mal kaybına sebep olmuştur. Gümüşhane İlinde Kelkit ve Şiran 1. derece, Köse 2. derece, Merkez ve Torul 3. derece,</w:t>
      </w:r>
    </w:p>
    <w:p>
      <w:pPr>
        <w:spacing w:after="0" w:line="360" w:lineRule="auto"/>
        <w:jc w:val="both"/>
        <w:sectPr>
          <w:pgSz w:w="11910" w:h="16840"/>
          <w:pgMar w:header="0" w:footer="976" w:top="1580" w:bottom="1240" w:left="1140" w:right="520"/>
        </w:sectPr>
      </w:pPr>
    </w:p>
    <w:p>
      <w:pPr>
        <w:pStyle w:val="BodyText"/>
        <w:spacing w:line="360" w:lineRule="auto" w:before="98"/>
        <w:ind w:left="1128" w:right="613"/>
      </w:pPr>
      <w:r>
        <w:rPr/>
        <w:t>Kürtün ise 4. derece deprem bölgesinde yer almaktadır (</w:t>
      </w:r>
      <w:hyperlink r:id="rId28">
        <w:r>
          <w:rPr/>
          <w:t>https://gumushane.afad.gov.tr/</w:t>
        </w:r>
      </w:hyperlink>
      <w:r>
        <w:rPr/>
        <w:t>, 2018).</w:t>
      </w:r>
    </w:p>
    <w:p>
      <w:pPr>
        <w:pStyle w:val="BodyText"/>
        <w:ind w:left="1836"/>
      </w:pPr>
      <w:r>
        <w:rPr/>
        <w:t>Gümüşhane ilinin deprem bölge haritası Şekil 3. 2’de gösterilmiştir.</w:t>
      </w:r>
    </w:p>
    <w:p>
      <w:pPr>
        <w:pStyle w:val="BodyText"/>
        <w:rPr>
          <w:sz w:val="26"/>
        </w:rPr>
      </w:pPr>
    </w:p>
    <w:p>
      <w:pPr>
        <w:pStyle w:val="BodyText"/>
        <w:spacing w:before="4"/>
        <w:rPr>
          <w:sz w:val="22"/>
        </w:rPr>
      </w:pPr>
    </w:p>
    <w:p>
      <w:pPr>
        <w:pStyle w:val="Heading1"/>
        <w:spacing w:before="1"/>
        <w:ind w:left="3344"/>
      </w:pPr>
      <w:r>
        <w:rPr/>
        <w:t>Şekil 3. 2. Gümüşhane Deprem Haritası</w:t>
      </w:r>
    </w:p>
    <w:p>
      <w:pPr>
        <w:pStyle w:val="BodyText"/>
        <w:rPr>
          <w:b/>
          <w:sz w:val="20"/>
        </w:rPr>
      </w:pPr>
    </w:p>
    <w:p>
      <w:pPr>
        <w:pStyle w:val="BodyText"/>
        <w:rPr>
          <w:b/>
          <w:sz w:val="20"/>
        </w:rPr>
      </w:pPr>
    </w:p>
    <w:p>
      <w:pPr>
        <w:pStyle w:val="BodyText"/>
        <w:rPr>
          <w:b/>
          <w:sz w:val="20"/>
        </w:rPr>
      </w:pPr>
    </w:p>
    <w:p>
      <w:pPr>
        <w:pStyle w:val="BodyText"/>
        <w:spacing w:before="3"/>
        <w:rPr>
          <w:b/>
          <w:sz w:val="28"/>
        </w:rPr>
      </w:pPr>
      <w:r>
        <w:rPr/>
        <w:drawing>
          <wp:anchor distT="0" distB="0" distL="0" distR="0" allowOverlap="1" layoutInCell="1" locked="0" behindDoc="1" simplePos="0" relativeHeight="268434647">
            <wp:simplePos x="0" y="0"/>
            <wp:positionH relativeFrom="page">
              <wp:posOffset>1440180</wp:posOffset>
            </wp:positionH>
            <wp:positionV relativeFrom="paragraph">
              <wp:posOffset>231154</wp:posOffset>
            </wp:positionV>
            <wp:extent cx="5120497" cy="2840545"/>
            <wp:effectExtent l="0" t="0" r="0" b="0"/>
            <wp:wrapTopAndBottom/>
            <wp:docPr id="15" name="image10.jpeg" descr=""/>
            <wp:cNvGraphicFramePr>
              <a:graphicFrameLocks noChangeAspect="1"/>
            </wp:cNvGraphicFramePr>
            <a:graphic>
              <a:graphicData uri="http://schemas.openxmlformats.org/drawingml/2006/picture">
                <pic:pic>
                  <pic:nvPicPr>
                    <pic:cNvPr id="16" name="image10.jpeg"/>
                    <pic:cNvPicPr/>
                  </pic:nvPicPr>
                  <pic:blipFill>
                    <a:blip r:embed="rId29" cstate="print"/>
                    <a:stretch>
                      <a:fillRect/>
                    </a:stretch>
                  </pic:blipFill>
                  <pic:spPr>
                    <a:xfrm>
                      <a:off x="0" y="0"/>
                      <a:ext cx="5120497" cy="2840545"/>
                    </a:xfrm>
                    <a:prstGeom prst="rect">
                      <a:avLst/>
                    </a:prstGeom>
                  </pic:spPr>
                </pic:pic>
              </a:graphicData>
            </a:graphic>
          </wp:anchor>
        </w:drawing>
      </w:r>
    </w:p>
    <w:p>
      <w:pPr>
        <w:pStyle w:val="BodyText"/>
        <w:spacing w:before="11"/>
        <w:rPr>
          <w:b/>
          <w:sz w:val="33"/>
        </w:rPr>
      </w:pPr>
    </w:p>
    <w:p>
      <w:pPr>
        <w:spacing w:before="0"/>
        <w:ind w:left="1128" w:right="0" w:firstLine="0"/>
        <w:jc w:val="left"/>
        <w:rPr>
          <w:sz w:val="20"/>
        </w:rPr>
      </w:pPr>
      <w:r>
        <w:rPr>
          <w:b/>
          <w:sz w:val="20"/>
        </w:rPr>
        <w:t>Kaynak: </w:t>
      </w:r>
      <w:hyperlink r:id="rId14">
        <w:r>
          <w:rPr>
            <w:sz w:val="20"/>
          </w:rPr>
          <w:t>http://www.deprem.gov.tr/, </w:t>
        </w:r>
      </w:hyperlink>
      <w:r>
        <w:rPr>
          <w:sz w:val="20"/>
        </w:rPr>
        <w:t>2019</w:t>
      </w:r>
    </w:p>
    <w:p>
      <w:pPr>
        <w:pStyle w:val="BodyText"/>
        <w:rPr>
          <w:sz w:val="22"/>
        </w:rPr>
      </w:pPr>
    </w:p>
    <w:p>
      <w:pPr>
        <w:pStyle w:val="BodyText"/>
        <w:spacing w:before="5"/>
        <w:rPr>
          <w:sz w:val="29"/>
        </w:rPr>
      </w:pPr>
    </w:p>
    <w:p>
      <w:pPr>
        <w:pStyle w:val="BodyText"/>
        <w:spacing w:line="360" w:lineRule="auto"/>
        <w:ind w:left="1128" w:right="609" w:firstLine="708"/>
        <w:jc w:val="both"/>
      </w:pPr>
      <w:r>
        <w:rPr/>
        <w:t>Gümüşhane</w:t>
      </w:r>
      <w:r>
        <w:rPr>
          <w:spacing w:val="-9"/>
        </w:rPr>
        <w:t> </w:t>
      </w:r>
      <w:r>
        <w:rPr/>
        <w:t>ilinde</w:t>
      </w:r>
      <w:r>
        <w:rPr>
          <w:spacing w:val="-9"/>
        </w:rPr>
        <w:t> </w:t>
      </w:r>
      <w:r>
        <w:rPr/>
        <w:t>şehir</w:t>
      </w:r>
      <w:r>
        <w:rPr>
          <w:spacing w:val="-8"/>
        </w:rPr>
        <w:t> </w:t>
      </w:r>
      <w:r>
        <w:rPr/>
        <w:t>merkezinin</w:t>
      </w:r>
      <w:r>
        <w:rPr>
          <w:spacing w:val="-8"/>
        </w:rPr>
        <w:t> </w:t>
      </w:r>
      <w:r>
        <w:rPr/>
        <w:t>bulunduğu</w:t>
      </w:r>
      <w:r>
        <w:rPr>
          <w:spacing w:val="-7"/>
        </w:rPr>
        <w:t> </w:t>
      </w:r>
      <w:r>
        <w:rPr/>
        <w:t>alanın</w:t>
      </w:r>
      <w:r>
        <w:rPr>
          <w:spacing w:val="-8"/>
        </w:rPr>
        <w:t> </w:t>
      </w:r>
      <w:r>
        <w:rPr/>
        <w:t>genellikle</w:t>
      </w:r>
      <w:r>
        <w:rPr>
          <w:spacing w:val="-9"/>
        </w:rPr>
        <w:t> </w:t>
      </w:r>
      <w:r>
        <w:rPr/>
        <w:t>sağlam</w:t>
      </w:r>
      <w:r>
        <w:rPr>
          <w:spacing w:val="-5"/>
        </w:rPr>
        <w:t> </w:t>
      </w:r>
      <w:r>
        <w:rPr/>
        <w:t>granit</w:t>
      </w:r>
      <w:r>
        <w:rPr>
          <w:spacing w:val="-8"/>
        </w:rPr>
        <w:t> </w:t>
      </w:r>
      <w:r>
        <w:rPr/>
        <w:t>bir zeminde bulunduğu ve olası bir depremden fazla etkilenmeyeceği ancak Kelkit’te Harşit Çayı boyunca alüvyonlar üzerine inşa edilen yapılar olası bir depremden en fazla etkilenecek olan alanlar olduğu belirtilmektedir (</w:t>
      </w:r>
      <w:hyperlink r:id="rId30">
        <w:r>
          <w:rPr/>
          <w:t>www.gumushane.afad.gov.tr/</w:t>
        </w:r>
      </w:hyperlink>
      <w:r>
        <w:rPr/>
        <w:t>,</w:t>
      </w:r>
      <w:r>
        <w:rPr>
          <w:spacing w:val="-5"/>
        </w:rPr>
        <w:t> </w:t>
      </w:r>
      <w:r>
        <w:rPr/>
        <w:t>2018).</w:t>
      </w:r>
    </w:p>
    <w:p>
      <w:pPr>
        <w:pStyle w:val="BodyText"/>
        <w:spacing w:line="360" w:lineRule="auto" w:before="1"/>
        <w:ind w:left="1128" w:right="611" w:firstLine="708"/>
        <w:jc w:val="both"/>
      </w:pPr>
      <w:r>
        <w:rPr/>
        <w:t>Gümüşhane İl AFAD Müdürlüğü verilerine göre, Gümüşhane ili Cumhuriyet Dönemi</w:t>
      </w:r>
      <w:r>
        <w:rPr>
          <w:spacing w:val="-11"/>
        </w:rPr>
        <w:t> </w:t>
      </w:r>
      <w:r>
        <w:rPr/>
        <w:t>öncesinde,</w:t>
      </w:r>
      <w:r>
        <w:rPr>
          <w:spacing w:val="-12"/>
        </w:rPr>
        <w:t> </w:t>
      </w:r>
      <w:r>
        <w:rPr/>
        <w:t>Erzincan’da</w:t>
      </w:r>
      <w:r>
        <w:rPr>
          <w:spacing w:val="-11"/>
        </w:rPr>
        <w:t> </w:t>
      </w:r>
      <w:r>
        <w:rPr/>
        <w:t>1584</w:t>
      </w:r>
      <w:r>
        <w:rPr>
          <w:spacing w:val="-7"/>
        </w:rPr>
        <w:t> </w:t>
      </w:r>
      <w:r>
        <w:rPr/>
        <w:t>yılında</w:t>
      </w:r>
      <w:r>
        <w:rPr>
          <w:spacing w:val="-9"/>
        </w:rPr>
        <w:t> </w:t>
      </w:r>
      <w:r>
        <w:rPr/>
        <w:t>7,0,</w:t>
      </w:r>
      <w:r>
        <w:rPr>
          <w:spacing w:val="-10"/>
        </w:rPr>
        <w:t> </w:t>
      </w:r>
      <w:r>
        <w:rPr/>
        <w:t>1875</w:t>
      </w:r>
      <w:r>
        <w:rPr>
          <w:spacing w:val="-10"/>
        </w:rPr>
        <w:t> </w:t>
      </w:r>
      <w:r>
        <w:rPr/>
        <w:t>yılında</w:t>
      </w:r>
      <w:r>
        <w:rPr>
          <w:spacing w:val="-11"/>
        </w:rPr>
        <w:t> </w:t>
      </w:r>
      <w:r>
        <w:rPr/>
        <w:t>7,4</w:t>
      </w:r>
      <w:r>
        <w:rPr>
          <w:spacing w:val="-12"/>
        </w:rPr>
        <w:t> </w:t>
      </w:r>
      <w:r>
        <w:rPr/>
        <w:t>ve</w:t>
      </w:r>
      <w:r>
        <w:rPr>
          <w:spacing w:val="-12"/>
        </w:rPr>
        <w:t> </w:t>
      </w:r>
      <w:r>
        <w:rPr/>
        <w:t>1890</w:t>
      </w:r>
      <w:r>
        <w:rPr>
          <w:spacing w:val="-10"/>
        </w:rPr>
        <w:t> </w:t>
      </w:r>
      <w:r>
        <w:rPr/>
        <w:t>yılında</w:t>
      </w:r>
      <w:r>
        <w:rPr>
          <w:spacing w:val="-12"/>
        </w:rPr>
        <w:t> </w:t>
      </w:r>
      <w:r>
        <w:rPr/>
        <w:t>ise</w:t>
      </w:r>
      <w:r>
        <w:rPr>
          <w:spacing w:val="-11"/>
        </w:rPr>
        <w:t> </w:t>
      </w:r>
      <w:r>
        <w:rPr/>
        <w:t>7,0 büyüklüğünde meydana gelen depremlerden etkilenmiş ne var ki bu depremlerin insan hayatına</w:t>
      </w:r>
      <w:r>
        <w:rPr>
          <w:spacing w:val="-13"/>
        </w:rPr>
        <w:t> </w:t>
      </w:r>
      <w:r>
        <w:rPr/>
        <w:t>etkisi</w:t>
      </w:r>
      <w:r>
        <w:rPr>
          <w:spacing w:val="-10"/>
        </w:rPr>
        <w:t> </w:t>
      </w:r>
      <w:r>
        <w:rPr/>
        <w:t>belirtilmemiştir.</w:t>
      </w:r>
      <w:r>
        <w:rPr>
          <w:spacing w:val="-13"/>
        </w:rPr>
        <w:t> </w:t>
      </w:r>
      <w:r>
        <w:rPr/>
        <w:t>Cumhuriyet</w:t>
      </w:r>
      <w:r>
        <w:rPr>
          <w:spacing w:val="-8"/>
        </w:rPr>
        <w:t> </w:t>
      </w:r>
      <w:r>
        <w:rPr/>
        <w:t>Döneminde</w:t>
      </w:r>
      <w:r>
        <w:rPr>
          <w:spacing w:val="-13"/>
        </w:rPr>
        <w:t> </w:t>
      </w:r>
      <w:r>
        <w:rPr/>
        <w:t>ise</w:t>
      </w:r>
      <w:r>
        <w:rPr>
          <w:spacing w:val="-11"/>
        </w:rPr>
        <w:t> </w:t>
      </w:r>
      <w:r>
        <w:rPr/>
        <w:t>1939,</w:t>
      </w:r>
      <w:r>
        <w:rPr>
          <w:spacing w:val="-11"/>
        </w:rPr>
        <w:t> </w:t>
      </w:r>
      <w:r>
        <w:rPr/>
        <w:t>1941</w:t>
      </w:r>
      <w:r>
        <w:rPr>
          <w:spacing w:val="-12"/>
        </w:rPr>
        <w:t> </w:t>
      </w:r>
      <w:r>
        <w:rPr/>
        <w:t>ve</w:t>
      </w:r>
      <w:r>
        <w:rPr>
          <w:spacing w:val="-10"/>
        </w:rPr>
        <w:t> </w:t>
      </w:r>
      <w:r>
        <w:rPr/>
        <w:t>1992</w:t>
      </w:r>
      <w:r>
        <w:rPr>
          <w:spacing w:val="-12"/>
        </w:rPr>
        <w:t> </w:t>
      </w:r>
      <w:r>
        <w:rPr/>
        <w:t>Erzincan depremlerinden</w:t>
      </w:r>
      <w:r>
        <w:rPr>
          <w:spacing w:val="-18"/>
        </w:rPr>
        <w:t> </w:t>
      </w:r>
      <w:r>
        <w:rPr/>
        <w:t>etkilenen</w:t>
      </w:r>
      <w:r>
        <w:rPr>
          <w:spacing w:val="-16"/>
        </w:rPr>
        <w:t> </w:t>
      </w:r>
      <w:r>
        <w:rPr/>
        <w:t>Gümüşhane’de</w:t>
      </w:r>
      <w:r>
        <w:rPr>
          <w:spacing w:val="-18"/>
        </w:rPr>
        <w:t> </w:t>
      </w:r>
      <w:r>
        <w:rPr/>
        <w:t>bu</w:t>
      </w:r>
      <w:r>
        <w:rPr>
          <w:spacing w:val="-16"/>
        </w:rPr>
        <w:t> </w:t>
      </w:r>
      <w:r>
        <w:rPr/>
        <w:t>depremlerde</w:t>
      </w:r>
      <w:r>
        <w:rPr>
          <w:spacing w:val="-19"/>
        </w:rPr>
        <w:t> </w:t>
      </w:r>
      <w:r>
        <w:rPr/>
        <w:t>toplam</w:t>
      </w:r>
      <w:r>
        <w:rPr>
          <w:spacing w:val="-17"/>
        </w:rPr>
        <w:t> </w:t>
      </w:r>
      <w:r>
        <w:rPr/>
        <w:t>6</w:t>
      </w:r>
      <w:r>
        <w:rPr>
          <w:spacing w:val="-16"/>
        </w:rPr>
        <w:t> </w:t>
      </w:r>
      <w:r>
        <w:rPr/>
        <w:t>kişi</w:t>
      </w:r>
      <w:r>
        <w:rPr>
          <w:spacing w:val="-12"/>
        </w:rPr>
        <w:t> </w:t>
      </w:r>
      <w:r>
        <w:rPr/>
        <w:t>yaşamını</w:t>
      </w:r>
      <w:r>
        <w:rPr>
          <w:spacing w:val="-14"/>
        </w:rPr>
        <w:t> </w:t>
      </w:r>
      <w:r>
        <w:rPr/>
        <w:t>yitirmiş,</w:t>
      </w:r>
    </w:p>
    <w:p>
      <w:pPr>
        <w:pStyle w:val="BodyText"/>
        <w:spacing w:line="360" w:lineRule="auto" w:before="2"/>
        <w:ind w:left="1128" w:right="613"/>
      </w:pPr>
      <w:r>
        <w:rPr/>
        <w:t>153 kişi ise yaralanmıştır. Gümüşhane ve çevresinde meydana gelen depremlerin gösterildiği tablo (Tablo 3. 1.) aşağıda verilmiştir.</w:t>
      </w:r>
    </w:p>
    <w:p>
      <w:pPr>
        <w:spacing w:after="0" w:line="360" w:lineRule="auto"/>
        <w:sectPr>
          <w:pgSz w:w="11910" w:h="16840"/>
          <w:pgMar w:header="0" w:footer="976" w:top="1580" w:bottom="1240" w:left="1140" w:right="520"/>
        </w:sectPr>
      </w:pPr>
    </w:p>
    <w:p>
      <w:pPr>
        <w:pStyle w:val="BodyText"/>
        <w:spacing w:line="360" w:lineRule="auto" w:before="98"/>
        <w:ind w:left="1128" w:right="615" w:firstLine="708"/>
        <w:jc w:val="both"/>
      </w:pPr>
      <w:r>
        <w:rPr/>
        <w:t>Gümüşhane ve çevresindeki illerinde oluşan depremler ve etkileri Tablo 3. 1’de gösterilmiştir.</w:t>
      </w:r>
    </w:p>
    <w:p>
      <w:pPr>
        <w:pStyle w:val="BodyText"/>
        <w:rPr>
          <w:sz w:val="26"/>
        </w:rPr>
      </w:pPr>
    </w:p>
    <w:p>
      <w:pPr>
        <w:pStyle w:val="Heading1"/>
        <w:spacing w:before="159"/>
        <w:ind w:left="2191"/>
      </w:pPr>
      <w:r>
        <w:rPr/>
        <w:t>Tablo 3. 1. Gümüşhane ve Çevresindeki Depremler ve Etkileri</w:t>
      </w:r>
    </w:p>
    <w:p>
      <w:pPr>
        <w:pStyle w:val="BodyText"/>
        <w:spacing w:before="2"/>
        <w:rPr>
          <w:b/>
          <w:sz w:val="16"/>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587"/>
        <w:gridCol w:w="1327"/>
        <w:gridCol w:w="1700"/>
        <w:gridCol w:w="1149"/>
        <w:gridCol w:w="1367"/>
      </w:tblGrid>
      <w:tr>
        <w:trPr>
          <w:trHeight w:val="506" w:hRule="atLeast"/>
        </w:trPr>
        <w:tc>
          <w:tcPr>
            <w:tcW w:w="2587" w:type="dxa"/>
            <w:tcBorders>
              <w:top w:val="single" w:sz="4" w:space="0" w:color="000000"/>
              <w:bottom w:val="single" w:sz="4" w:space="0" w:color="000000"/>
            </w:tcBorders>
          </w:tcPr>
          <w:p>
            <w:pPr>
              <w:pStyle w:val="TableParagraph"/>
              <w:spacing w:line="251" w:lineRule="exact"/>
              <w:ind w:left="115"/>
              <w:rPr>
                <w:b/>
                <w:sz w:val="22"/>
              </w:rPr>
            </w:pPr>
            <w:r>
              <w:rPr>
                <w:b/>
                <w:sz w:val="22"/>
              </w:rPr>
              <w:t>YER</w:t>
            </w:r>
          </w:p>
        </w:tc>
        <w:tc>
          <w:tcPr>
            <w:tcW w:w="1327" w:type="dxa"/>
            <w:tcBorders>
              <w:top w:val="single" w:sz="4" w:space="0" w:color="000000"/>
              <w:bottom w:val="single" w:sz="4" w:space="0" w:color="000000"/>
            </w:tcBorders>
          </w:tcPr>
          <w:p>
            <w:pPr>
              <w:pStyle w:val="TableParagraph"/>
              <w:spacing w:line="251" w:lineRule="exact"/>
              <w:ind w:left="120"/>
              <w:rPr>
                <w:b/>
                <w:sz w:val="22"/>
              </w:rPr>
            </w:pPr>
            <w:r>
              <w:rPr>
                <w:b/>
                <w:sz w:val="22"/>
              </w:rPr>
              <w:t>TARİH</w:t>
            </w:r>
          </w:p>
        </w:tc>
        <w:tc>
          <w:tcPr>
            <w:tcW w:w="1700" w:type="dxa"/>
            <w:tcBorders>
              <w:top w:val="single" w:sz="4" w:space="0" w:color="000000"/>
              <w:bottom w:val="single" w:sz="4" w:space="0" w:color="000000"/>
            </w:tcBorders>
          </w:tcPr>
          <w:p>
            <w:pPr>
              <w:pStyle w:val="TableParagraph"/>
              <w:spacing w:line="254" w:lineRule="exact"/>
              <w:ind w:left="212" w:right="196"/>
              <w:rPr>
                <w:b/>
                <w:sz w:val="22"/>
              </w:rPr>
            </w:pPr>
            <w:r>
              <w:rPr>
                <w:b/>
                <w:sz w:val="22"/>
              </w:rPr>
              <w:t>AFETSEL BÜYÜKLÜK</w:t>
            </w:r>
          </w:p>
        </w:tc>
        <w:tc>
          <w:tcPr>
            <w:tcW w:w="1149" w:type="dxa"/>
            <w:tcBorders>
              <w:top w:val="single" w:sz="4" w:space="0" w:color="000000"/>
              <w:bottom w:val="single" w:sz="4" w:space="0" w:color="000000"/>
            </w:tcBorders>
          </w:tcPr>
          <w:p>
            <w:pPr>
              <w:pStyle w:val="TableParagraph"/>
              <w:spacing w:line="254" w:lineRule="exact"/>
              <w:ind w:left="214" w:right="181"/>
              <w:rPr>
                <w:b/>
                <w:sz w:val="22"/>
              </w:rPr>
            </w:pPr>
            <w:r>
              <w:rPr>
                <w:b/>
                <w:sz w:val="22"/>
              </w:rPr>
              <w:t>ÖLÜ SAYISI</w:t>
            </w:r>
          </w:p>
        </w:tc>
        <w:tc>
          <w:tcPr>
            <w:tcW w:w="1367" w:type="dxa"/>
            <w:tcBorders>
              <w:top w:val="single" w:sz="4" w:space="0" w:color="000000"/>
              <w:bottom w:val="single" w:sz="4" w:space="0" w:color="000000"/>
            </w:tcBorders>
          </w:tcPr>
          <w:p>
            <w:pPr>
              <w:pStyle w:val="TableParagraph"/>
              <w:spacing w:line="254" w:lineRule="exact"/>
              <w:ind w:left="198" w:right="281"/>
              <w:rPr>
                <w:b/>
                <w:sz w:val="22"/>
              </w:rPr>
            </w:pPr>
            <w:r>
              <w:rPr>
                <w:b/>
                <w:sz w:val="22"/>
              </w:rPr>
              <w:t>YARALI SAYISI</w:t>
            </w:r>
          </w:p>
        </w:tc>
      </w:tr>
      <w:tr>
        <w:trPr>
          <w:trHeight w:val="503" w:hRule="atLeast"/>
        </w:trPr>
        <w:tc>
          <w:tcPr>
            <w:tcW w:w="2587" w:type="dxa"/>
            <w:tcBorders>
              <w:top w:val="single" w:sz="4" w:space="0" w:color="000000"/>
              <w:bottom w:val="single" w:sz="4" w:space="0" w:color="000000"/>
            </w:tcBorders>
          </w:tcPr>
          <w:p>
            <w:pPr>
              <w:pStyle w:val="TableParagraph"/>
              <w:spacing w:line="245" w:lineRule="exact"/>
              <w:ind w:left="115"/>
              <w:rPr>
                <w:sz w:val="22"/>
              </w:rPr>
            </w:pPr>
            <w:r>
              <w:rPr>
                <w:sz w:val="22"/>
              </w:rPr>
              <w:t>ERZİNCAN, ERZURUM,</w:t>
            </w:r>
          </w:p>
          <w:p>
            <w:pPr>
              <w:pStyle w:val="TableParagraph"/>
              <w:spacing w:line="238" w:lineRule="exact" w:before="1"/>
              <w:ind w:left="115"/>
              <w:rPr>
                <w:sz w:val="22"/>
              </w:rPr>
            </w:pPr>
            <w:r>
              <w:rPr>
                <w:sz w:val="22"/>
              </w:rPr>
              <w:t>GÜMÜŞHANE</w:t>
            </w:r>
          </w:p>
        </w:tc>
        <w:tc>
          <w:tcPr>
            <w:tcW w:w="1327" w:type="dxa"/>
            <w:tcBorders>
              <w:top w:val="single" w:sz="4" w:space="0" w:color="000000"/>
              <w:bottom w:val="single" w:sz="4" w:space="0" w:color="000000"/>
            </w:tcBorders>
          </w:tcPr>
          <w:p>
            <w:pPr>
              <w:pStyle w:val="TableParagraph"/>
              <w:spacing w:line="245" w:lineRule="exact"/>
              <w:ind w:left="120"/>
              <w:rPr>
                <w:sz w:val="22"/>
              </w:rPr>
            </w:pPr>
            <w:r>
              <w:rPr>
                <w:sz w:val="22"/>
              </w:rPr>
              <w:t>17.06.1584</w:t>
            </w:r>
          </w:p>
        </w:tc>
        <w:tc>
          <w:tcPr>
            <w:tcW w:w="1700" w:type="dxa"/>
            <w:tcBorders>
              <w:top w:val="single" w:sz="4" w:space="0" w:color="000000"/>
              <w:bottom w:val="single" w:sz="4" w:space="0" w:color="000000"/>
            </w:tcBorders>
          </w:tcPr>
          <w:p>
            <w:pPr>
              <w:pStyle w:val="TableParagraph"/>
              <w:spacing w:line="245" w:lineRule="exact"/>
              <w:ind w:left="296"/>
              <w:rPr>
                <w:sz w:val="22"/>
              </w:rPr>
            </w:pPr>
            <w:r>
              <w:rPr>
                <w:sz w:val="22"/>
              </w:rPr>
              <w:t>7.0</w:t>
            </w:r>
          </w:p>
        </w:tc>
        <w:tc>
          <w:tcPr>
            <w:tcW w:w="1149" w:type="dxa"/>
            <w:tcBorders>
              <w:top w:val="single" w:sz="4" w:space="0" w:color="000000"/>
              <w:bottom w:val="single" w:sz="4" w:space="0" w:color="000000"/>
            </w:tcBorders>
          </w:tcPr>
          <w:p>
            <w:pPr>
              <w:pStyle w:val="TableParagraph"/>
              <w:spacing w:line="245" w:lineRule="exact"/>
              <w:ind w:right="97"/>
              <w:jc w:val="center"/>
              <w:rPr>
                <w:sz w:val="22"/>
              </w:rPr>
            </w:pPr>
            <w:r>
              <w:rPr>
                <w:w w:val="100"/>
                <w:sz w:val="22"/>
              </w:rPr>
              <w:t>?</w:t>
            </w:r>
          </w:p>
        </w:tc>
        <w:tc>
          <w:tcPr>
            <w:tcW w:w="1367" w:type="dxa"/>
            <w:tcBorders>
              <w:top w:val="single" w:sz="4" w:space="0" w:color="000000"/>
              <w:bottom w:val="single" w:sz="4" w:space="0" w:color="000000"/>
            </w:tcBorders>
          </w:tcPr>
          <w:p>
            <w:pPr>
              <w:pStyle w:val="TableParagraph"/>
              <w:spacing w:line="245" w:lineRule="exact"/>
              <w:ind w:right="346"/>
              <w:jc w:val="center"/>
              <w:rPr>
                <w:sz w:val="22"/>
              </w:rPr>
            </w:pPr>
            <w:r>
              <w:rPr>
                <w:w w:val="100"/>
                <w:sz w:val="22"/>
              </w:rPr>
              <w:t>?</w:t>
            </w:r>
          </w:p>
        </w:tc>
      </w:tr>
      <w:tr>
        <w:trPr>
          <w:trHeight w:val="505"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ERZİNCAN, ERZURUM,</w:t>
            </w:r>
          </w:p>
          <w:p>
            <w:pPr>
              <w:pStyle w:val="TableParagraph"/>
              <w:spacing w:line="238" w:lineRule="exact" w:before="1"/>
              <w:ind w:left="115"/>
              <w:rPr>
                <w:sz w:val="22"/>
              </w:rPr>
            </w:pPr>
            <w:r>
              <w:rPr>
                <w:sz w:val="22"/>
              </w:rPr>
              <w:t>GÜMÜŞHANE</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01.11.1875</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7.4</w:t>
            </w:r>
          </w:p>
        </w:tc>
        <w:tc>
          <w:tcPr>
            <w:tcW w:w="1149" w:type="dxa"/>
            <w:tcBorders>
              <w:top w:val="single" w:sz="4" w:space="0" w:color="000000"/>
              <w:bottom w:val="single" w:sz="4" w:space="0" w:color="000000"/>
            </w:tcBorders>
          </w:tcPr>
          <w:p>
            <w:pPr>
              <w:pStyle w:val="TableParagraph"/>
              <w:spacing w:line="247" w:lineRule="exact"/>
              <w:ind w:right="97"/>
              <w:jc w:val="center"/>
              <w:rPr>
                <w:sz w:val="22"/>
              </w:rPr>
            </w:pPr>
            <w:r>
              <w:rPr>
                <w:w w:val="100"/>
                <w:sz w:val="22"/>
              </w:rPr>
              <w:t>?</w:t>
            </w:r>
          </w:p>
        </w:tc>
        <w:tc>
          <w:tcPr>
            <w:tcW w:w="1367" w:type="dxa"/>
            <w:tcBorders>
              <w:top w:val="single" w:sz="4" w:space="0" w:color="000000"/>
              <w:bottom w:val="single" w:sz="4" w:space="0" w:color="000000"/>
            </w:tcBorders>
          </w:tcPr>
          <w:p>
            <w:pPr>
              <w:pStyle w:val="TableParagraph"/>
              <w:spacing w:line="247" w:lineRule="exact"/>
              <w:ind w:right="346"/>
              <w:jc w:val="center"/>
              <w:rPr>
                <w:sz w:val="22"/>
              </w:rPr>
            </w:pPr>
            <w:r>
              <w:rPr>
                <w:w w:val="100"/>
                <w:sz w:val="22"/>
              </w:rPr>
              <w:t>?</w:t>
            </w:r>
          </w:p>
        </w:tc>
      </w:tr>
      <w:tr>
        <w:trPr>
          <w:trHeight w:val="506"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REFAHİYE, KELKİT,</w:t>
            </w:r>
          </w:p>
          <w:p>
            <w:pPr>
              <w:pStyle w:val="TableParagraph"/>
              <w:spacing w:line="238" w:lineRule="exact" w:before="2"/>
              <w:ind w:left="115"/>
              <w:rPr>
                <w:sz w:val="22"/>
              </w:rPr>
            </w:pPr>
            <w:r>
              <w:rPr>
                <w:sz w:val="22"/>
              </w:rPr>
              <w: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20.05.1890</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7.0</w:t>
            </w:r>
          </w:p>
        </w:tc>
        <w:tc>
          <w:tcPr>
            <w:tcW w:w="1149" w:type="dxa"/>
            <w:tcBorders>
              <w:top w:val="single" w:sz="4" w:space="0" w:color="000000"/>
              <w:bottom w:val="single" w:sz="4" w:space="0" w:color="000000"/>
            </w:tcBorders>
          </w:tcPr>
          <w:p>
            <w:pPr>
              <w:pStyle w:val="TableParagraph"/>
              <w:spacing w:line="247" w:lineRule="exact"/>
              <w:ind w:right="97"/>
              <w:jc w:val="center"/>
              <w:rPr>
                <w:sz w:val="22"/>
              </w:rPr>
            </w:pPr>
            <w:r>
              <w:rPr>
                <w:w w:val="100"/>
                <w:sz w:val="22"/>
              </w:rPr>
              <w:t>?</w:t>
            </w:r>
          </w:p>
        </w:tc>
        <w:tc>
          <w:tcPr>
            <w:tcW w:w="1367" w:type="dxa"/>
            <w:tcBorders>
              <w:top w:val="single" w:sz="4" w:space="0" w:color="000000"/>
              <w:bottom w:val="single" w:sz="4" w:space="0" w:color="000000"/>
            </w:tcBorders>
          </w:tcPr>
          <w:p>
            <w:pPr>
              <w:pStyle w:val="TableParagraph"/>
              <w:spacing w:line="247" w:lineRule="exact"/>
              <w:ind w:right="346"/>
              <w:jc w:val="center"/>
              <w:rPr>
                <w:sz w:val="22"/>
              </w:rPr>
            </w:pPr>
            <w:r>
              <w:rPr>
                <w:w w:val="100"/>
                <w:sz w:val="22"/>
              </w:rPr>
              <w:t>?</w:t>
            </w:r>
          </w:p>
        </w:tc>
      </w:tr>
      <w:tr>
        <w:trPr>
          <w:trHeight w:val="491"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27.12.1939</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7.9</w:t>
            </w:r>
          </w:p>
        </w:tc>
        <w:tc>
          <w:tcPr>
            <w:tcW w:w="1149" w:type="dxa"/>
            <w:tcBorders>
              <w:top w:val="single" w:sz="4" w:space="0" w:color="000000"/>
              <w:bottom w:val="single" w:sz="4" w:space="0" w:color="000000"/>
            </w:tcBorders>
          </w:tcPr>
          <w:p>
            <w:pPr>
              <w:pStyle w:val="TableParagraph"/>
              <w:spacing w:line="247" w:lineRule="exact"/>
              <w:ind w:left="214"/>
              <w:rPr>
                <w:sz w:val="22"/>
              </w:rPr>
            </w:pPr>
            <w:r>
              <w:rPr>
                <w:sz w:val="22"/>
              </w:rPr>
              <w:t>32.968</w:t>
            </w:r>
          </w:p>
        </w:tc>
        <w:tc>
          <w:tcPr>
            <w:tcW w:w="1367" w:type="dxa"/>
            <w:tcBorders>
              <w:top w:val="single" w:sz="4" w:space="0" w:color="000000"/>
              <w:bottom w:val="single" w:sz="4" w:space="0" w:color="000000"/>
            </w:tcBorders>
          </w:tcPr>
          <w:p>
            <w:pPr>
              <w:pStyle w:val="TableParagraph"/>
              <w:spacing w:line="247" w:lineRule="exact"/>
              <w:ind w:left="198"/>
              <w:rPr>
                <w:sz w:val="22"/>
              </w:rPr>
            </w:pPr>
            <w:r>
              <w:rPr>
                <w:sz w:val="22"/>
              </w:rPr>
              <w:t>116.720</w:t>
            </w:r>
          </w:p>
        </w:tc>
      </w:tr>
      <w:tr>
        <w:trPr>
          <w:trHeight w:val="491"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(KELKİT)ERZİNCAN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27.12.1939</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5.2</w:t>
            </w:r>
          </w:p>
        </w:tc>
        <w:tc>
          <w:tcPr>
            <w:tcW w:w="1149" w:type="dxa"/>
            <w:tcBorders>
              <w:top w:val="single" w:sz="4" w:space="0" w:color="000000"/>
              <w:bottom w:val="single" w:sz="4" w:space="0" w:color="000000"/>
            </w:tcBorders>
          </w:tcPr>
          <w:p>
            <w:pPr>
              <w:pStyle w:val="TableParagraph"/>
              <w:spacing w:line="247" w:lineRule="exact"/>
              <w:ind w:right="73"/>
              <w:jc w:val="center"/>
              <w:rPr>
                <w:sz w:val="22"/>
              </w:rPr>
            </w:pPr>
            <w:r>
              <w:rPr>
                <w:w w:val="100"/>
                <w:sz w:val="22"/>
              </w:rPr>
              <w:t>-</w:t>
            </w:r>
          </w:p>
        </w:tc>
        <w:tc>
          <w:tcPr>
            <w:tcW w:w="1367" w:type="dxa"/>
            <w:tcBorders>
              <w:top w:val="single" w:sz="4" w:space="0" w:color="000000"/>
              <w:bottom w:val="single" w:sz="4" w:space="0" w:color="000000"/>
            </w:tcBorders>
          </w:tcPr>
          <w:p>
            <w:pPr>
              <w:pStyle w:val="TableParagraph"/>
              <w:spacing w:line="247" w:lineRule="exact"/>
              <w:ind w:right="323"/>
              <w:jc w:val="center"/>
              <w:rPr>
                <w:sz w:val="22"/>
              </w:rPr>
            </w:pPr>
            <w:r>
              <w:rPr>
                <w:w w:val="100"/>
                <w:sz w:val="22"/>
              </w:rPr>
              <w:t>-</w:t>
            </w:r>
          </w:p>
        </w:tc>
      </w:tr>
      <w:tr>
        <w:trPr>
          <w:trHeight w:val="489"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12.11.1941</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5.9</w:t>
            </w:r>
          </w:p>
        </w:tc>
        <w:tc>
          <w:tcPr>
            <w:tcW w:w="1149" w:type="dxa"/>
            <w:tcBorders>
              <w:top w:val="single" w:sz="4" w:space="0" w:color="000000"/>
              <w:bottom w:val="single" w:sz="4" w:space="0" w:color="000000"/>
            </w:tcBorders>
          </w:tcPr>
          <w:p>
            <w:pPr>
              <w:pStyle w:val="TableParagraph"/>
              <w:spacing w:line="247" w:lineRule="exact"/>
              <w:ind w:left="353"/>
              <w:rPr>
                <w:sz w:val="22"/>
              </w:rPr>
            </w:pPr>
            <w:r>
              <w:rPr>
                <w:sz w:val="22"/>
              </w:rPr>
              <w:t>15</w:t>
            </w:r>
          </w:p>
        </w:tc>
        <w:tc>
          <w:tcPr>
            <w:tcW w:w="1367" w:type="dxa"/>
            <w:tcBorders>
              <w:top w:val="single" w:sz="4" w:space="0" w:color="000000"/>
              <w:bottom w:val="single" w:sz="4" w:space="0" w:color="000000"/>
            </w:tcBorders>
          </w:tcPr>
          <w:p>
            <w:pPr>
              <w:pStyle w:val="TableParagraph"/>
              <w:spacing w:line="247" w:lineRule="exact"/>
              <w:ind w:right="323"/>
              <w:jc w:val="center"/>
              <w:rPr>
                <w:sz w:val="22"/>
              </w:rPr>
            </w:pPr>
            <w:r>
              <w:rPr>
                <w:w w:val="100"/>
                <w:sz w:val="22"/>
              </w:rPr>
              <w:t>-</w:t>
            </w:r>
          </w:p>
        </w:tc>
      </w:tr>
      <w:tr>
        <w:trPr>
          <w:trHeight w:val="491"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13.03.1992</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6.8</w:t>
            </w:r>
          </w:p>
        </w:tc>
        <w:tc>
          <w:tcPr>
            <w:tcW w:w="1149" w:type="dxa"/>
            <w:tcBorders>
              <w:top w:val="single" w:sz="4" w:space="0" w:color="000000"/>
              <w:bottom w:val="single" w:sz="4" w:space="0" w:color="000000"/>
            </w:tcBorders>
          </w:tcPr>
          <w:p>
            <w:pPr>
              <w:pStyle w:val="TableParagraph"/>
              <w:spacing w:line="247" w:lineRule="exact"/>
              <w:ind w:left="243"/>
              <w:rPr>
                <w:sz w:val="22"/>
              </w:rPr>
            </w:pPr>
            <w:r>
              <w:rPr>
                <w:sz w:val="22"/>
              </w:rPr>
              <w:t>653</w:t>
            </w:r>
          </w:p>
        </w:tc>
        <w:tc>
          <w:tcPr>
            <w:tcW w:w="1367" w:type="dxa"/>
            <w:tcBorders>
              <w:top w:val="single" w:sz="4" w:space="0" w:color="000000"/>
              <w:bottom w:val="single" w:sz="4" w:space="0" w:color="000000"/>
            </w:tcBorders>
          </w:tcPr>
          <w:p>
            <w:pPr>
              <w:pStyle w:val="TableParagraph"/>
              <w:spacing w:line="247" w:lineRule="exact"/>
              <w:ind w:left="198"/>
              <w:rPr>
                <w:sz w:val="22"/>
              </w:rPr>
            </w:pPr>
            <w:r>
              <w:rPr>
                <w:sz w:val="22"/>
              </w:rPr>
              <w:t>3850</w:t>
            </w:r>
          </w:p>
        </w:tc>
      </w:tr>
      <w:tr>
        <w:trPr>
          <w:trHeight w:val="491" w:hRule="atLeast"/>
        </w:trPr>
        <w:tc>
          <w:tcPr>
            <w:tcW w:w="2587" w:type="dxa"/>
            <w:tcBorders>
              <w:top w:val="single" w:sz="4" w:space="0" w:color="000000"/>
              <w:bottom w:val="single" w:sz="4" w:space="0" w:color="000000"/>
            </w:tcBorders>
          </w:tcPr>
          <w:p>
            <w:pPr>
              <w:pStyle w:val="TableParagraph"/>
              <w:spacing w:line="247" w:lineRule="exact"/>
              <w:ind w:left="115"/>
              <w:rPr>
                <w:sz w:val="22"/>
              </w:rPr>
            </w:pPr>
            <w:r>
              <w:rPr>
                <w:sz w:val="22"/>
              </w:rPr>
              <w:t>(KELKİT)ERZİNCAN</w:t>
            </w:r>
          </w:p>
        </w:tc>
        <w:tc>
          <w:tcPr>
            <w:tcW w:w="1327" w:type="dxa"/>
            <w:tcBorders>
              <w:top w:val="single" w:sz="4" w:space="0" w:color="000000"/>
              <w:bottom w:val="single" w:sz="4" w:space="0" w:color="000000"/>
            </w:tcBorders>
          </w:tcPr>
          <w:p>
            <w:pPr>
              <w:pStyle w:val="TableParagraph"/>
              <w:spacing w:line="247" w:lineRule="exact"/>
              <w:ind w:left="120"/>
              <w:rPr>
                <w:sz w:val="22"/>
              </w:rPr>
            </w:pPr>
            <w:r>
              <w:rPr>
                <w:sz w:val="22"/>
              </w:rPr>
              <w:t>13.03.1992</w:t>
            </w:r>
          </w:p>
        </w:tc>
        <w:tc>
          <w:tcPr>
            <w:tcW w:w="1700" w:type="dxa"/>
            <w:tcBorders>
              <w:top w:val="single" w:sz="4" w:space="0" w:color="000000"/>
              <w:bottom w:val="single" w:sz="4" w:space="0" w:color="000000"/>
            </w:tcBorders>
          </w:tcPr>
          <w:p>
            <w:pPr>
              <w:pStyle w:val="TableParagraph"/>
              <w:spacing w:line="247" w:lineRule="exact"/>
              <w:ind w:left="296"/>
              <w:rPr>
                <w:sz w:val="22"/>
              </w:rPr>
            </w:pPr>
            <w:r>
              <w:rPr>
                <w:sz w:val="22"/>
              </w:rPr>
              <w:t>5.0</w:t>
            </w:r>
          </w:p>
        </w:tc>
        <w:tc>
          <w:tcPr>
            <w:tcW w:w="1149" w:type="dxa"/>
            <w:tcBorders>
              <w:top w:val="single" w:sz="4" w:space="0" w:color="000000"/>
              <w:bottom w:val="single" w:sz="4" w:space="0" w:color="000000"/>
            </w:tcBorders>
          </w:tcPr>
          <w:p>
            <w:pPr>
              <w:pStyle w:val="TableParagraph"/>
              <w:spacing w:line="247" w:lineRule="exact"/>
              <w:ind w:right="110"/>
              <w:jc w:val="center"/>
              <w:rPr>
                <w:sz w:val="22"/>
              </w:rPr>
            </w:pPr>
            <w:r>
              <w:rPr>
                <w:w w:val="100"/>
                <w:sz w:val="22"/>
              </w:rPr>
              <w:t>6</w:t>
            </w:r>
          </w:p>
        </w:tc>
        <w:tc>
          <w:tcPr>
            <w:tcW w:w="1367" w:type="dxa"/>
            <w:tcBorders>
              <w:top w:val="single" w:sz="4" w:space="0" w:color="000000"/>
              <w:bottom w:val="single" w:sz="4" w:space="0" w:color="000000"/>
            </w:tcBorders>
          </w:tcPr>
          <w:p>
            <w:pPr>
              <w:pStyle w:val="TableParagraph"/>
              <w:spacing w:line="247" w:lineRule="exact"/>
              <w:ind w:left="227"/>
              <w:rPr>
                <w:sz w:val="22"/>
              </w:rPr>
            </w:pPr>
            <w:r>
              <w:rPr>
                <w:sz w:val="22"/>
              </w:rPr>
              <w:t>153</w:t>
            </w:r>
          </w:p>
        </w:tc>
      </w:tr>
    </w:tbl>
    <w:p>
      <w:pPr>
        <w:spacing w:before="0"/>
        <w:ind w:left="1128" w:right="0" w:firstLine="0"/>
        <w:jc w:val="left"/>
        <w:rPr>
          <w:sz w:val="20"/>
        </w:rPr>
      </w:pPr>
      <w:r>
        <w:rPr>
          <w:b/>
          <w:sz w:val="20"/>
        </w:rPr>
        <w:t>Kaynak: </w:t>
      </w:r>
      <w:hyperlink r:id="rId30">
        <w:r>
          <w:rPr>
            <w:sz w:val="20"/>
          </w:rPr>
          <w:t>www.gumushane.afad.gov.tr/, </w:t>
        </w:r>
      </w:hyperlink>
      <w:r>
        <w:rPr>
          <w:sz w:val="20"/>
        </w:rPr>
        <w:t>2018</w:t>
      </w:r>
    </w:p>
    <w:p>
      <w:pPr>
        <w:pStyle w:val="BodyText"/>
        <w:rPr>
          <w:sz w:val="22"/>
        </w:rPr>
      </w:pPr>
    </w:p>
    <w:p>
      <w:pPr>
        <w:pStyle w:val="BodyText"/>
        <w:spacing w:before="1"/>
        <w:rPr>
          <w:sz w:val="30"/>
        </w:rPr>
      </w:pPr>
    </w:p>
    <w:p>
      <w:pPr>
        <w:pStyle w:val="Heading1"/>
        <w:numPr>
          <w:ilvl w:val="2"/>
          <w:numId w:val="12"/>
        </w:numPr>
        <w:tabs>
          <w:tab w:pos="2437" w:val="left" w:leader="none"/>
        </w:tabs>
        <w:spacing w:line="240" w:lineRule="auto" w:before="0" w:after="0"/>
        <w:ind w:left="2436" w:right="0" w:hanging="600"/>
        <w:jc w:val="left"/>
      </w:pPr>
      <w:bookmarkStart w:name="_bookmark38" w:id="89"/>
      <w:bookmarkEnd w:id="89"/>
      <w:r>
        <w:rPr>
          <w:b w:val="0"/>
        </w:rPr>
      </w:r>
      <w:bookmarkStart w:name="_bookmark38" w:id="90"/>
      <w:bookmarkEnd w:id="90"/>
      <w:r>
        <w:rPr/>
        <w:t>S</w:t>
      </w:r>
      <w:r>
        <w:rPr/>
        <w:t>el</w:t>
      </w:r>
    </w:p>
    <w:p>
      <w:pPr>
        <w:pStyle w:val="BodyText"/>
        <w:spacing w:line="360" w:lineRule="auto" w:before="132"/>
        <w:ind w:left="1128" w:right="611" w:firstLine="708"/>
        <w:jc w:val="both"/>
      </w:pPr>
      <w:r>
        <w:rPr/>
        <w:t>Sel bölgemizde görülen afet olaylarından biridir. Sel genel olarak bahar döneminde şiddetli yağışlar sebebiyle dere yataklarının dar olduğu vadilerde meydana gelmektedir. Bu nedenler sel olayına karşı dere yataklarının ıslahının yapılması ve dere yataklarına yerleşimi önlemek tedbir oluşturabilir. Buna ek olarak su baskını</w:t>
      </w:r>
      <w:r>
        <w:rPr>
          <w:spacing w:val="-34"/>
        </w:rPr>
        <w:t> </w:t>
      </w:r>
      <w:r>
        <w:rPr/>
        <w:t>olaylarının, Merkez, Kelkit, Kürtün ve Torul ilçelerinde gözlendiği İl AFAD Müdürlüğü’nce bildirilmiştir.</w:t>
      </w:r>
    </w:p>
    <w:p>
      <w:pPr>
        <w:pStyle w:val="BodyText"/>
        <w:spacing w:line="360" w:lineRule="auto"/>
        <w:ind w:left="1128" w:right="610" w:firstLine="708"/>
        <w:jc w:val="both"/>
      </w:pPr>
      <w:r>
        <w:rPr/>
        <w:t>Gümüşhane ilinin afet ve acil durum müdürlüğü sel afet kayıtları Tablo 3. 2’de gösterilmiştir.</w:t>
      </w:r>
    </w:p>
    <w:p>
      <w:pPr>
        <w:spacing w:after="0" w:line="360" w:lineRule="auto"/>
        <w:jc w:val="both"/>
        <w:sectPr>
          <w:pgSz w:w="11910" w:h="16840"/>
          <w:pgMar w:header="0" w:footer="976" w:top="1580" w:bottom="1240" w:left="1140" w:right="520"/>
        </w:sectPr>
      </w:pPr>
    </w:p>
    <w:p>
      <w:pPr>
        <w:pStyle w:val="Heading1"/>
        <w:spacing w:before="100"/>
        <w:ind w:left="1570"/>
      </w:pPr>
      <w:r>
        <w:rPr/>
        <w:t>Tablo 3. 2. Gümüşhane Afet ve Acil Durum Müdürlüğü Sel Afeti Kayıtları</w:t>
      </w:r>
    </w:p>
    <w:p>
      <w:pPr>
        <w:pStyle w:val="BodyText"/>
        <w:spacing w:before="6" w:after="1"/>
        <w:rPr>
          <w:b/>
          <w:sz w:val="16"/>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32"/>
        <w:gridCol w:w="1646"/>
        <w:gridCol w:w="1023"/>
        <w:gridCol w:w="1496"/>
        <w:gridCol w:w="761"/>
        <w:gridCol w:w="1776"/>
      </w:tblGrid>
      <w:tr>
        <w:trPr>
          <w:trHeight w:val="205" w:hRule="atLeast"/>
        </w:trPr>
        <w:tc>
          <w:tcPr>
            <w:tcW w:w="1632" w:type="dxa"/>
            <w:tcBorders>
              <w:top w:val="single" w:sz="4" w:space="0" w:color="000000"/>
              <w:bottom w:val="single" w:sz="4" w:space="0" w:color="000000"/>
            </w:tcBorders>
          </w:tcPr>
          <w:p>
            <w:pPr>
              <w:pStyle w:val="TableParagraph"/>
              <w:spacing w:line="186" w:lineRule="exact"/>
              <w:ind w:left="241" w:right="372"/>
              <w:jc w:val="center"/>
              <w:rPr>
                <w:b/>
                <w:sz w:val="18"/>
              </w:rPr>
            </w:pPr>
            <w:r>
              <w:rPr>
                <w:b/>
                <w:sz w:val="18"/>
              </w:rPr>
              <w:t>Afetin Türü</w:t>
            </w:r>
          </w:p>
        </w:tc>
        <w:tc>
          <w:tcPr>
            <w:tcW w:w="1646" w:type="dxa"/>
            <w:tcBorders>
              <w:top w:val="single" w:sz="4" w:space="0" w:color="000000"/>
              <w:bottom w:val="single" w:sz="4" w:space="0" w:color="000000"/>
            </w:tcBorders>
          </w:tcPr>
          <w:p>
            <w:pPr>
              <w:pStyle w:val="TableParagraph"/>
              <w:spacing w:line="186" w:lineRule="exact"/>
              <w:ind w:left="305"/>
              <w:rPr>
                <w:b/>
                <w:sz w:val="18"/>
              </w:rPr>
            </w:pPr>
            <w:r>
              <w:rPr>
                <w:b/>
                <w:sz w:val="18"/>
              </w:rPr>
              <w:t>Etüd Tarihi</w:t>
            </w:r>
          </w:p>
        </w:tc>
        <w:tc>
          <w:tcPr>
            <w:tcW w:w="1023" w:type="dxa"/>
            <w:tcBorders>
              <w:top w:val="single" w:sz="4" w:space="0" w:color="000000"/>
              <w:bottom w:val="single" w:sz="4" w:space="0" w:color="000000"/>
            </w:tcBorders>
          </w:tcPr>
          <w:p>
            <w:pPr>
              <w:pStyle w:val="TableParagraph"/>
              <w:spacing w:line="186" w:lineRule="exact"/>
              <w:ind w:left="248" w:right="184"/>
              <w:jc w:val="center"/>
              <w:rPr>
                <w:b/>
                <w:sz w:val="18"/>
              </w:rPr>
            </w:pPr>
            <w:r>
              <w:rPr>
                <w:b/>
                <w:sz w:val="18"/>
              </w:rPr>
              <w:t>Yer</w:t>
            </w:r>
          </w:p>
        </w:tc>
        <w:tc>
          <w:tcPr>
            <w:tcW w:w="1496" w:type="dxa"/>
            <w:tcBorders>
              <w:top w:val="single" w:sz="4" w:space="0" w:color="000000"/>
              <w:bottom w:val="single" w:sz="4" w:space="0" w:color="000000"/>
            </w:tcBorders>
          </w:tcPr>
          <w:p>
            <w:pPr>
              <w:pStyle w:val="TableParagraph"/>
              <w:spacing w:line="186" w:lineRule="exact"/>
              <w:ind w:left="377"/>
              <w:rPr>
                <w:b/>
                <w:sz w:val="18"/>
              </w:rPr>
            </w:pPr>
            <w:r>
              <w:rPr>
                <w:b/>
                <w:sz w:val="18"/>
              </w:rPr>
              <w:t>Belde-Köy</w:t>
            </w:r>
          </w:p>
        </w:tc>
        <w:tc>
          <w:tcPr>
            <w:tcW w:w="761" w:type="dxa"/>
            <w:tcBorders>
              <w:top w:val="single" w:sz="4" w:space="0" w:color="000000"/>
              <w:bottom w:val="single" w:sz="4" w:space="0" w:color="000000"/>
            </w:tcBorders>
          </w:tcPr>
          <w:p>
            <w:pPr>
              <w:pStyle w:val="TableParagraph"/>
              <w:spacing w:line="186" w:lineRule="exact"/>
              <w:ind w:right="169"/>
              <w:jc w:val="right"/>
              <w:rPr>
                <w:b/>
                <w:sz w:val="18"/>
              </w:rPr>
            </w:pPr>
            <w:r>
              <w:rPr>
                <w:b/>
                <w:sz w:val="18"/>
              </w:rPr>
              <w:t>Mah.</w:t>
            </w:r>
          </w:p>
        </w:tc>
        <w:tc>
          <w:tcPr>
            <w:tcW w:w="1776" w:type="dxa"/>
            <w:tcBorders>
              <w:top w:val="single" w:sz="4" w:space="0" w:color="000000"/>
              <w:bottom w:val="single" w:sz="4" w:space="0" w:color="000000"/>
            </w:tcBorders>
          </w:tcPr>
          <w:p>
            <w:pPr>
              <w:pStyle w:val="TableParagraph"/>
              <w:spacing w:line="186" w:lineRule="exact"/>
              <w:ind w:left="88" w:right="96"/>
              <w:jc w:val="center"/>
              <w:rPr>
                <w:b/>
                <w:sz w:val="18"/>
              </w:rPr>
            </w:pPr>
            <w:r>
              <w:rPr>
                <w:b/>
                <w:sz w:val="18"/>
              </w:rPr>
              <w:t>Sonuç</w:t>
            </w:r>
          </w:p>
        </w:tc>
      </w:tr>
      <w:tr>
        <w:trPr>
          <w:trHeight w:val="714" w:hRule="atLeast"/>
        </w:trPr>
        <w:tc>
          <w:tcPr>
            <w:tcW w:w="1632" w:type="dxa"/>
            <w:tcBorders>
              <w:top w:val="single" w:sz="4" w:space="0" w:color="000000"/>
              <w:bottom w:val="single" w:sz="4" w:space="0" w:color="000000"/>
            </w:tcBorders>
          </w:tcPr>
          <w:p>
            <w:pPr>
              <w:pStyle w:val="TableParagraph"/>
              <w:spacing w:line="202"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08.10.83</w:t>
            </w:r>
          </w:p>
        </w:tc>
        <w:tc>
          <w:tcPr>
            <w:tcW w:w="1023" w:type="dxa"/>
            <w:tcBorders>
              <w:top w:val="single" w:sz="4" w:space="0" w:color="000000"/>
              <w:bottom w:val="single" w:sz="4" w:space="0" w:color="000000"/>
            </w:tcBorders>
          </w:tcPr>
          <w:p>
            <w:pPr>
              <w:pStyle w:val="TableParagraph"/>
              <w:spacing w:line="202" w:lineRule="exact"/>
              <w:ind w:left="248" w:right="184"/>
              <w:jc w:val="center"/>
              <w:rPr>
                <w:sz w:val="18"/>
              </w:rPr>
            </w:pPr>
            <w:r>
              <w:rPr>
                <w:sz w:val="18"/>
              </w:rPr>
              <w:t>Merkez</w:t>
            </w:r>
          </w:p>
        </w:tc>
        <w:tc>
          <w:tcPr>
            <w:tcW w:w="1496" w:type="dxa"/>
            <w:tcBorders>
              <w:top w:val="single" w:sz="4" w:space="0" w:color="000000"/>
              <w:bottom w:val="single" w:sz="4" w:space="0" w:color="000000"/>
            </w:tcBorders>
          </w:tcPr>
          <w:p>
            <w:pPr>
              <w:pStyle w:val="TableParagraph"/>
              <w:spacing w:line="276" w:lineRule="auto"/>
              <w:ind w:left="449" w:right="408" w:hanging="221"/>
              <w:rPr>
                <w:sz w:val="18"/>
              </w:rPr>
            </w:pPr>
            <w:r>
              <w:rPr>
                <w:sz w:val="18"/>
              </w:rPr>
              <w:t>Gökçepınar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535" w:right="362" w:hanging="161"/>
              <w:rPr>
                <w:sz w:val="18"/>
              </w:rPr>
            </w:pPr>
            <w:r>
              <w:rPr>
                <w:sz w:val="18"/>
              </w:rPr>
              <w:t>Ağaçlandırma yapılması</w:t>
            </w:r>
          </w:p>
          <w:p>
            <w:pPr>
              <w:pStyle w:val="TableParagraph"/>
              <w:spacing w:line="206" w:lineRule="exact"/>
              <w:ind w:left="442"/>
              <w:rPr>
                <w:sz w:val="18"/>
              </w:rPr>
            </w:pPr>
            <w:r>
              <w:rPr>
                <w:sz w:val="18"/>
              </w:rPr>
              <w:t>önerilmiştir.</w:t>
            </w:r>
          </w:p>
        </w:tc>
      </w:tr>
      <w:tr>
        <w:trPr>
          <w:trHeight w:val="1190" w:hRule="atLeast"/>
        </w:trPr>
        <w:tc>
          <w:tcPr>
            <w:tcW w:w="1632" w:type="dxa"/>
            <w:tcBorders>
              <w:top w:val="single" w:sz="4" w:space="0" w:color="000000"/>
              <w:bottom w:val="single" w:sz="4" w:space="0" w:color="000000"/>
            </w:tcBorders>
          </w:tcPr>
          <w:p>
            <w:pPr>
              <w:pStyle w:val="TableParagraph"/>
              <w:spacing w:line="202" w:lineRule="exact"/>
              <w:ind w:left="241" w:right="374"/>
              <w:jc w:val="center"/>
              <w:rPr>
                <w:sz w:val="18"/>
              </w:rPr>
            </w:pPr>
            <w:r>
              <w:rPr>
                <w:sz w:val="18"/>
              </w:rPr>
              <w:t>Heyelan+ 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24.03.04</w:t>
            </w:r>
          </w:p>
        </w:tc>
        <w:tc>
          <w:tcPr>
            <w:tcW w:w="1023" w:type="dxa"/>
            <w:tcBorders>
              <w:top w:val="single" w:sz="4" w:space="0" w:color="000000"/>
              <w:bottom w:val="single" w:sz="4" w:space="0" w:color="000000"/>
            </w:tcBorders>
          </w:tcPr>
          <w:p>
            <w:pPr>
              <w:pStyle w:val="TableParagraph"/>
              <w:spacing w:line="202" w:lineRule="exact"/>
              <w:ind w:left="248" w:right="184"/>
              <w:jc w:val="center"/>
              <w:rPr>
                <w:sz w:val="18"/>
              </w:rPr>
            </w:pPr>
            <w:r>
              <w:rPr>
                <w:sz w:val="18"/>
              </w:rPr>
              <w:t>Merkez</w:t>
            </w:r>
          </w:p>
        </w:tc>
        <w:tc>
          <w:tcPr>
            <w:tcW w:w="1496" w:type="dxa"/>
            <w:tcBorders>
              <w:top w:val="single" w:sz="4" w:space="0" w:color="000000"/>
              <w:bottom w:val="single" w:sz="4" w:space="0" w:color="000000"/>
            </w:tcBorders>
          </w:tcPr>
          <w:p>
            <w:pPr>
              <w:pStyle w:val="TableParagraph"/>
              <w:spacing w:line="202" w:lineRule="exact"/>
              <w:ind w:left="257"/>
              <w:rPr>
                <w:sz w:val="18"/>
              </w:rPr>
            </w:pPr>
            <w:r>
              <w:rPr>
                <w:sz w:val="18"/>
              </w:rPr>
              <w:t>Kale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187" w:right="174" w:firstLine="175"/>
              <w:rPr>
                <w:sz w:val="18"/>
              </w:rPr>
            </w:pPr>
            <w:r>
              <w:rPr>
                <w:sz w:val="18"/>
              </w:rPr>
              <w:t>48 konutun nakli önerildi.48 kişi hak</w:t>
            </w:r>
          </w:p>
          <w:p>
            <w:pPr>
              <w:pStyle w:val="TableParagraph"/>
              <w:spacing w:line="276" w:lineRule="auto"/>
              <w:ind w:left="298" w:right="299" w:hanging="4"/>
              <w:jc w:val="center"/>
              <w:rPr>
                <w:sz w:val="18"/>
              </w:rPr>
            </w:pPr>
            <w:r>
              <w:rPr>
                <w:sz w:val="18"/>
              </w:rPr>
              <w:t>sahibi oldu. Konutları teslim</w:t>
            </w:r>
          </w:p>
          <w:p>
            <w:pPr>
              <w:pStyle w:val="TableParagraph"/>
              <w:ind w:left="90" w:right="95"/>
              <w:jc w:val="center"/>
              <w:rPr>
                <w:sz w:val="18"/>
              </w:rPr>
            </w:pPr>
            <w:r>
              <w:rPr>
                <w:sz w:val="18"/>
              </w:rPr>
              <w:t>edildi.</w:t>
            </w:r>
          </w:p>
        </w:tc>
      </w:tr>
      <w:tr>
        <w:trPr>
          <w:trHeight w:val="453" w:hRule="atLeast"/>
        </w:trPr>
        <w:tc>
          <w:tcPr>
            <w:tcW w:w="1632" w:type="dxa"/>
            <w:tcBorders>
              <w:top w:val="single" w:sz="4" w:space="0" w:color="000000"/>
            </w:tcBorders>
          </w:tcPr>
          <w:p>
            <w:pPr>
              <w:pStyle w:val="TableParagraph"/>
              <w:ind w:left="636" w:right="283" w:hanging="464"/>
              <w:rPr>
                <w:sz w:val="18"/>
              </w:rPr>
            </w:pPr>
            <w:r>
              <w:rPr>
                <w:sz w:val="18"/>
              </w:rPr>
              <w:t>Kaya Düşmesi+ Sel</w:t>
            </w:r>
          </w:p>
        </w:tc>
        <w:tc>
          <w:tcPr>
            <w:tcW w:w="1646" w:type="dxa"/>
            <w:tcBorders>
              <w:top w:val="single" w:sz="4" w:space="0" w:color="000000"/>
            </w:tcBorders>
          </w:tcPr>
          <w:p>
            <w:pPr>
              <w:pStyle w:val="TableParagraph"/>
              <w:spacing w:line="202" w:lineRule="exact"/>
              <w:ind w:left="447"/>
              <w:rPr>
                <w:sz w:val="18"/>
              </w:rPr>
            </w:pPr>
            <w:r>
              <w:rPr>
                <w:sz w:val="18"/>
              </w:rPr>
              <w:t>08.10.83</w:t>
            </w:r>
          </w:p>
        </w:tc>
        <w:tc>
          <w:tcPr>
            <w:tcW w:w="1023" w:type="dxa"/>
            <w:tcBorders>
              <w:top w:val="single" w:sz="4" w:space="0" w:color="000000"/>
            </w:tcBorders>
          </w:tcPr>
          <w:p>
            <w:pPr>
              <w:pStyle w:val="TableParagraph"/>
              <w:spacing w:line="202" w:lineRule="exact"/>
              <w:ind w:left="248" w:right="184"/>
              <w:jc w:val="center"/>
              <w:rPr>
                <w:sz w:val="18"/>
              </w:rPr>
            </w:pPr>
            <w:r>
              <w:rPr>
                <w:sz w:val="18"/>
              </w:rPr>
              <w:t>Merkez</w:t>
            </w:r>
          </w:p>
        </w:tc>
        <w:tc>
          <w:tcPr>
            <w:tcW w:w="1496" w:type="dxa"/>
            <w:tcBorders>
              <w:top w:val="single" w:sz="4" w:space="0" w:color="000000"/>
            </w:tcBorders>
          </w:tcPr>
          <w:p>
            <w:pPr>
              <w:pStyle w:val="TableParagraph"/>
              <w:spacing w:line="202" w:lineRule="exact"/>
              <w:ind w:left="236"/>
              <w:rPr>
                <w:sz w:val="18"/>
              </w:rPr>
            </w:pPr>
            <w:r>
              <w:rPr>
                <w:sz w:val="18"/>
              </w:rPr>
              <w:t>Pirahmet Köyü</w:t>
            </w:r>
          </w:p>
        </w:tc>
        <w:tc>
          <w:tcPr>
            <w:tcW w:w="761" w:type="dxa"/>
            <w:vMerge w:val="restart"/>
            <w:tcBorders>
              <w:top w:val="single" w:sz="4" w:space="0" w:color="000000"/>
              <w:bottom w:val="single" w:sz="4" w:space="0" w:color="000000"/>
            </w:tcBorders>
          </w:tcPr>
          <w:p>
            <w:pPr>
              <w:pStyle w:val="TableParagraph"/>
              <w:rPr>
                <w:sz w:val="18"/>
              </w:rPr>
            </w:pPr>
          </w:p>
        </w:tc>
        <w:tc>
          <w:tcPr>
            <w:tcW w:w="1776" w:type="dxa"/>
            <w:tcBorders>
              <w:top w:val="single" w:sz="4" w:space="0" w:color="000000"/>
            </w:tcBorders>
          </w:tcPr>
          <w:p>
            <w:pPr>
              <w:pStyle w:val="TableParagraph"/>
              <w:spacing w:line="202" w:lineRule="exact"/>
              <w:ind w:left="88" w:right="96"/>
              <w:jc w:val="center"/>
              <w:rPr>
                <w:sz w:val="18"/>
              </w:rPr>
            </w:pPr>
            <w:r>
              <w:rPr>
                <w:sz w:val="18"/>
              </w:rPr>
              <w:t>Kaya ıslah çalışması</w:t>
            </w:r>
          </w:p>
          <w:p>
            <w:pPr>
              <w:pStyle w:val="TableParagraph"/>
              <w:spacing w:line="201" w:lineRule="exact" w:before="30"/>
              <w:ind w:left="90" w:right="96"/>
              <w:jc w:val="center"/>
              <w:rPr>
                <w:sz w:val="18"/>
              </w:rPr>
            </w:pPr>
            <w:r>
              <w:rPr>
                <w:sz w:val="18"/>
              </w:rPr>
              <w:t>yapıldığı için</w:t>
            </w:r>
          </w:p>
        </w:tc>
      </w:tr>
      <w:tr>
        <w:trPr>
          <w:trHeight w:val="227" w:hRule="atLeast"/>
        </w:trPr>
        <w:tc>
          <w:tcPr>
            <w:tcW w:w="1632" w:type="dxa"/>
          </w:tcPr>
          <w:p>
            <w:pPr>
              <w:pStyle w:val="TableParagraph"/>
              <w:rPr>
                <w:sz w:val="16"/>
              </w:rPr>
            </w:pPr>
          </w:p>
        </w:tc>
        <w:tc>
          <w:tcPr>
            <w:tcW w:w="1646" w:type="dxa"/>
          </w:tcPr>
          <w:p>
            <w:pPr>
              <w:pStyle w:val="TableParagraph"/>
              <w:rPr>
                <w:sz w:val="16"/>
              </w:rPr>
            </w:pPr>
          </w:p>
        </w:tc>
        <w:tc>
          <w:tcPr>
            <w:tcW w:w="1023" w:type="dxa"/>
          </w:tcPr>
          <w:p>
            <w:pPr>
              <w:pStyle w:val="TableParagraph"/>
              <w:rPr>
                <w:sz w:val="16"/>
              </w:rPr>
            </w:pPr>
          </w:p>
        </w:tc>
        <w:tc>
          <w:tcPr>
            <w:tcW w:w="1496" w:type="dxa"/>
          </w:tcPr>
          <w:p>
            <w:pPr>
              <w:pStyle w:val="TableParagraph"/>
              <w:rPr>
                <w:sz w:val="16"/>
              </w:rPr>
            </w:pPr>
          </w:p>
        </w:tc>
        <w:tc>
          <w:tcPr>
            <w:tcW w:w="761" w:type="dxa"/>
            <w:vMerge/>
            <w:tcBorders>
              <w:top w:val="nil"/>
              <w:bottom w:val="single" w:sz="4" w:space="0" w:color="000000"/>
            </w:tcBorders>
          </w:tcPr>
          <w:p>
            <w:pPr>
              <w:rPr>
                <w:sz w:val="2"/>
                <w:szCs w:val="2"/>
              </w:rPr>
            </w:pPr>
          </w:p>
        </w:tc>
        <w:tc>
          <w:tcPr>
            <w:tcW w:w="1776" w:type="dxa"/>
          </w:tcPr>
          <w:p>
            <w:pPr>
              <w:pStyle w:val="TableParagraph"/>
              <w:spacing w:line="201" w:lineRule="exact" w:before="6"/>
              <w:ind w:left="90" w:right="95"/>
              <w:jc w:val="center"/>
              <w:rPr>
                <w:sz w:val="18"/>
              </w:rPr>
            </w:pPr>
            <w:r>
              <w:rPr>
                <w:sz w:val="18"/>
              </w:rPr>
              <w:t>konutların nakline</w:t>
            </w:r>
          </w:p>
        </w:tc>
      </w:tr>
      <w:tr>
        <w:trPr>
          <w:trHeight w:val="229" w:hRule="atLeast"/>
        </w:trPr>
        <w:tc>
          <w:tcPr>
            <w:tcW w:w="1632" w:type="dxa"/>
          </w:tcPr>
          <w:p>
            <w:pPr>
              <w:pStyle w:val="TableParagraph"/>
              <w:rPr>
                <w:sz w:val="16"/>
              </w:rPr>
            </w:pPr>
          </w:p>
        </w:tc>
        <w:tc>
          <w:tcPr>
            <w:tcW w:w="1646" w:type="dxa"/>
          </w:tcPr>
          <w:p>
            <w:pPr>
              <w:pStyle w:val="TableParagraph"/>
              <w:rPr>
                <w:sz w:val="16"/>
              </w:rPr>
            </w:pPr>
          </w:p>
        </w:tc>
        <w:tc>
          <w:tcPr>
            <w:tcW w:w="1023" w:type="dxa"/>
          </w:tcPr>
          <w:p>
            <w:pPr>
              <w:pStyle w:val="TableParagraph"/>
              <w:rPr>
                <w:sz w:val="16"/>
              </w:rPr>
            </w:pPr>
          </w:p>
        </w:tc>
        <w:tc>
          <w:tcPr>
            <w:tcW w:w="1496" w:type="dxa"/>
          </w:tcPr>
          <w:p>
            <w:pPr>
              <w:pStyle w:val="TableParagraph"/>
              <w:rPr>
                <w:sz w:val="16"/>
              </w:rPr>
            </w:pPr>
          </w:p>
        </w:tc>
        <w:tc>
          <w:tcPr>
            <w:tcW w:w="761" w:type="dxa"/>
            <w:vMerge/>
            <w:tcBorders>
              <w:top w:val="nil"/>
              <w:bottom w:val="single" w:sz="4" w:space="0" w:color="000000"/>
            </w:tcBorders>
          </w:tcPr>
          <w:p>
            <w:pPr>
              <w:rPr>
                <w:sz w:val="2"/>
                <w:szCs w:val="2"/>
              </w:rPr>
            </w:pPr>
          </w:p>
        </w:tc>
        <w:tc>
          <w:tcPr>
            <w:tcW w:w="1776" w:type="dxa"/>
          </w:tcPr>
          <w:p>
            <w:pPr>
              <w:pStyle w:val="TableParagraph"/>
              <w:spacing w:line="203" w:lineRule="exact" w:before="6"/>
              <w:ind w:left="90" w:right="96"/>
              <w:jc w:val="center"/>
              <w:rPr>
                <w:sz w:val="18"/>
              </w:rPr>
            </w:pPr>
            <w:r>
              <w:rPr>
                <w:sz w:val="18"/>
              </w:rPr>
              <w:t>gerek olmadığı kararı</w:t>
            </w:r>
          </w:p>
        </w:tc>
      </w:tr>
      <w:tr>
        <w:trPr>
          <w:trHeight w:val="250" w:hRule="atLeast"/>
        </w:trPr>
        <w:tc>
          <w:tcPr>
            <w:tcW w:w="1632" w:type="dxa"/>
            <w:tcBorders>
              <w:bottom w:val="single" w:sz="4" w:space="0" w:color="000000"/>
            </w:tcBorders>
          </w:tcPr>
          <w:p>
            <w:pPr>
              <w:pStyle w:val="TableParagraph"/>
              <w:rPr>
                <w:sz w:val="18"/>
              </w:rPr>
            </w:pPr>
          </w:p>
        </w:tc>
        <w:tc>
          <w:tcPr>
            <w:tcW w:w="1646" w:type="dxa"/>
            <w:tcBorders>
              <w:bottom w:val="single" w:sz="4" w:space="0" w:color="000000"/>
            </w:tcBorders>
          </w:tcPr>
          <w:p>
            <w:pPr>
              <w:pStyle w:val="TableParagraph"/>
              <w:rPr>
                <w:sz w:val="18"/>
              </w:rPr>
            </w:pPr>
          </w:p>
        </w:tc>
        <w:tc>
          <w:tcPr>
            <w:tcW w:w="1023" w:type="dxa"/>
            <w:tcBorders>
              <w:bottom w:val="single" w:sz="4" w:space="0" w:color="000000"/>
            </w:tcBorders>
          </w:tcPr>
          <w:p>
            <w:pPr>
              <w:pStyle w:val="TableParagraph"/>
              <w:rPr>
                <w:sz w:val="18"/>
              </w:rPr>
            </w:pPr>
          </w:p>
        </w:tc>
        <w:tc>
          <w:tcPr>
            <w:tcW w:w="1496" w:type="dxa"/>
            <w:tcBorders>
              <w:bottom w:val="single" w:sz="4" w:space="0" w:color="000000"/>
            </w:tcBorders>
          </w:tcPr>
          <w:p>
            <w:pPr>
              <w:pStyle w:val="TableParagraph"/>
              <w:rPr>
                <w:sz w:val="18"/>
              </w:rPr>
            </w:pPr>
          </w:p>
        </w:tc>
        <w:tc>
          <w:tcPr>
            <w:tcW w:w="761" w:type="dxa"/>
            <w:vMerge/>
            <w:tcBorders>
              <w:top w:val="nil"/>
              <w:bottom w:val="single" w:sz="4" w:space="0" w:color="000000"/>
            </w:tcBorders>
          </w:tcPr>
          <w:p>
            <w:pPr>
              <w:rPr>
                <w:sz w:val="2"/>
                <w:szCs w:val="2"/>
              </w:rPr>
            </w:pPr>
          </w:p>
        </w:tc>
        <w:tc>
          <w:tcPr>
            <w:tcW w:w="1776" w:type="dxa"/>
            <w:tcBorders>
              <w:bottom w:val="single" w:sz="4" w:space="0" w:color="000000"/>
            </w:tcBorders>
          </w:tcPr>
          <w:p>
            <w:pPr>
              <w:pStyle w:val="TableParagraph"/>
              <w:spacing w:before="8"/>
              <w:ind w:left="89" w:right="96"/>
              <w:jc w:val="center"/>
              <w:rPr>
                <w:sz w:val="18"/>
              </w:rPr>
            </w:pPr>
            <w:r>
              <w:rPr>
                <w:sz w:val="18"/>
              </w:rPr>
              <w:t>alınmıştır.</w:t>
            </w:r>
          </w:p>
        </w:tc>
      </w:tr>
      <w:tr>
        <w:trPr>
          <w:trHeight w:val="474" w:hRule="atLeast"/>
        </w:trPr>
        <w:tc>
          <w:tcPr>
            <w:tcW w:w="1632" w:type="dxa"/>
            <w:tcBorders>
              <w:top w:val="single" w:sz="4" w:space="0" w:color="000000"/>
              <w:bottom w:val="single" w:sz="4" w:space="0" w:color="000000"/>
            </w:tcBorders>
          </w:tcPr>
          <w:p>
            <w:pPr>
              <w:pStyle w:val="TableParagraph"/>
              <w:spacing w:line="202"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19.09.84</w:t>
            </w:r>
          </w:p>
        </w:tc>
        <w:tc>
          <w:tcPr>
            <w:tcW w:w="1023" w:type="dxa"/>
            <w:tcBorders>
              <w:top w:val="single" w:sz="4" w:space="0" w:color="000000"/>
              <w:bottom w:val="single" w:sz="4" w:space="0" w:color="000000"/>
            </w:tcBorders>
          </w:tcPr>
          <w:p>
            <w:pPr>
              <w:pStyle w:val="TableParagraph"/>
              <w:spacing w:line="202" w:lineRule="exact"/>
              <w:ind w:left="248" w:right="184"/>
              <w:jc w:val="center"/>
              <w:rPr>
                <w:sz w:val="18"/>
              </w:rPr>
            </w:pPr>
            <w:r>
              <w:rPr>
                <w:sz w:val="18"/>
              </w:rPr>
              <w:t>Merkez</w:t>
            </w:r>
          </w:p>
        </w:tc>
        <w:tc>
          <w:tcPr>
            <w:tcW w:w="1496" w:type="dxa"/>
            <w:tcBorders>
              <w:top w:val="single" w:sz="4" w:space="0" w:color="000000"/>
              <w:bottom w:val="single" w:sz="4" w:space="0" w:color="000000"/>
            </w:tcBorders>
          </w:tcPr>
          <w:p>
            <w:pPr>
              <w:pStyle w:val="TableParagraph"/>
              <w:spacing w:line="202" w:lineRule="exact"/>
              <w:ind w:left="204"/>
              <w:rPr>
                <w:sz w:val="18"/>
              </w:rPr>
            </w:pPr>
            <w:r>
              <w:rPr>
                <w:sz w:val="18"/>
              </w:rPr>
              <w:t>Yağlıdere Köyü</w:t>
            </w:r>
          </w:p>
        </w:tc>
        <w:tc>
          <w:tcPr>
            <w:tcW w:w="761" w:type="dxa"/>
            <w:tcBorders>
              <w:top w:val="single" w:sz="4" w:space="0" w:color="000000"/>
              <w:bottom w:val="single" w:sz="4" w:space="0" w:color="000000"/>
            </w:tcBorders>
          </w:tcPr>
          <w:p>
            <w:pPr>
              <w:pStyle w:val="TableParagraph"/>
              <w:spacing w:line="202" w:lineRule="exact"/>
              <w:ind w:left="192"/>
              <w:rPr>
                <w:sz w:val="18"/>
              </w:rPr>
            </w:pPr>
            <w:r>
              <w:rPr>
                <w:sz w:val="18"/>
              </w:rPr>
              <w:t>Cami</w:t>
            </w:r>
          </w:p>
          <w:p>
            <w:pPr>
              <w:pStyle w:val="TableParagraph"/>
              <w:spacing w:before="30"/>
              <w:ind w:left="199"/>
              <w:rPr>
                <w:sz w:val="18"/>
              </w:rPr>
            </w:pPr>
            <w:r>
              <w:rPr>
                <w:sz w:val="18"/>
              </w:rPr>
              <w:t>Mah.</w:t>
            </w:r>
          </w:p>
        </w:tc>
        <w:tc>
          <w:tcPr>
            <w:tcW w:w="1776" w:type="dxa"/>
            <w:tcBorders>
              <w:top w:val="single" w:sz="4" w:space="0" w:color="000000"/>
              <w:bottom w:val="single" w:sz="4" w:space="0" w:color="000000"/>
            </w:tcBorders>
          </w:tcPr>
          <w:p>
            <w:pPr>
              <w:pStyle w:val="TableParagraph"/>
              <w:spacing w:line="202" w:lineRule="exact"/>
              <w:ind w:left="89" w:right="96"/>
              <w:jc w:val="center"/>
              <w:rPr>
                <w:sz w:val="18"/>
              </w:rPr>
            </w:pPr>
            <w:r>
              <w:rPr>
                <w:sz w:val="18"/>
              </w:rPr>
              <w:t>Arazi Kaybı</w:t>
            </w:r>
          </w:p>
        </w:tc>
      </w:tr>
      <w:tr>
        <w:trPr>
          <w:trHeight w:val="1190" w:hRule="atLeast"/>
        </w:trPr>
        <w:tc>
          <w:tcPr>
            <w:tcW w:w="1632" w:type="dxa"/>
            <w:tcBorders>
              <w:top w:val="single" w:sz="4" w:space="0" w:color="000000"/>
              <w:bottom w:val="single" w:sz="4" w:space="0" w:color="000000"/>
            </w:tcBorders>
          </w:tcPr>
          <w:p>
            <w:pPr>
              <w:pStyle w:val="TableParagraph"/>
              <w:spacing w:line="202" w:lineRule="exact"/>
              <w:ind w:left="241" w:right="374"/>
              <w:jc w:val="center"/>
              <w:rPr>
                <w:sz w:val="18"/>
              </w:rPr>
            </w:pPr>
            <w:r>
              <w:rPr>
                <w:sz w:val="18"/>
              </w:rPr>
              <w:t>Heyelan+ 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22.09.84</w:t>
            </w:r>
          </w:p>
        </w:tc>
        <w:tc>
          <w:tcPr>
            <w:tcW w:w="1023" w:type="dxa"/>
            <w:tcBorders>
              <w:top w:val="single" w:sz="4" w:space="0" w:color="000000"/>
              <w:bottom w:val="single" w:sz="4" w:space="0" w:color="000000"/>
            </w:tcBorders>
          </w:tcPr>
          <w:p>
            <w:pPr>
              <w:pStyle w:val="TableParagraph"/>
              <w:spacing w:line="202" w:lineRule="exact"/>
              <w:ind w:left="248" w:right="183"/>
              <w:jc w:val="center"/>
              <w:rPr>
                <w:sz w:val="18"/>
              </w:rPr>
            </w:pPr>
            <w:r>
              <w:rPr>
                <w:sz w:val="18"/>
              </w:rPr>
              <w:t>Kelkit</w:t>
            </w:r>
          </w:p>
        </w:tc>
        <w:tc>
          <w:tcPr>
            <w:tcW w:w="1496" w:type="dxa"/>
            <w:tcBorders>
              <w:top w:val="single" w:sz="4" w:space="0" w:color="000000"/>
              <w:bottom w:val="single" w:sz="4" w:space="0" w:color="000000"/>
            </w:tcBorders>
          </w:tcPr>
          <w:p>
            <w:pPr>
              <w:pStyle w:val="TableParagraph"/>
              <w:spacing w:line="202" w:lineRule="exact"/>
              <w:ind w:left="224"/>
              <w:rPr>
                <w:sz w:val="18"/>
              </w:rPr>
            </w:pPr>
            <w:r>
              <w:rPr>
                <w:sz w:val="18"/>
              </w:rPr>
              <w:t>Aydoğdu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8" w:lineRule="auto"/>
              <w:ind w:left="408" w:right="174" w:hanging="46"/>
              <w:rPr>
                <w:sz w:val="18"/>
              </w:rPr>
            </w:pPr>
            <w:r>
              <w:rPr>
                <w:sz w:val="18"/>
              </w:rPr>
              <w:t>32 konutun nakli önerildi. Hak</w:t>
            </w:r>
          </w:p>
          <w:p>
            <w:pPr>
              <w:pStyle w:val="TableParagraph"/>
              <w:spacing w:line="276" w:lineRule="auto"/>
              <w:ind w:left="90" w:right="96"/>
              <w:jc w:val="center"/>
              <w:rPr>
                <w:sz w:val="18"/>
              </w:rPr>
            </w:pPr>
            <w:r>
              <w:rPr>
                <w:sz w:val="18"/>
              </w:rPr>
              <w:t>sahipliği çalışması yapılıp konutları</w:t>
            </w:r>
          </w:p>
          <w:p>
            <w:pPr>
              <w:pStyle w:val="TableParagraph"/>
              <w:spacing w:line="206" w:lineRule="exact"/>
              <w:ind w:left="413"/>
              <w:rPr>
                <w:sz w:val="18"/>
              </w:rPr>
            </w:pPr>
            <w:r>
              <w:rPr>
                <w:sz w:val="18"/>
              </w:rPr>
              <w:t>teslim edildi.</w:t>
            </w:r>
          </w:p>
        </w:tc>
      </w:tr>
      <w:tr>
        <w:trPr>
          <w:trHeight w:val="952" w:hRule="atLeast"/>
        </w:trPr>
        <w:tc>
          <w:tcPr>
            <w:tcW w:w="1632" w:type="dxa"/>
            <w:tcBorders>
              <w:top w:val="single" w:sz="4" w:space="0" w:color="000000"/>
              <w:bottom w:val="single" w:sz="4" w:space="0" w:color="000000"/>
            </w:tcBorders>
          </w:tcPr>
          <w:p>
            <w:pPr>
              <w:pStyle w:val="TableParagraph"/>
              <w:spacing w:line="204"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4" w:lineRule="exact"/>
              <w:ind w:left="447"/>
              <w:rPr>
                <w:sz w:val="18"/>
              </w:rPr>
            </w:pPr>
            <w:r>
              <w:rPr>
                <w:sz w:val="18"/>
              </w:rPr>
              <w:t>12.03.07</w:t>
            </w:r>
          </w:p>
        </w:tc>
        <w:tc>
          <w:tcPr>
            <w:tcW w:w="1023" w:type="dxa"/>
            <w:tcBorders>
              <w:top w:val="single" w:sz="4" w:space="0" w:color="000000"/>
              <w:bottom w:val="single" w:sz="4" w:space="0" w:color="000000"/>
            </w:tcBorders>
          </w:tcPr>
          <w:p>
            <w:pPr>
              <w:pStyle w:val="TableParagraph"/>
              <w:spacing w:line="204" w:lineRule="exact"/>
              <w:ind w:left="248" w:right="183"/>
              <w:jc w:val="center"/>
              <w:rPr>
                <w:sz w:val="18"/>
              </w:rPr>
            </w:pPr>
            <w:r>
              <w:rPr>
                <w:sz w:val="18"/>
              </w:rPr>
              <w:t>Kelkit</w:t>
            </w:r>
          </w:p>
        </w:tc>
        <w:tc>
          <w:tcPr>
            <w:tcW w:w="1496" w:type="dxa"/>
            <w:tcBorders>
              <w:top w:val="single" w:sz="4" w:space="0" w:color="000000"/>
              <w:bottom w:val="single" w:sz="4" w:space="0" w:color="000000"/>
            </w:tcBorders>
          </w:tcPr>
          <w:p>
            <w:pPr>
              <w:pStyle w:val="TableParagraph"/>
              <w:spacing w:line="204" w:lineRule="exact"/>
              <w:ind w:left="320"/>
              <w:rPr>
                <w:sz w:val="18"/>
              </w:rPr>
            </w:pPr>
            <w:r>
              <w:rPr>
                <w:sz w:val="18"/>
              </w:rPr>
              <w:t>Bindal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360" w:right="174" w:firstLine="2"/>
              <w:rPr>
                <w:sz w:val="18"/>
              </w:rPr>
            </w:pPr>
            <w:r>
              <w:rPr>
                <w:sz w:val="18"/>
              </w:rPr>
              <w:t>71 konutun nakli önerildi. Afete</w:t>
            </w:r>
          </w:p>
          <w:p>
            <w:pPr>
              <w:pStyle w:val="TableParagraph"/>
              <w:spacing w:line="206" w:lineRule="exact"/>
              <w:ind w:left="90" w:right="96"/>
              <w:jc w:val="center"/>
              <w:rPr>
                <w:sz w:val="18"/>
              </w:rPr>
            </w:pPr>
            <w:r>
              <w:rPr>
                <w:sz w:val="18"/>
              </w:rPr>
              <w:t>Maruz Bölge plan</w:t>
            </w:r>
          </w:p>
          <w:p>
            <w:pPr>
              <w:pStyle w:val="TableParagraph"/>
              <w:spacing w:before="28"/>
              <w:ind w:left="90" w:right="95"/>
              <w:jc w:val="center"/>
              <w:rPr>
                <w:sz w:val="18"/>
              </w:rPr>
            </w:pPr>
            <w:r>
              <w:rPr>
                <w:sz w:val="18"/>
              </w:rPr>
              <w:t>edildi.</w:t>
            </w:r>
          </w:p>
        </w:tc>
      </w:tr>
      <w:tr>
        <w:trPr>
          <w:trHeight w:val="952" w:hRule="atLeast"/>
        </w:trPr>
        <w:tc>
          <w:tcPr>
            <w:tcW w:w="1632" w:type="dxa"/>
            <w:tcBorders>
              <w:top w:val="single" w:sz="4" w:space="0" w:color="000000"/>
              <w:bottom w:val="single" w:sz="4" w:space="0" w:color="000000"/>
            </w:tcBorders>
          </w:tcPr>
          <w:p>
            <w:pPr>
              <w:pStyle w:val="TableParagraph"/>
              <w:spacing w:line="202"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19.07.78</w:t>
            </w:r>
          </w:p>
        </w:tc>
        <w:tc>
          <w:tcPr>
            <w:tcW w:w="1023" w:type="dxa"/>
            <w:tcBorders>
              <w:top w:val="single" w:sz="4" w:space="0" w:color="000000"/>
              <w:bottom w:val="single" w:sz="4" w:space="0" w:color="000000"/>
            </w:tcBorders>
          </w:tcPr>
          <w:p>
            <w:pPr>
              <w:pStyle w:val="TableParagraph"/>
              <w:spacing w:line="202" w:lineRule="exact"/>
              <w:ind w:left="248" w:right="183"/>
              <w:jc w:val="center"/>
              <w:rPr>
                <w:sz w:val="18"/>
              </w:rPr>
            </w:pPr>
            <w:r>
              <w:rPr>
                <w:sz w:val="18"/>
              </w:rPr>
              <w:t>Kelkit</w:t>
            </w:r>
          </w:p>
        </w:tc>
        <w:tc>
          <w:tcPr>
            <w:tcW w:w="1496" w:type="dxa"/>
            <w:tcBorders>
              <w:top w:val="single" w:sz="4" w:space="0" w:color="000000"/>
              <w:bottom w:val="single" w:sz="4" w:space="0" w:color="000000"/>
            </w:tcBorders>
          </w:tcPr>
          <w:p>
            <w:pPr>
              <w:pStyle w:val="TableParagraph"/>
              <w:spacing w:line="202" w:lineRule="exact"/>
              <w:ind w:left="274"/>
              <w:rPr>
                <w:sz w:val="18"/>
              </w:rPr>
            </w:pPr>
            <w:r>
              <w:rPr>
                <w:sz w:val="18"/>
              </w:rPr>
              <w:t>Cemallı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132" w:right="141" w:firstLine="72"/>
              <w:jc w:val="both"/>
              <w:rPr>
                <w:sz w:val="18"/>
              </w:rPr>
            </w:pPr>
            <w:r>
              <w:rPr>
                <w:sz w:val="18"/>
              </w:rPr>
              <w:t>Genel hayata etkili görülüp. D.S.G etüt raporunda 5 konutun</w:t>
            </w:r>
          </w:p>
          <w:p>
            <w:pPr>
              <w:pStyle w:val="TableParagraph"/>
              <w:ind w:left="379"/>
              <w:rPr>
                <w:sz w:val="18"/>
              </w:rPr>
            </w:pPr>
            <w:r>
              <w:rPr>
                <w:sz w:val="18"/>
              </w:rPr>
              <w:t>nakli önerildi.</w:t>
            </w:r>
          </w:p>
        </w:tc>
      </w:tr>
      <w:tr>
        <w:trPr>
          <w:trHeight w:val="237" w:hRule="atLeast"/>
        </w:trPr>
        <w:tc>
          <w:tcPr>
            <w:tcW w:w="1632" w:type="dxa"/>
            <w:tcBorders>
              <w:top w:val="single" w:sz="4" w:space="0" w:color="000000"/>
              <w:bottom w:val="single" w:sz="4" w:space="0" w:color="000000"/>
            </w:tcBorders>
          </w:tcPr>
          <w:p>
            <w:pPr>
              <w:pStyle w:val="TableParagraph"/>
              <w:spacing w:line="202" w:lineRule="exact"/>
              <w:ind w:left="241" w:right="374"/>
              <w:jc w:val="center"/>
              <w:rPr>
                <w:sz w:val="18"/>
              </w:rPr>
            </w:pPr>
            <w:r>
              <w:rPr>
                <w:sz w:val="18"/>
              </w:rPr>
              <w:t>Heyelan+ Sel</w:t>
            </w:r>
          </w:p>
        </w:tc>
        <w:tc>
          <w:tcPr>
            <w:tcW w:w="1646" w:type="dxa"/>
            <w:tcBorders>
              <w:top w:val="single" w:sz="4" w:space="0" w:color="000000"/>
              <w:bottom w:val="single" w:sz="4" w:space="0" w:color="000000"/>
            </w:tcBorders>
          </w:tcPr>
          <w:p>
            <w:pPr>
              <w:pStyle w:val="TableParagraph"/>
              <w:spacing w:line="202" w:lineRule="exact"/>
              <w:ind w:left="447"/>
              <w:rPr>
                <w:sz w:val="18"/>
              </w:rPr>
            </w:pPr>
            <w:r>
              <w:rPr>
                <w:sz w:val="18"/>
              </w:rPr>
              <w:t>09.06.98</w:t>
            </w:r>
          </w:p>
        </w:tc>
        <w:tc>
          <w:tcPr>
            <w:tcW w:w="1023" w:type="dxa"/>
            <w:tcBorders>
              <w:top w:val="single" w:sz="4" w:space="0" w:color="000000"/>
              <w:bottom w:val="single" w:sz="4" w:space="0" w:color="000000"/>
            </w:tcBorders>
          </w:tcPr>
          <w:p>
            <w:pPr>
              <w:pStyle w:val="TableParagraph"/>
              <w:spacing w:line="202" w:lineRule="exact"/>
              <w:ind w:left="248" w:right="183"/>
              <w:jc w:val="center"/>
              <w:rPr>
                <w:sz w:val="18"/>
              </w:rPr>
            </w:pPr>
            <w:r>
              <w:rPr>
                <w:sz w:val="18"/>
              </w:rPr>
              <w:t>Kelkit</w:t>
            </w:r>
          </w:p>
        </w:tc>
        <w:tc>
          <w:tcPr>
            <w:tcW w:w="1496" w:type="dxa"/>
            <w:tcBorders>
              <w:top w:val="single" w:sz="4" w:space="0" w:color="000000"/>
              <w:bottom w:val="single" w:sz="4" w:space="0" w:color="000000"/>
            </w:tcBorders>
          </w:tcPr>
          <w:p>
            <w:pPr>
              <w:pStyle w:val="TableParagraph"/>
              <w:spacing w:line="202" w:lineRule="exact"/>
              <w:ind w:left="209"/>
              <w:rPr>
                <w:sz w:val="18"/>
              </w:rPr>
            </w:pPr>
            <w:r>
              <w:rPr>
                <w:sz w:val="18"/>
              </w:rPr>
              <w:t>Çömlecik Köyü</w:t>
            </w:r>
          </w:p>
        </w:tc>
        <w:tc>
          <w:tcPr>
            <w:tcW w:w="761" w:type="dxa"/>
            <w:tcBorders>
              <w:top w:val="single" w:sz="4" w:space="0" w:color="000000"/>
              <w:bottom w:val="single" w:sz="4" w:space="0" w:color="000000"/>
            </w:tcBorders>
          </w:tcPr>
          <w:p>
            <w:pPr>
              <w:pStyle w:val="TableParagraph"/>
              <w:rPr>
                <w:sz w:val="16"/>
              </w:rPr>
            </w:pPr>
          </w:p>
        </w:tc>
        <w:tc>
          <w:tcPr>
            <w:tcW w:w="1776" w:type="dxa"/>
            <w:tcBorders>
              <w:top w:val="single" w:sz="4" w:space="0" w:color="000000"/>
              <w:bottom w:val="single" w:sz="4" w:space="0" w:color="000000"/>
            </w:tcBorders>
          </w:tcPr>
          <w:p>
            <w:pPr>
              <w:pStyle w:val="TableParagraph"/>
              <w:spacing w:line="202" w:lineRule="exact"/>
              <w:ind w:left="86" w:right="96"/>
              <w:jc w:val="center"/>
              <w:rPr>
                <w:sz w:val="18"/>
              </w:rPr>
            </w:pPr>
            <w:r>
              <w:rPr>
                <w:sz w:val="18"/>
              </w:rPr>
              <w:t>Arazi kaybı</w:t>
            </w:r>
          </w:p>
        </w:tc>
      </w:tr>
      <w:tr>
        <w:trPr>
          <w:trHeight w:val="223" w:hRule="atLeast"/>
        </w:trPr>
        <w:tc>
          <w:tcPr>
            <w:tcW w:w="1632" w:type="dxa"/>
            <w:tcBorders>
              <w:top w:val="single" w:sz="4" w:space="0" w:color="000000"/>
            </w:tcBorders>
          </w:tcPr>
          <w:p>
            <w:pPr>
              <w:pStyle w:val="TableParagraph"/>
              <w:spacing w:line="203" w:lineRule="exact"/>
              <w:ind w:left="241" w:right="374"/>
              <w:jc w:val="center"/>
              <w:rPr>
                <w:sz w:val="18"/>
              </w:rPr>
            </w:pPr>
            <w:r>
              <w:rPr>
                <w:sz w:val="18"/>
              </w:rPr>
              <w:t>Sel+ Heyelan</w:t>
            </w:r>
          </w:p>
        </w:tc>
        <w:tc>
          <w:tcPr>
            <w:tcW w:w="1646" w:type="dxa"/>
            <w:tcBorders>
              <w:top w:val="single" w:sz="4" w:space="0" w:color="000000"/>
            </w:tcBorders>
          </w:tcPr>
          <w:p>
            <w:pPr>
              <w:pStyle w:val="TableParagraph"/>
              <w:spacing w:line="203" w:lineRule="exact"/>
              <w:ind w:left="447"/>
              <w:rPr>
                <w:sz w:val="18"/>
              </w:rPr>
            </w:pPr>
            <w:r>
              <w:rPr>
                <w:sz w:val="18"/>
              </w:rPr>
              <w:t>08.05.07</w:t>
            </w:r>
          </w:p>
        </w:tc>
        <w:tc>
          <w:tcPr>
            <w:tcW w:w="1023" w:type="dxa"/>
            <w:tcBorders>
              <w:top w:val="single" w:sz="4" w:space="0" w:color="000000"/>
            </w:tcBorders>
          </w:tcPr>
          <w:p>
            <w:pPr>
              <w:pStyle w:val="TableParagraph"/>
              <w:spacing w:line="203" w:lineRule="exact"/>
              <w:ind w:left="248" w:right="183"/>
              <w:jc w:val="center"/>
              <w:rPr>
                <w:sz w:val="18"/>
              </w:rPr>
            </w:pPr>
            <w:r>
              <w:rPr>
                <w:sz w:val="18"/>
              </w:rPr>
              <w:t>Kelkit</w:t>
            </w:r>
          </w:p>
        </w:tc>
        <w:tc>
          <w:tcPr>
            <w:tcW w:w="1496" w:type="dxa"/>
            <w:tcBorders>
              <w:top w:val="single" w:sz="4" w:space="0" w:color="000000"/>
            </w:tcBorders>
          </w:tcPr>
          <w:p>
            <w:pPr>
              <w:pStyle w:val="TableParagraph"/>
              <w:spacing w:line="203" w:lineRule="exact"/>
              <w:ind w:left="305"/>
              <w:rPr>
                <w:sz w:val="18"/>
              </w:rPr>
            </w:pPr>
            <w:r>
              <w:rPr>
                <w:sz w:val="18"/>
              </w:rPr>
              <w:t>Kömür Köyü</w:t>
            </w:r>
          </w:p>
        </w:tc>
        <w:tc>
          <w:tcPr>
            <w:tcW w:w="761" w:type="dxa"/>
            <w:tcBorders>
              <w:top w:val="single" w:sz="4" w:space="0" w:color="000000"/>
            </w:tcBorders>
          </w:tcPr>
          <w:p>
            <w:pPr>
              <w:pStyle w:val="TableParagraph"/>
              <w:spacing w:line="203" w:lineRule="exact"/>
              <w:ind w:right="164"/>
              <w:jc w:val="right"/>
              <w:rPr>
                <w:sz w:val="18"/>
              </w:rPr>
            </w:pPr>
            <w:r>
              <w:rPr>
                <w:sz w:val="18"/>
              </w:rPr>
              <w:t>Aşağı</w:t>
            </w:r>
          </w:p>
        </w:tc>
        <w:tc>
          <w:tcPr>
            <w:tcW w:w="1776" w:type="dxa"/>
            <w:tcBorders>
              <w:top w:val="single" w:sz="4" w:space="0" w:color="000000"/>
            </w:tcBorders>
          </w:tcPr>
          <w:p>
            <w:pPr>
              <w:pStyle w:val="TableParagraph"/>
              <w:spacing w:line="203" w:lineRule="exact"/>
              <w:ind w:left="173"/>
              <w:rPr>
                <w:sz w:val="18"/>
              </w:rPr>
            </w:pPr>
            <w:r>
              <w:rPr>
                <w:sz w:val="18"/>
              </w:rPr>
              <w:t>24.09.97 etüt tarihli</w:t>
            </w:r>
          </w:p>
        </w:tc>
      </w:tr>
      <w:tr>
        <w:trPr>
          <w:trHeight w:val="237" w:hRule="atLeast"/>
        </w:trPr>
        <w:tc>
          <w:tcPr>
            <w:tcW w:w="1632" w:type="dxa"/>
          </w:tcPr>
          <w:p>
            <w:pPr>
              <w:pStyle w:val="TableParagraph"/>
              <w:rPr>
                <w:sz w:val="16"/>
              </w:rPr>
            </w:pPr>
          </w:p>
        </w:tc>
        <w:tc>
          <w:tcPr>
            <w:tcW w:w="1646" w:type="dxa"/>
          </w:tcPr>
          <w:p>
            <w:pPr>
              <w:pStyle w:val="TableParagraph"/>
              <w:rPr>
                <w:sz w:val="16"/>
              </w:rPr>
            </w:pPr>
          </w:p>
        </w:tc>
        <w:tc>
          <w:tcPr>
            <w:tcW w:w="1023" w:type="dxa"/>
          </w:tcPr>
          <w:p>
            <w:pPr>
              <w:pStyle w:val="TableParagraph"/>
              <w:rPr>
                <w:sz w:val="16"/>
              </w:rPr>
            </w:pPr>
          </w:p>
        </w:tc>
        <w:tc>
          <w:tcPr>
            <w:tcW w:w="1496" w:type="dxa"/>
          </w:tcPr>
          <w:p>
            <w:pPr>
              <w:pStyle w:val="TableParagraph"/>
              <w:rPr>
                <w:sz w:val="16"/>
              </w:rPr>
            </w:pPr>
          </w:p>
        </w:tc>
        <w:tc>
          <w:tcPr>
            <w:tcW w:w="761" w:type="dxa"/>
          </w:tcPr>
          <w:p>
            <w:pPr>
              <w:pStyle w:val="TableParagraph"/>
              <w:spacing w:line="206" w:lineRule="exact" w:before="11"/>
              <w:ind w:right="123"/>
              <w:jc w:val="right"/>
              <w:rPr>
                <w:sz w:val="18"/>
              </w:rPr>
            </w:pPr>
            <w:r>
              <w:rPr>
                <w:sz w:val="18"/>
              </w:rPr>
              <w:t>Yukarı</w:t>
            </w:r>
          </w:p>
        </w:tc>
        <w:tc>
          <w:tcPr>
            <w:tcW w:w="1776" w:type="dxa"/>
          </w:tcPr>
          <w:p>
            <w:pPr>
              <w:pStyle w:val="TableParagraph"/>
              <w:spacing w:line="206" w:lineRule="exact" w:before="11"/>
              <w:ind w:left="89" w:right="96"/>
              <w:jc w:val="center"/>
              <w:rPr>
                <w:sz w:val="18"/>
              </w:rPr>
            </w:pPr>
            <w:r>
              <w:rPr>
                <w:sz w:val="18"/>
              </w:rPr>
              <w:t>raporda söz edilen 5</w:t>
            </w:r>
          </w:p>
        </w:tc>
      </w:tr>
      <w:tr>
        <w:trPr>
          <w:trHeight w:val="237" w:hRule="atLeast"/>
        </w:trPr>
        <w:tc>
          <w:tcPr>
            <w:tcW w:w="1632" w:type="dxa"/>
          </w:tcPr>
          <w:p>
            <w:pPr>
              <w:pStyle w:val="TableParagraph"/>
              <w:rPr>
                <w:sz w:val="16"/>
              </w:rPr>
            </w:pPr>
          </w:p>
        </w:tc>
        <w:tc>
          <w:tcPr>
            <w:tcW w:w="1646" w:type="dxa"/>
          </w:tcPr>
          <w:p>
            <w:pPr>
              <w:pStyle w:val="TableParagraph"/>
              <w:rPr>
                <w:sz w:val="16"/>
              </w:rPr>
            </w:pPr>
          </w:p>
        </w:tc>
        <w:tc>
          <w:tcPr>
            <w:tcW w:w="1023" w:type="dxa"/>
          </w:tcPr>
          <w:p>
            <w:pPr>
              <w:pStyle w:val="TableParagraph"/>
              <w:rPr>
                <w:sz w:val="16"/>
              </w:rPr>
            </w:pPr>
          </w:p>
        </w:tc>
        <w:tc>
          <w:tcPr>
            <w:tcW w:w="1496" w:type="dxa"/>
          </w:tcPr>
          <w:p>
            <w:pPr>
              <w:pStyle w:val="TableParagraph"/>
              <w:rPr>
                <w:sz w:val="16"/>
              </w:rPr>
            </w:pPr>
          </w:p>
        </w:tc>
        <w:tc>
          <w:tcPr>
            <w:tcW w:w="761" w:type="dxa"/>
          </w:tcPr>
          <w:p>
            <w:pPr>
              <w:pStyle w:val="TableParagraph"/>
              <w:spacing w:line="206" w:lineRule="exact" w:before="11"/>
              <w:ind w:right="183"/>
              <w:jc w:val="right"/>
              <w:rPr>
                <w:sz w:val="18"/>
              </w:rPr>
            </w:pPr>
            <w:r>
              <w:rPr>
                <w:w w:val="95"/>
                <w:sz w:val="18"/>
              </w:rPr>
              <w:t>Mah.</w:t>
            </w:r>
          </w:p>
        </w:tc>
        <w:tc>
          <w:tcPr>
            <w:tcW w:w="1776" w:type="dxa"/>
          </w:tcPr>
          <w:p>
            <w:pPr>
              <w:pStyle w:val="TableParagraph"/>
              <w:spacing w:line="206" w:lineRule="exact" w:before="11"/>
              <w:ind w:left="87" w:right="96"/>
              <w:jc w:val="center"/>
              <w:rPr>
                <w:sz w:val="18"/>
              </w:rPr>
            </w:pPr>
            <w:r>
              <w:rPr>
                <w:sz w:val="18"/>
              </w:rPr>
              <w:t>konutun bulunduğu</w:t>
            </w:r>
          </w:p>
        </w:tc>
      </w:tr>
      <w:tr>
        <w:trPr>
          <w:trHeight w:val="237" w:hRule="atLeast"/>
        </w:trPr>
        <w:tc>
          <w:tcPr>
            <w:tcW w:w="1632" w:type="dxa"/>
          </w:tcPr>
          <w:p>
            <w:pPr>
              <w:pStyle w:val="TableParagraph"/>
              <w:rPr>
                <w:sz w:val="16"/>
              </w:rPr>
            </w:pPr>
          </w:p>
        </w:tc>
        <w:tc>
          <w:tcPr>
            <w:tcW w:w="1646" w:type="dxa"/>
          </w:tcPr>
          <w:p>
            <w:pPr>
              <w:pStyle w:val="TableParagraph"/>
              <w:rPr>
                <w:sz w:val="16"/>
              </w:rPr>
            </w:pPr>
          </w:p>
        </w:tc>
        <w:tc>
          <w:tcPr>
            <w:tcW w:w="1023" w:type="dxa"/>
          </w:tcPr>
          <w:p>
            <w:pPr>
              <w:pStyle w:val="TableParagraph"/>
              <w:rPr>
                <w:sz w:val="16"/>
              </w:rPr>
            </w:pPr>
          </w:p>
        </w:tc>
        <w:tc>
          <w:tcPr>
            <w:tcW w:w="1496" w:type="dxa"/>
          </w:tcPr>
          <w:p>
            <w:pPr>
              <w:pStyle w:val="TableParagraph"/>
              <w:rPr>
                <w:sz w:val="16"/>
              </w:rPr>
            </w:pPr>
          </w:p>
        </w:tc>
        <w:tc>
          <w:tcPr>
            <w:tcW w:w="761" w:type="dxa"/>
          </w:tcPr>
          <w:p>
            <w:pPr>
              <w:pStyle w:val="TableParagraph"/>
              <w:rPr>
                <w:sz w:val="16"/>
              </w:rPr>
            </w:pPr>
          </w:p>
        </w:tc>
        <w:tc>
          <w:tcPr>
            <w:tcW w:w="1776" w:type="dxa"/>
          </w:tcPr>
          <w:p>
            <w:pPr>
              <w:pStyle w:val="TableParagraph"/>
              <w:spacing w:line="206" w:lineRule="exact" w:before="11"/>
              <w:ind w:left="90" w:right="96"/>
              <w:jc w:val="center"/>
              <w:rPr>
                <w:sz w:val="18"/>
              </w:rPr>
            </w:pPr>
            <w:r>
              <w:rPr>
                <w:sz w:val="18"/>
              </w:rPr>
              <w:t>alan Afete Maruz</w:t>
            </w:r>
          </w:p>
        </w:tc>
      </w:tr>
      <w:tr>
        <w:trPr>
          <w:trHeight w:val="256" w:hRule="atLeast"/>
        </w:trPr>
        <w:tc>
          <w:tcPr>
            <w:tcW w:w="1632" w:type="dxa"/>
            <w:tcBorders>
              <w:bottom w:val="single" w:sz="4" w:space="0" w:color="000000"/>
            </w:tcBorders>
          </w:tcPr>
          <w:p>
            <w:pPr>
              <w:pStyle w:val="TableParagraph"/>
              <w:rPr>
                <w:sz w:val="18"/>
              </w:rPr>
            </w:pPr>
          </w:p>
        </w:tc>
        <w:tc>
          <w:tcPr>
            <w:tcW w:w="1646" w:type="dxa"/>
            <w:tcBorders>
              <w:bottom w:val="single" w:sz="4" w:space="0" w:color="000000"/>
            </w:tcBorders>
          </w:tcPr>
          <w:p>
            <w:pPr>
              <w:pStyle w:val="TableParagraph"/>
              <w:rPr>
                <w:sz w:val="18"/>
              </w:rPr>
            </w:pPr>
          </w:p>
        </w:tc>
        <w:tc>
          <w:tcPr>
            <w:tcW w:w="1023" w:type="dxa"/>
            <w:tcBorders>
              <w:bottom w:val="single" w:sz="4" w:space="0" w:color="000000"/>
            </w:tcBorders>
          </w:tcPr>
          <w:p>
            <w:pPr>
              <w:pStyle w:val="TableParagraph"/>
              <w:rPr>
                <w:sz w:val="18"/>
              </w:rPr>
            </w:pPr>
          </w:p>
        </w:tc>
        <w:tc>
          <w:tcPr>
            <w:tcW w:w="1496" w:type="dxa"/>
            <w:tcBorders>
              <w:bottom w:val="single" w:sz="4" w:space="0" w:color="000000"/>
            </w:tcBorders>
          </w:tcPr>
          <w:p>
            <w:pPr>
              <w:pStyle w:val="TableParagraph"/>
              <w:rPr>
                <w:sz w:val="18"/>
              </w:rPr>
            </w:pPr>
          </w:p>
        </w:tc>
        <w:tc>
          <w:tcPr>
            <w:tcW w:w="761" w:type="dxa"/>
            <w:tcBorders>
              <w:bottom w:val="single" w:sz="4" w:space="0" w:color="000000"/>
            </w:tcBorders>
          </w:tcPr>
          <w:p>
            <w:pPr>
              <w:pStyle w:val="TableParagraph"/>
              <w:rPr>
                <w:sz w:val="18"/>
              </w:rPr>
            </w:pPr>
          </w:p>
        </w:tc>
        <w:tc>
          <w:tcPr>
            <w:tcW w:w="1776" w:type="dxa"/>
            <w:tcBorders>
              <w:bottom w:val="single" w:sz="4" w:space="0" w:color="000000"/>
            </w:tcBorders>
          </w:tcPr>
          <w:p>
            <w:pPr>
              <w:pStyle w:val="TableParagraph"/>
              <w:spacing w:before="11"/>
              <w:ind w:left="90" w:right="94"/>
              <w:jc w:val="center"/>
              <w:rPr>
                <w:sz w:val="18"/>
              </w:rPr>
            </w:pPr>
            <w:r>
              <w:rPr>
                <w:sz w:val="18"/>
              </w:rPr>
              <w:t>Bölge ilan edilmiştir.</w:t>
            </w:r>
          </w:p>
        </w:tc>
      </w:tr>
      <w:tr>
        <w:trPr>
          <w:trHeight w:val="950" w:hRule="atLeast"/>
        </w:trPr>
        <w:tc>
          <w:tcPr>
            <w:tcW w:w="1632" w:type="dxa"/>
            <w:tcBorders>
              <w:top w:val="single" w:sz="4" w:space="0" w:color="000000"/>
              <w:bottom w:val="single" w:sz="4" w:space="0" w:color="000000"/>
            </w:tcBorders>
          </w:tcPr>
          <w:p>
            <w:pPr>
              <w:pStyle w:val="TableParagraph"/>
              <w:spacing w:line="202"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2" w:lineRule="exact"/>
              <w:ind w:left="324"/>
              <w:rPr>
                <w:sz w:val="18"/>
              </w:rPr>
            </w:pPr>
            <w:r>
              <w:rPr>
                <w:sz w:val="18"/>
              </w:rPr>
              <w:t>19-20.06.1990</w:t>
            </w:r>
          </w:p>
        </w:tc>
        <w:tc>
          <w:tcPr>
            <w:tcW w:w="1023" w:type="dxa"/>
            <w:tcBorders>
              <w:top w:val="single" w:sz="4" w:space="0" w:color="000000"/>
              <w:bottom w:val="single" w:sz="4" w:space="0" w:color="000000"/>
            </w:tcBorders>
          </w:tcPr>
          <w:p>
            <w:pPr>
              <w:pStyle w:val="TableParagraph"/>
              <w:spacing w:line="202" w:lineRule="exact"/>
              <w:ind w:left="248" w:right="179"/>
              <w:jc w:val="center"/>
              <w:rPr>
                <w:sz w:val="18"/>
              </w:rPr>
            </w:pPr>
            <w:r>
              <w:rPr>
                <w:sz w:val="18"/>
              </w:rPr>
              <w:t>Kürtün</w:t>
            </w:r>
          </w:p>
        </w:tc>
        <w:tc>
          <w:tcPr>
            <w:tcW w:w="1496" w:type="dxa"/>
            <w:tcBorders>
              <w:top w:val="single" w:sz="4" w:space="0" w:color="000000"/>
              <w:bottom w:val="single" w:sz="4" w:space="0" w:color="000000"/>
            </w:tcBorders>
          </w:tcPr>
          <w:p>
            <w:pPr>
              <w:pStyle w:val="TableParagraph"/>
              <w:spacing w:line="202" w:lineRule="exact"/>
              <w:ind w:left="300"/>
              <w:rPr>
                <w:sz w:val="18"/>
              </w:rPr>
            </w:pPr>
            <w:r>
              <w:rPr>
                <w:sz w:val="18"/>
              </w:rPr>
              <w:t>Taşlıca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360" w:right="173" w:firstLine="93"/>
              <w:rPr>
                <w:sz w:val="18"/>
              </w:rPr>
            </w:pPr>
            <w:r>
              <w:rPr>
                <w:sz w:val="18"/>
              </w:rPr>
              <w:t>8 konutun nakli önerildi. Afete</w:t>
            </w:r>
          </w:p>
          <w:p>
            <w:pPr>
              <w:pStyle w:val="TableParagraph"/>
              <w:spacing w:line="206" w:lineRule="exact"/>
              <w:ind w:left="87" w:right="96"/>
              <w:jc w:val="center"/>
              <w:rPr>
                <w:sz w:val="18"/>
              </w:rPr>
            </w:pPr>
            <w:r>
              <w:rPr>
                <w:sz w:val="18"/>
              </w:rPr>
              <w:t>Maruz Bölge ilan</w:t>
            </w:r>
          </w:p>
          <w:p>
            <w:pPr>
              <w:pStyle w:val="TableParagraph"/>
              <w:spacing w:before="25"/>
              <w:ind w:left="90" w:right="95"/>
              <w:jc w:val="center"/>
              <w:rPr>
                <w:sz w:val="18"/>
              </w:rPr>
            </w:pPr>
            <w:r>
              <w:rPr>
                <w:sz w:val="18"/>
              </w:rPr>
              <w:t>edildi.</w:t>
            </w:r>
          </w:p>
        </w:tc>
      </w:tr>
      <w:tr>
        <w:trPr>
          <w:trHeight w:val="1190" w:hRule="atLeast"/>
        </w:trPr>
        <w:tc>
          <w:tcPr>
            <w:tcW w:w="1632" w:type="dxa"/>
            <w:tcBorders>
              <w:top w:val="single" w:sz="4" w:space="0" w:color="000000"/>
              <w:bottom w:val="single" w:sz="4" w:space="0" w:color="000000"/>
            </w:tcBorders>
          </w:tcPr>
          <w:p>
            <w:pPr>
              <w:pStyle w:val="TableParagraph"/>
              <w:spacing w:line="204" w:lineRule="exact"/>
              <w:ind w:left="241" w:right="374"/>
              <w:jc w:val="center"/>
              <w:rPr>
                <w:sz w:val="18"/>
              </w:rPr>
            </w:pPr>
            <w:r>
              <w:rPr>
                <w:sz w:val="18"/>
              </w:rPr>
              <w:t>Heyelan+ Sel</w:t>
            </w:r>
          </w:p>
        </w:tc>
        <w:tc>
          <w:tcPr>
            <w:tcW w:w="1646" w:type="dxa"/>
            <w:tcBorders>
              <w:top w:val="single" w:sz="4" w:space="0" w:color="000000"/>
              <w:bottom w:val="single" w:sz="4" w:space="0" w:color="000000"/>
            </w:tcBorders>
          </w:tcPr>
          <w:p>
            <w:pPr>
              <w:pStyle w:val="TableParagraph"/>
              <w:spacing w:line="204" w:lineRule="exact"/>
              <w:ind w:left="447"/>
              <w:rPr>
                <w:sz w:val="18"/>
              </w:rPr>
            </w:pPr>
            <w:r>
              <w:rPr>
                <w:sz w:val="18"/>
              </w:rPr>
              <w:t>03.03.89</w:t>
            </w:r>
          </w:p>
        </w:tc>
        <w:tc>
          <w:tcPr>
            <w:tcW w:w="1023" w:type="dxa"/>
            <w:tcBorders>
              <w:top w:val="single" w:sz="4" w:space="0" w:color="000000"/>
              <w:bottom w:val="single" w:sz="4" w:space="0" w:color="000000"/>
            </w:tcBorders>
          </w:tcPr>
          <w:p>
            <w:pPr>
              <w:pStyle w:val="TableParagraph"/>
              <w:spacing w:line="204" w:lineRule="exact"/>
              <w:ind w:left="248" w:right="179"/>
              <w:jc w:val="center"/>
              <w:rPr>
                <w:sz w:val="18"/>
              </w:rPr>
            </w:pPr>
            <w:r>
              <w:rPr>
                <w:sz w:val="18"/>
              </w:rPr>
              <w:t>Kürtün</w:t>
            </w:r>
          </w:p>
        </w:tc>
        <w:tc>
          <w:tcPr>
            <w:tcW w:w="1496" w:type="dxa"/>
            <w:tcBorders>
              <w:top w:val="single" w:sz="4" w:space="0" w:color="000000"/>
              <w:bottom w:val="single" w:sz="4" w:space="0" w:color="000000"/>
            </w:tcBorders>
          </w:tcPr>
          <w:p>
            <w:pPr>
              <w:pStyle w:val="TableParagraph"/>
              <w:spacing w:line="204" w:lineRule="exact"/>
              <w:ind w:left="356"/>
              <w:rPr>
                <w:sz w:val="18"/>
              </w:rPr>
            </w:pPr>
            <w:r>
              <w:rPr>
                <w:sz w:val="18"/>
              </w:rPr>
              <w:t>Üçtaş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118" w:right="108" w:firstLine="244"/>
              <w:rPr>
                <w:sz w:val="18"/>
              </w:rPr>
            </w:pPr>
            <w:r>
              <w:rPr>
                <w:sz w:val="18"/>
              </w:rPr>
              <w:t>12 konutun nakli önerilip hak sahipliği çalışması yapılmış olup konutları teslim</w:t>
            </w:r>
          </w:p>
          <w:p>
            <w:pPr>
              <w:pStyle w:val="TableParagraph"/>
              <w:spacing w:line="206" w:lineRule="exact"/>
              <w:ind w:left="406"/>
              <w:rPr>
                <w:sz w:val="18"/>
              </w:rPr>
            </w:pPr>
            <w:r>
              <w:rPr>
                <w:sz w:val="18"/>
              </w:rPr>
              <w:t>edilmemiştir.</w:t>
            </w:r>
          </w:p>
        </w:tc>
      </w:tr>
      <w:tr>
        <w:trPr>
          <w:trHeight w:val="218" w:hRule="atLeast"/>
        </w:trPr>
        <w:tc>
          <w:tcPr>
            <w:tcW w:w="1632" w:type="dxa"/>
            <w:tcBorders>
              <w:top w:val="single" w:sz="4" w:space="0" w:color="000000"/>
            </w:tcBorders>
          </w:tcPr>
          <w:p>
            <w:pPr>
              <w:pStyle w:val="TableParagraph"/>
              <w:spacing w:line="198" w:lineRule="exact"/>
              <w:ind w:left="241" w:right="374"/>
              <w:jc w:val="center"/>
              <w:rPr>
                <w:sz w:val="18"/>
              </w:rPr>
            </w:pPr>
            <w:r>
              <w:rPr>
                <w:sz w:val="18"/>
              </w:rPr>
              <w:t>Heyelan+ Sel</w:t>
            </w:r>
          </w:p>
        </w:tc>
        <w:tc>
          <w:tcPr>
            <w:tcW w:w="1646" w:type="dxa"/>
            <w:tcBorders>
              <w:top w:val="single" w:sz="4" w:space="0" w:color="000000"/>
            </w:tcBorders>
          </w:tcPr>
          <w:p>
            <w:pPr>
              <w:pStyle w:val="TableParagraph"/>
              <w:spacing w:line="198" w:lineRule="exact"/>
              <w:ind w:left="535" w:right="651"/>
              <w:jc w:val="center"/>
              <w:rPr>
                <w:sz w:val="18"/>
              </w:rPr>
            </w:pPr>
            <w:r>
              <w:rPr>
                <w:sz w:val="18"/>
              </w:rPr>
              <w:t>1990-</w:t>
            </w:r>
          </w:p>
        </w:tc>
        <w:tc>
          <w:tcPr>
            <w:tcW w:w="1023" w:type="dxa"/>
            <w:tcBorders>
              <w:top w:val="single" w:sz="4" w:space="0" w:color="000000"/>
            </w:tcBorders>
          </w:tcPr>
          <w:p>
            <w:pPr>
              <w:pStyle w:val="TableParagraph"/>
              <w:spacing w:line="198" w:lineRule="exact"/>
              <w:ind w:left="248" w:right="183"/>
              <w:jc w:val="center"/>
              <w:rPr>
                <w:sz w:val="18"/>
              </w:rPr>
            </w:pPr>
            <w:r>
              <w:rPr>
                <w:sz w:val="18"/>
              </w:rPr>
              <w:t>Torul</w:t>
            </w:r>
          </w:p>
        </w:tc>
        <w:tc>
          <w:tcPr>
            <w:tcW w:w="1496" w:type="dxa"/>
            <w:tcBorders>
              <w:top w:val="single" w:sz="4" w:space="0" w:color="000000"/>
            </w:tcBorders>
          </w:tcPr>
          <w:p>
            <w:pPr>
              <w:pStyle w:val="TableParagraph"/>
              <w:spacing w:line="198" w:lineRule="exact"/>
              <w:ind w:left="344"/>
              <w:rPr>
                <w:sz w:val="18"/>
              </w:rPr>
            </w:pPr>
            <w:r>
              <w:rPr>
                <w:sz w:val="18"/>
              </w:rPr>
              <w:t>Aksüt Köyü</w:t>
            </w:r>
          </w:p>
        </w:tc>
        <w:tc>
          <w:tcPr>
            <w:tcW w:w="761" w:type="dxa"/>
            <w:tcBorders>
              <w:top w:val="single" w:sz="4" w:space="0" w:color="000000"/>
            </w:tcBorders>
          </w:tcPr>
          <w:p>
            <w:pPr>
              <w:pStyle w:val="TableParagraph"/>
              <w:spacing w:line="198" w:lineRule="exact"/>
              <w:ind w:right="167"/>
              <w:jc w:val="right"/>
              <w:rPr>
                <w:sz w:val="18"/>
              </w:rPr>
            </w:pPr>
            <w:r>
              <w:rPr>
                <w:sz w:val="18"/>
              </w:rPr>
              <w:t>Kıran</w:t>
            </w:r>
          </w:p>
        </w:tc>
        <w:tc>
          <w:tcPr>
            <w:tcW w:w="1776" w:type="dxa"/>
            <w:vMerge w:val="restart"/>
            <w:tcBorders>
              <w:top w:val="single" w:sz="4" w:space="0" w:color="000000"/>
              <w:bottom w:val="single" w:sz="4" w:space="0" w:color="000000"/>
            </w:tcBorders>
          </w:tcPr>
          <w:p>
            <w:pPr>
              <w:pStyle w:val="TableParagraph"/>
              <w:spacing w:line="276" w:lineRule="auto"/>
              <w:ind w:left="192" w:right="174" w:firstLine="170"/>
              <w:rPr>
                <w:sz w:val="18"/>
              </w:rPr>
            </w:pPr>
            <w:r>
              <w:rPr>
                <w:sz w:val="18"/>
              </w:rPr>
              <w:t>15 konutun nakli önerildi. Konutlar teslim edildi. Afete Maruz Bölge ilan</w:t>
            </w:r>
          </w:p>
          <w:p>
            <w:pPr>
              <w:pStyle w:val="TableParagraph"/>
              <w:spacing w:line="205" w:lineRule="exact"/>
              <w:ind w:left="90" w:right="95"/>
              <w:jc w:val="center"/>
              <w:rPr>
                <w:sz w:val="18"/>
              </w:rPr>
            </w:pPr>
            <w:r>
              <w:rPr>
                <w:sz w:val="18"/>
              </w:rPr>
              <w:t>edildi.</w:t>
            </w:r>
          </w:p>
        </w:tc>
      </w:tr>
      <w:tr>
        <w:trPr>
          <w:trHeight w:val="963" w:hRule="atLeast"/>
        </w:trPr>
        <w:tc>
          <w:tcPr>
            <w:tcW w:w="1632" w:type="dxa"/>
            <w:tcBorders>
              <w:bottom w:val="single" w:sz="4" w:space="0" w:color="000000"/>
            </w:tcBorders>
          </w:tcPr>
          <w:p>
            <w:pPr>
              <w:pStyle w:val="TableParagraph"/>
              <w:rPr>
                <w:sz w:val="18"/>
              </w:rPr>
            </w:pPr>
          </w:p>
        </w:tc>
        <w:tc>
          <w:tcPr>
            <w:tcW w:w="1646" w:type="dxa"/>
            <w:tcBorders>
              <w:bottom w:val="single" w:sz="4" w:space="0" w:color="000000"/>
            </w:tcBorders>
          </w:tcPr>
          <w:p>
            <w:pPr>
              <w:pStyle w:val="TableParagraph"/>
              <w:spacing w:before="6"/>
              <w:ind w:left="355"/>
              <w:rPr>
                <w:sz w:val="18"/>
              </w:rPr>
            </w:pPr>
            <w:r>
              <w:rPr>
                <w:sz w:val="18"/>
              </w:rPr>
              <w:t>20.04.1993</w:t>
            </w:r>
          </w:p>
        </w:tc>
        <w:tc>
          <w:tcPr>
            <w:tcW w:w="1023" w:type="dxa"/>
            <w:tcBorders>
              <w:bottom w:val="single" w:sz="4" w:space="0" w:color="000000"/>
            </w:tcBorders>
          </w:tcPr>
          <w:p>
            <w:pPr>
              <w:pStyle w:val="TableParagraph"/>
              <w:rPr>
                <w:sz w:val="18"/>
              </w:rPr>
            </w:pPr>
          </w:p>
        </w:tc>
        <w:tc>
          <w:tcPr>
            <w:tcW w:w="1496" w:type="dxa"/>
            <w:tcBorders>
              <w:bottom w:val="single" w:sz="4" w:space="0" w:color="000000"/>
            </w:tcBorders>
          </w:tcPr>
          <w:p>
            <w:pPr>
              <w:pStyle w:val="TableParagraph"/>
              <w:rPr>
                <w:sz w:val="18"/>
              </w:rPr>
            </w:pPr>
          </w:p>
        </w:tc>
        <w:tc>
          <w:tcPr>
            <w:tcW w:w="761" w:type="dxa"/>
            <w:tcBorders>
              <w:bottom w:val="single" w:sz="4" w:space="0" w:color="000000"/>
            </w:tcBorders>
          </w:tcPr>
          <w:p>
            <w:pPr>
              <w:pStyle w:val="TableParagraph"/>
              <w:spacing w:before="6"/>
              <w:ind w:right="183"/>
              <w:jc w:val="right"/>
              <w:rPr>
                <w:sz w:val="18"/>
              </w:rPr>
            </w:pPr>
            <w:r>
              <w:rPr>
                <w:w w:val="95"/>
                <w:sz w:val="18"/>
              </w:rPr>
              <w:t>Mah.</w:t>
            </w:r>
          </w:p>
        </w:tc>
        <w:tc>
          <w:tcPr>
            <w:tcW w:w="1776" w:type="dxa"/>
            <w:vMerge/>
            <w:tcBorders>
              <w:top w:val="nil"/>
              <w:bottom w:val="single" w:sz="4" w:space="0" w:color="000000"/>
            </w:tcBorders>
          </w:tcPr>
          <w:p>
            <w:pPr>
              <w:rPr>
                <w:sz w:val="2"/>
                <w:szCs w:val="2"/>
              </w:rPr>
            </w:pPr>
          </w:p>
        </w:tc>
      </w:tr>
      <w:tr>
        <w:trPr>
          <w:trHeight w:val="712" w:hRule="atLeast"/>
        </w:trPr>
        <w:tc>
          <w:tcPr>
            <w:tcW w:w="1632" w:type="dxa"/>
            <w:tcBorders>
              <w:top w:val="single" w:sz="4" w:space="0" w:color="000000"/>
              <w:bottom w:val="single" w:sz="4" w:space="0" w:color="000000"/>
            </w:tcBorders>
          </w:tcPr>
          <w:p>
            <w:pPr>
              <w:pStyle w:val="TableParagraph"/>
              <w:spacing w:line="202" w:lineRule="exact"/>
              <w:ind w:left="241" w:right="369"/>
              <w:jc w:val="center"/>
              <w:rPr>
                <w:sz w:val="18"/>
              </w:rPr>
            </w:pPr>
            <w:r>
              <w:rPr>
                <w:sz w:val="18"/>
              </w:rPr>
              <w:t>Sel</w:t>
            </w:r>
          </w:p>
        </w:tc>
        <w:tc>
          <w:tcPr>
            <w:tcW w:w="1646" w:type="dxa"/>
            <w:tcBorders>
              <w:top w:val="single" w:sz="4" w:space="0" w:color="000000"/>
              <w:bottom w:val="single" w:sz="4" w:space="0" w:color="000000"/>
            </w:tcBorders>
          </w:tcPr>
          <w:p>
            <w:pPr>
              <w:pStyle w:val="TableParagraph"/>
              <w:spacing w:line="202" w:lineRule="exact"/>
              <w:ind w:left="531" w:right="651"/>
              <w:jc w:val="center"/>
              <w:rPr>
                <w:sz w:val="18"/>
              </w:rPr>
            </w:pPr>
            <w:r>
              <w:rPr>
                <w:sz w:val="18"/>
              </w:rPr>
              <w:t>1990</w:t>
            </w:r>
          </w:p>
        </w:tc>
        <w:tc>
          <w:tcPr>
            <w:tcW w:w="1023" w:type="dxa"/>
            <w:tcBorders>
              <w:top w:val="single" w:sz="4" w:space="0" w:color="000000"/>
              <w:bottom w:val="single" w:sz="4" w:space="0" w:color="000000"/>
            </w:tcBorders>
          </w:tcPr>
          <w:p>
            <w:pPr>
              <w:pStyle w:val="TableParagraph"/>
              <w:spacing w:line="202" w:lineRule="exact"/>
              <w:ind w:left="248" w:right="183"/>
              <w:jc w:val="center"/>
              <w:rPr>
                <w:sz w:val="18"/>
              </w:rPr>
            </w:pPr>
            <w:r>
              <w:rPr>
                <w:sz w:val="18"/>
              </w:rPr>
              <w:t>Torul</w:t>
            </w:r>
          </w:p>
        </w:tc>
        <w:tc>
          <w:tcPr>
            <w:tcW w:w="1496" w:type="dxa"/>
            <w:tcBorders>
              <w:top w:val="single" w:sz="4" w:space="0" w:color="000000"/>
              <w:bottom w:val="single" w:sz="4" w:space="0" w:color="000000"/>
            </w:tcBorders>
          </w:tcPr>
          <w:p>
            <w:pPr>
              <w:pStyle w:val="TableParagraph"/>
              <w:spacing w:line="276" w:lineRule="auto"/>
              <w:ind w:left="581" w:right="292" w:hanging="197"/>
              <w:rPr>
                <w:sz w:val="18"/>
              </w:rPr>
            </w:pPr>
            <w:r>
              <w:rPr>
                <w:sz w:val="18"/>
              </w:rPr>
              <w:t>Harmancık Köyü</w:t>
            </w:r>
          </w:p>
        </w:tc>
        <w:tc>
          <w:tcPr>
            <w:tcW w:w="761" w:type="dxa"/>
            <w:tcBorders>
              <w:top w:val="single" w:sz="4" w:space="0" w:color="000000"/>
              <w:bottom w:val="single" w:sz="4" w:space="0" w:color="000000"/>
            </w:tcBorders>
          </w:tcPr>
          <w:p>
            <w:pPr>
              <w:pStyle w:val="TableParagraph"/>
              <w:rPr>
                <w:sz w:val="18"/>
              </w:rPr>
            </w:pPr>
          </w:p>
        </w:tc>
        <w:tc>
          <w:tcPr>
            <w:tcW w:w="1776" w:type="dxa"/>
            <w:tcBorders>
              <w:top w:val="single" w:sz="4" w:space="0" w:color="000000"/>
              <w:bottom w:val="single" w:sz="4" w:space="0" w:color="000000"/>
            </w:tcBorders>
          </w:tcPr>
          <w:p>
            <w:pPr>
              <w:pStyle w:val="TableParagraph"/>
              <w:spacing w:line="276" w:lineRule="auto"/>
              <w:ind w:left="142" w:right="92" w:firstLine="81"/>
              <w:rPr>
                <w:sz w:val="18"/>
              </w:rPr>
            </w:pPr>
            <w:r>
              <w:rPr>
                <w:sz w:val="18"/>
              </w:rPr>
              <w:t>1 kişinin konutunun nakli önerildi ve hak</w:t>
            </w:r>
          </w:p>
          <w:p>
            <w:pPr>
              <w:pStyle w:val="TableParagraph"/>
              <w:spacing w:line="206" w:lineRule="exact"/>
              <w:ind w:left="463"/>
              <w:rPr>
                <w:sz w:val="18"/>
              </w:rPr>
            </w:pPr>
            <w:r>
              <w:rPr>
                <w:sz w:val="18"/>
              </w:rPr>
              <w:t>sahibi oldu.</w:t>
            </w:r>
          </w:p>
        </w:tc>
      </w:tr>
    </w:tbl>
    <w:p>
      <w:pPr>
        <w:spacing w:before="0"/>
        <w:ind w:left="1128" w:right="0" w:firstLine="0"/>
        <w:jc w:val="left"/>
        <w:rPr>
          <w:sz w:val="20"/>
        </w:rPr>
      </w:pPr>
      <w:r>
        <w:rPr>
          <w:b/>
          <w:sz w:val="20"/>
        </w:rPr>
        <w:t>Kaynak: </w:t>
      </w:r>
      <w:r>
        <w:rPr>
          <w:sz w:val="20"/>
        </w:rPr>
        <w:t>Gümüşhane İl Afet ve Acil Durum Müdürlüğü, Afet Envanteri</w:t>
      </w:r>
    </w:p>
    <w:p>
      <w:pPr>
        <w:spacing w:after="0"/>
        <w:jc w:val="left"/>
        <w:rPr>
          <w:sz w:val="20"/>
        </w:rPr>
        <w:sectPr>
          <w:pgSz w:w="11910" w:h="16840"/>
          <w:pgMar w:header="0" w:footer="976" w:top="1580" w:bottom="1240" w:left="1140" w:right="520"/>
        </w:sectPr>
      </w:pPr>
    </w:p>
    <w:p>
      <w:pPr>
        <w:pStyle w:val="BodyText"/>
        <w:rPr>
          <w:sz w:val="20"/>
        </w:rPr>
      </w:pPr>
    </w:p>
    <w:p>
      <w:pPr>
        <w:pStyle w:val="BodyText"/>
        <w:spacing w:before="6"/>
        <w:rPr>
          <w:sz w:val="16"/>
        </w:rPr>
      </w:pPr>
    </w:p>
    <w:p>
      <w:pPr>
        <w:pStyle w:val="Heading1"/>
        <w:numPr>
          <w:ilvl w:val="2"/>
          <w:numId w:val="12"/>
        </w:numPr>
        <w:tabs>
          <w:tab w:pos="2437" w:val="left" w:leader="none"/>
        </w:tabs>
        <w:spacing w:line="240" w:lineRule="auto" w:before="90" w:after="0"/>
        <w:ind w:left="2436" w:right="0" w:hanging="600"/>
        <w:jc w:val="left"/>
      </w:pPr>
      <w:bookmarkStart w:name="_bookmark39" w:id="91"/>
      <w:bookmarkEnd w:id="91"/>
      <w:r>
        <w:rPr>
          <w:b w:val="0"/>
        </w:rPr>
      </w:r>
      <w:bookmarkStart w:name="_bookmark39" w:id="92"/>
      <w:bookmarkEnd w:id="92"/>
      <w:r>
        <w:rPr/>
        <w:t>H</w:t>
      </w:r>
      <w:r>
        <w:rPr/>
        <w:t>eyelan</w:t>
      </w:r>
    </w:p>
    <w:p>
      <w:pPr>
        <w:pStyle w:val="BodyText"/>
        <w:spacing w:line="360" w:lineRule="auto" w:before="132"/>
        <w:ind w:left="1128" w:right="611" w:firstLine="708"/>
        <w:jc w:val="both"/>
      </w:pPr>
      <w:r>
        <w:rPr/>
        <w:t>Gümüşhane ili Karadeniz’in doğusunda yer almakta ve Türkiye’de heyelanın fazla</w:t>
      </w:r>
      <w:r>
        <w:rPr>
          <w:spacing w:val="-12"/>
        </w:rPr>
        <w:t> </w:t>
      </w:r>
      <w:r>
        <w:rPr/>
        <w:t>olduğu</w:t>
      </w:r>
      <w:r>
        <w:rPr>
          <w:spacing w:val="-12"/>
        </w:rPr>
        <w:t> </w:t>
      </w:r>
      <w:r>
        <w:rPr/>
        <w:t>illerden</w:t>
      </w:r>
      <w:r>
        <w:rPr>
          <w:spacing w:val="-10"/>
        </w:rPr>
        <w:t> </w:t>
      </w:r>
      <w:r>
        <w:rPr/>
        <w:t>birisidir.</w:t>
      </w:r>
      <w:r>
        <w:rPr>
          <w:spacing w:val="-10"/>
        </w:rPr>
        <w:t> </w:t>
      </w:r>
      <w:r>
        <w:rPr/>
        <w:t>İlimiz</w:t>
      </w:r>
      <w:r>
        <w:rPr>
          <w:spacing w:val="-10"/>
        </w:rPr>
        <w:t> </w:t>
      </w:r>
      <w:r>
        <w:rPr/>
        <w:t>morfolojik</w:t>
      </w:r>
      <w:r>
        <w:rPr>
          <w:spacing w:val="-12"/>
        </w:rPr>
        <w:t> </w:t>
      </w:r>
      <w:r>
        <w:rPr/>
        <w:t>olarak</w:t>
      </w:r>
      <w:r>
        <w:rPr>
          <w:spacing w:val="-10"/>
        </w:rPr>
        <w:t> </w:t>
      </w:r>
      <w:r>
        <w:rPr/>
        <w:t>eğimli</w:t>
      </w:r>
      <w:r>
        <w:rPr>
          <w:spacing w:val="-11"/>
        </w:rPr>
        <w:t> </w:t>
      </w:r>
      <w:r>
        <w:rPr/>
        <w:t>ve</w:t>
      </w:r>
      <w:r>
        <w:rPr>
          <w:spacing w:val="-8"/>
        </w:rPr>
        <w:t> </w:t>
      </w:r>
      <w:r>
        <w:rPr/>
        <w:t>yüksek</w:t>
      </w:r>
      <w:r>
        <w:rPr>
          <w:spacing w:val="-10"/>
        </w:rPr>
        <w:t> </w:t>
      </w:r>
      <w:r>
        <w:rPr/>
        <w:t>bir</w:t>
      </w:r>
      <w:r>
        <w:rPr>
          <w:spacing w:val="-11"/>
        </w:rPr>
        <w:t> </w:t>
      </w:r>
      <w:r>
        <w:rPr/>
        <w:t>topografyada bulunmaktadır.</w:t>
      </w:r>
      <w:r>
        <w:rPr>
          <w:spacing w:val="-15"/>
        </w:rPr>
        <w:t> </w:t>
      </w:r>
      <w:r>
        <w:rPr/>
        <w:t>Gümüşhane’de</w:t>
      </w:r>
      <w:r>
        <w:rPr>
          <w:spacing w:val="-12"/>
        </w:rPr>
        <w:t> </w:t>
      </w:r>
      <w:r>
        <w:rPr/>
        <w:t>gerçekleşen</w:t>
      </w:r>
      <w:r>
        <w:rPr>
          <w:spacing w:val="-14"/>
        </w:rPr>
        <w:t> </w:t>
      </w:r>
      <w:r>
        <w:rPr/>
        <w:t>heyelanlar</w:t>
      </w:r>
      <w:r>
        <w:rPr>
          <w:spacing w:val="-15"/>
        </w:rPr>
        <w:t> </w:t>
      </w:r>
      <w:r>
        <w:rPr/>
        <w:t>arasında,</w:t>
      </w:r>
      <w:r>
        <w:rPr>
          <w:spacing w:val="-15"/>
        </w:rPr>
        <w:t> </w:t>
      </w:r>
      <w:r>
        <w:rPr/>
        <w:t>oluşum</w:t>
      </w:r>
      <w:r>
        <w:rPr>
          <w:spacing w:val="-14"/>
        </w:rPr>
        <w:t> </w:t>
      </w:r>
      <w:r>
        <w:rPr/>
        <w:t>sıklığı</w:t>
      </w:r>
      <w:r>
        <w:rPr>
          <w:spacing w:val="-12"/>
        </w:rPr>
        <w:t> </w:t>
      </w:r>
      <w:r>
        <w:rPr/>
        <w:t>yönünden birinci derece doğal afet sınıfında yer alır. Hemen hemen her yıl meydana gelen heyelanlar, bölgede çok fazla can ve mal kayıplarına sebep olur. Heyelanların oluşmasında en önemli sebep yoğun yağışların</w:t>
      </w:r>
      <w:r>
        <w:rPr>
          <w:spacing w:val="4"/>
        </w:rPr>
        <w:t> </w:t>
      </w:r>
      <w:r>
        <w:rPr/>
        <w:t>olmasıdır.</w:t>
      </w:r>
    </w:p>
    <w:p>
      <w:pPr>
        <w:pStyle w:val="BodyText"/>
        <w:spacing w:line="360" w:lineRule="auto" w:before="1"/>
        <w:ind w:left="1128" w:right="611" w:firstLine="708"/>
        <w:jc w:val="both"/>
      </w:pPr>
      <w:r>
        <w:rPr/>
        <w:t>Heyelan</w:t>
      </w:r>
      <w:r>
        <w:rPr>
          <w:spacing w:val="-10"/>
        </w:rPr>
        <w:t> </w:t>
      </w:r>
      <w:r>
        <w:rPr/>
        <w:t>olayları</w:t>
      </w:r>
      <w:r>
        <w:rPr>
          <w:spacing w:val="-10"/>
        </w:rPr>
        <w:t> </w:t>
      </w:r>
      <w:r>
        <w:rPr/>
        <w:t>ise</w:t>
      </w:r>
      <w:r>
        <w:rPr>
          <w:spacing w:val="-10"/>
        </w:rPr>
        <w:t> </w:t>
      </w:r>
      <w:r>
        <w:rPr/>
        <w:t>daha</w:t>
      </w:r>
      <w:r>
        <w:rPr>
          <w:spacing w:val="-7"/>
        </w:rPr>
        <w:t> </w:t>
      </w:r>
      <w:r>
        <w:rPr/>
        <w:t>çok</w:t>
      </w:r>
      <w:r>
        <w:rPr>
          <w:spacing w:val="-10"/>
        </w:rPr>
        <w:t> </w:t>
      </w:r>
      <w:r>
        <w:rPr/>
        <w:t>Kelkit,</w:t>
      </w:r>
      <w:r>
        <w:rPr>
          <w:spacing w:val="-9"/>
        </w:rPr>
        <w:t> </w:t>
      </w:r>
      <w:r>
        <w:rPr/>
        <w:t>Kürtün</w:t>
      </w:r>
      <w:r>
        <w:rPr>
          <w:spacing w:val="-9"/>
        </w:rPr>
        <w:t> </w:t>
      </w:r>
      <w:r>
        <w:rPr/>
        <w:t>ve</w:t>
      </w:r>
      <w:r>
        <w:rPr>
          <w:spacing w:val="-10"/>
        </w:rPr>
        <w:t> </w:t>
      </w:r>
      <w:r>
        <w:rPr/>
        <w:t>Merkez</w:t>
      </w:r>
      <w:r>
        <w:rPr>
          <w:spacing w:val="-8"/>
        </w:rPr>
        <w:t> </w:t>
      </w:r>
      <w:r>
        <w:rPr/>
        <w:t>ilçelerinde,</w:t>
      </w:r>
      <w:r>
        <w:rPr>
          <w:spacing w:val="-10"/>
        </w:rPr>
        <w:t> </w:t>
      </w:r>
      <w:r>
        <w:rPr/>
        <w:t>kaya</w:t>
      </w:r>
      <w:r>
        <w:rPr>
          <w:spacing w:val="-7"/>
        </w:rPr>
        <w:t> </w:t>
      </w:r>
      <w:r>
        <w:rPr/>
        <w:t>düşmesi olayları</w:t>
      </w:r>
      <w:r>
        <w:rPr>
          <w:spacing w:val="-11"/>
        </w:rPr>
        <w:t> </w:t>
      </w:r>
      <w:r>
        <w:rPr/>
        <w:t>ise</w:t>
      </w:r>
      <w:r>
        <w:rPr>
          <w:spacing w:val="-11"/>
        </w:rPr>
        <w:t> </w:t>
      </w:r>
      <w:r>
        <w:rPr/>
        <w:t>Merkez,</w:t>
      </w:r>
      <w:r>
        <w:rPr>
          <w:spacing w:val="-11"/>
        </w:rPr>
        <w:t> </w:t>
      </w:r>
      <w:r>
        <w:rPr/>
        <w:t>Torul</w:t>
      </w:r>
      <w:r>
        <w:rPr>
          <w:spacing w:val="-11"/>
        </w:rPr>
        <w:t> </w:t>
      </w:r>
      <w:r>
        <w:rPr/>
        <w:t>ve</w:t>
      </w:r>
      <w:r>
        <w:rPr>
          <w:spacing w:val="-12"/>
        </w:rPr>
        <w:t> </w:t>
      </w:r>
      <w:r>
        <w:rPr/>
        <w:t>Kürtün</w:t>
      </w:r>
      <w:r>
        <w:rPr>
          <w:spacing w:val="-11"/>
        </w:rPr>
        <w:t> </w:t>
      </w:r>
      <w:r>
        <w:rPr/>
        <w:t>ilçelerinde</w:t>
      </w:r>
      <w:r>
        <w:rPr>
          <w:spacing w:val="-11"/>
        </w:rPr>
        <w:t> </w:t>
      </w:r>
      <w:r>
        <w:rPr/>
        <w:t>meydana</w:t>
      </w:r>
      <w:r>
        <w:rPr>
          <w:spacing w:val="-7"/>
        </w:rPr>
        <w:t> </w:t>
      </w:r>
      <w:r>
        <w:rPr/>
        <w:t>gelmektedir</w:t>
      </w:r>
      <w:r>
        <w:rPr>
          <w:spacing w:val="-4"/>
        </w:rPr>
        <w:t> </w:t>
      </w:r>
      <w:r>
        <w:rPr/>
        <w:t>(Bayrak</w:t>
      </w:r>
      <w:r>
        <w:rPr>
          <w:spacing w:val="-11"/>
        </w:rPr>
        <w:t> </w:t>
      </w:r>
      <w:r>
        <w:rPr/>
        <w:t>vd.,</w:t>
      </w:r>
      <w:r>
        <w:rPr>
          <w:spacing w:val="-9"/>
        </w:rPr>
        <w:t> </w:t>
      </w:r>
      <w:r>
        <w:rPr/>
        <w:t>2010: 11).</w:t>
      </w:r>
    </w:p>
    <w:p>
      <w:pPr>
        <w:pStyle w:val="BodyText"/>
        <w:spacing w:line="360" w:lineRule="auto" w:before="160"/>
        <w:ind w:left="1128" w:right="610" w:firstLine="708"/>
        <w:jc w:val="both"/>
      </w:pPr>
      <w:r>
        <w:rPr/>
        <w:t>İl Afet Müdürlüğü'nün acil durum ve afetlerle ilgili tutulan resmi kayıtlarına</w:t>
      </w:r>
      <w:r>
        <w:rPr>
          <w:spacing w:val="-34"/>
        </w:rPr>
        <w:t> </w:t>
      </w:r>
      <w:r>
        <w:rPr/>
        <w:t>göre Gümüşhane’de, son 50 yıl içerisinde gerçekleşen ve kayıtlarda yer alan 143 afetten 93 tanesinin (%65) heyelandır (</w:t>
      </w:r>
      <w:hyperlink r:id="rId28">
        <w:r>
          <w:rPr/>
          <w:t>https://gumushane.afad.gov.tr,</w:t>
        </w:r>
      </w:hyperlink>
      <w:r>
        <w:rPr>
          <w:spacing w:val="-1"/>
        </w:rPr>
        <w:t> </w:t>
      </w:r>
      <w:r>
        <w:rPr/>
        <w:t>2018).</w:t>
      </w:r>
    </w:p>
    <w:p>
      <w:pPr>
        <w:pStyle w:val="BodyText"/>
        <w:spacing w:line="360" w:lineRule="auto" w:before="160"/>
        <w:ind w:left="1128" w:right="612" w:firstLine="708"/>
        <w:jc w:val="both"/>
      </w:pPr>
      <w:r>
        <w:rPr/>
        <w:t>Gümüşhane ilinin 1961–2007 tarihleri arasındaki zamanda gerçekleşen ve bu verilere göre oluşturulan heyelan risk haritası Şekil 3. 3’de gösterilmektedir.</w:t>
      </w:r>
    </w:p>
    <w:p>
      <w:pPr>
        <w:pStyle w:val="BodyText"/>
        <w:spacing w:before="6"/>
        <w:rPr>
          <w:sz w:val="36"/>
        </w:rPr>
      </w:pPr>
    </w:p>
    <w:p>
      <w:pPr>
        <w:pStyle w:val="Heading1"/>
        <w:ind w:left="2929"/>
      </w:pPr>
      <w:r>
        <w:rPr/>
        <w:drawing>
          <wp:anchor distT="0" distB="0" distL="0" distR="0" allowOverlap="1" layoutInCell="1" locked="0" behindDoc="1" simplePos="0" relativeHeight="268434671">
            <wp:simplePos x="0" y="0"/>
            <wp:positionH relativeFrom="page">
              <wp:posOffset>1440180</wp:posOffset>
            </wp:positionH>
            <wp:positionV relativeFrom="paragraph">
              <wp:posOffset>262421</wp:posOffset>
            </wp:positionV>
            <wp:extent cx="5724053" cy="3084576"/>
            <wp:effectExtent l="0" t="0" r="0" b="0"/>
            <wp:wrapTopAndBottom/>
            <wp:docPr id="17" name="image11.jpeg" descr=""/>
            <wp:cNvGraphicFramePr>
              <a:graphicFrameLocks noChangeAspect="1"/>
            </wp:cNvGraphicFramePr>
            <a:graphic>
              <a:graphicData uri="http://schemas.openxmlformats.org/drawingml/2006/picture">
                <pic:pic>
                  <pic:nvPicPr>
                    <pic:cNvPr id="18" name="image11.jpeg"/>
                    <pic:cNvPicPr/>
                  </pic:nvPicPr>
                  <pic:blipFill>
                    <a:blip r:embed="rId31" cstate="print"/>
                    <a:stretch>
                      <a:fillRect/>
                    </a:stretch>
                  </pic:blipFill>
                  <pic:spPr>
                    <a:xfrm>
                      <a:off x="0" y="0"/>
                      <a:ext cx="5724053" cy="3084576"/>
                    </a:xfrm>
                    <a:prstGeom prst="rect">
                      <a:avLst/>
                    </a:prstGeom>
                  </pic:spPr>
                </pic:pic>
              </a:graphicData>
            </a:graphic>
          </wp:anchor>
        </w:drawing>
      </w:r>
      <w:r>
        <w:rPr/>
        <w:t>Şekil 3. 3. Gümüşhane İli Heyelan Risk Haritası</w:t>
      </w:r>
    </w:p>
    <w:p>
      <w:pPr>
        <w:spacing w:before="150"/>
        <w:ind w:left="1128" w:right="0" w:firstLine="0"/>
        <w:jc w:val="left"/>
        <w:rPr>
          <w:sz w:val="20"/>
        </w:rPr>
      </w:pPr>
      <w:r>
        <w:rPr>
          <w:b/>
          <w:sz w:val="20"/>
        </w:rPr>
        <w:t>Kaynak: </w:t>
      </w:r>
      <w:r>
        <w:rPr>
          <w:sz w:val="20"/>
        </w:rPr>
        <w:t>Bayrak vd., 2010:11</w:t>
      </w:r>
    </w:p>
    <w:p>
      <w:pPr>
        <w:spacing w:after="0"/>
        <w:jc w:val="left"/>
        <w:rPr>
          <w:sz w:val="20"/>
        </w:rPr>
        <w:sectPr>
          <w:pgSz w:w="11910" w:h="16840"/>
          <w:pgMar w:header="0" w:footer="976" w:top="1580" w:bottom="1240" w:left="1140" w:right="520"/>
        </w:sectPr>
      </w:pPr>
    </w:p>
    <w:p>
      <w:pPr>
        <w:pStyle w:val="BodyText"/>
        <w:spacing w:line="360" w:lineRule="auto" w:before="98"/>
        <w:ind w:left="1128" w:right="611" w:firstLine="708"/>
        <w:jc w:val="both"/>
      </w:pPr>
      <w:r>
        <w:rPr/>
        <w:t>Heyelan raporlarına göre heyelanın yaşanmasında yağışların %99 oranında etken olduğu belirtilmiştir. Heyelan oluş nedenleri ise %42 suyun etkisi, %26 ayrışma, %26 kazı, %4 bitki değişmesi ve %2’de diğer sebeplerin olduğu görülmüştür (Bayrak vd., 2010: 12).</w:t>
      </w:r>
    </w:p>
    <w:p>
      <w:pPr>
        <w:spacing w:after="0" w:line="360" w:lineRule="auto"/>
        <w:jc w:val="both"/>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4196"/>
      </w:pPr>
      <w:r>
        <w:rPr/>
        <w:t>DÖRDÜNCÜ BÖLÜM</w:t>
      </w:r>
    </w:p>
    <w:p>
      <w:pPr>
        <w:pStyle w:val="BodyText"/>
        <w:rPr>
          <w:b/>
          <w:sz w:val="26"/>
        </w:rPr>
      </w:pPr>
    </w:p>
    <w:p>
      <w:pPr>
        <w:pStyle w:val="BodyText"/>
        <w:spacing w:before="11"/>
        <w:rPr>
          <w:b/>
          <w:sz w:val="21"/>
        </w:rPr>
      </w:pPr>
    </w:p>
    <w:p>
      <w:pPr>
        <w:pStyle w:val="ListParagraph"/>
        <w:numPr>
          <w:ilvl w:val="0"/>
          <w:numId w:val="12"/>
        </w:numPr>
        <w:tabs>
          <w:tab w:pos="2077" w:val="left" w:leader="none"/>
        </w:tabs>
        <w:spacing w:line="360" w:lineRule="auto" w:before="0" w:after="0"/>
        <w:ind w:left="2122" w:right="1052" w:hanging="286"/>
        <w:jc w:val="left"/>
        <w:rPr>
          <w:b/>
          <w:sz w:val="24"/>
        </w:rPr>
      </w:pPr>
      <w:bookmarkStart w:name="_bookmark40" w:id="93"/>
      <w:bookmarkEnd w:id="93"/>
      <w:r>
        <w:rPr/>
      </w:r>
      <w:bookmarkStart w:name="_bookmark40" w:id="94"/>
      <w:bookmarkEnd w:id="94"/>
      <w:r>
        <w:rPr>
          <w:b/>
          <w:sz w:val="24"/>
        </w:rPr>
        <w:t>112’</w:t>
      </w:r>
      <w:r>
        <w:rPr>
          <w:b/>
          <w:sz w:val="24"/>
        </w:rPr>
        <w:t>DE ÇALIŞAN PERSONELİN AFETE HAZIRLIK DÜZEYİNİN İNCELENMESİ: GÜMÜŞHANE İLİ</w:t>
      </w:r>
      <w:r>
        <w:rPr>
          <w:b/>
          <w:spacing w:val="-3"/>
          <w:sz w:val="24"/>
        </w:rPr>
        <w:t> </w:t>
      </w:r>
      <w:r>
        <w:rPr>
          <w:b/>
          <w:sz w:val="24"/>
        </w:rPr>
        <w:t>ÖRNEĞİ</w:t>
      </w:r>
    </w:p>
    <w:p>
      <w:pPr>
        <w:pStyle w:val="BodyText"/>
        <w:rPr>
          <w:b/>
          <w:sz w:val="26"/>
        </w:rPr>
      </w:pPr>
    </w:p>
    <w:p>
      <w:pPr>
        <w:pStyle w:val="ListParagraph"/>
        <w:numPr>
          <w:ilvl w:val="1"/>
          <w:numId w:val="12"/>
        </w:numPr>
        <w:tabs>
          <w:tab w:pos="2257" w:val="left" w:leader="none"/>
        </w:tabs>
        <w:spacing w:line="240" w:lineRule="auto" w:before="157" w:after="0"/>
        <w:ind w:left="2256" w:right="0" w:hanging="420"/>
        <w:jc w:val="left"/>
        <w:rPr>
          <w:b/>
          <w:sz w:val="24"/>
        </w:rPr>
      </w:pPr>
      <w:bookmarkStart w:name="_bookmark41" w:id="95"/>
      <w:bookmarkEnd w:id="95"/>
      <w:r>
        <w:rPr/>
      </w:r>
      <w:bookmarkStart w:name="_bookmark41" w:id="96"/>
      <w:bookmarkEnd w:id="96"/>
      <w:r>
        <w:rPr>
          <w:b/>
          <w:sz w:val="24"/>
        </w:rPr>
        <w:t>P</w:t>
      </w:r>
      <w:r>
        <w:rPr>
          <w:b/>
          <w:sz w:val="24"/>
        </w:rPr>
        <w:t>roblemin Durumu</w:t>
      </w:r>
    </w:p>
    <w:p>
      <w:pPr>
        <w:pStyle w:val="BodyText"/>
        <w:spacing w:line="360" w:lineRule="auto" w:before="135"/>
        <w:ind w:left="1128" w:right="614" w:firstLine="708"/>
        <w:jc w:val="both"/>
      </w:pPr>
      <w:r>
        <w:rPr/>
        <w:t>Türkiye doğal afetlere çok sık maruz kalan bir ülkedir. En başta deprem olmak üzere sel, yangın, çığ doğal afetler arasında yer almaktadır. Türkiye, deprem afetinde insan kaybı bakımından dünyada üçüncü, afetten etkilenen insan sayısı bakımından sekizinci sırada yer almaktadır. Türkiye’de ortalama her yıl 5 ile 6 büyüklüğünde en az bir deprem meydana gelmektedir (AFAD, 2014c: 14).</w:t>
      </w:r>
    </w:p>
    <w:p>
      <w:pPr>
        <w:pStyle w:val="BodyText"/>
        <w:spacing w:line="360" w:lineRule="auto"/>
        <w:ind w:left="1128" w:right="610" w:firstLine="708"/>
        <w:jc w:val="both"/>
      </w:pPr>
      <w:r>
        <w:rPr/>
        <w:t>Afet yönetiminde afet öncesi ne kadar hazırlıklı olunursa afet sonrasında hasar o kadar azalmaktadır. Afet yönetiminde belirli kurum ve kuruluşlara görev ve yetki düşmektedir.</w:t>
      </w:r>
      <w:r>
        <w:rPr>
          <w:spacing w:val="-8"/>
        </w:rPr>
        <w:t> </w:t>
      </w:r>
      <w:r>
        <w:rPr/>
        <w:t>Bunların</w:t>
      </w:r>
      <w:r>
        <w:rPr>
          <w:spacing w:val="-7"/>
        </w:rPr>
        <w:t> </w:t>
      </w:r>
      <w:r>
        <w:rPr/>
        <w:t>en</w:t>
      </w:r>
      <w:r>
        <w:rPr>
          <w:spacing w:val="-6"/>
        </w:rPr>
        <w:t> </w:t>
      </w:r>
      <w:r>
        <w:rPr/>
        <w:t>başında</w:t>
      </w:r>
      <w:r>
        <w:rPr>
          <w:spacing w:val="-8"/>
        </w:rPr>
        <w:t> </w:t>
      </w:r>
      <w:r>
        <w:rPr/>
        <w:t>sağlık</w:t>
      </w:r>
      <w:r>
        <w:rPr>
          <w:spacing w:val="-8"/>
        </w:rPr>
        <w:t> </w:t>
      </w:r>
      <w:r>
        <w:rPr/>
        <w:t>kuruluşları</w:t>
      </w:r>
      <w:r>
        <w:rPr>
          <w:spacing w:val="-4"/>
        </w:rPr>
        <w:t> </w:t>
      </w:r>
      <w:r>
        <w:rPr/>
        <w:t>yer</w:t>
      </w:r>
      <w:r>
        <w:rPr>
          <w:spacing w:val="-9"/>
        </w:rPr>
        <w:t> </w:t>
      </w:r>
      <w:r>
        <w:rPr/>
        <w:t>almaktadır.</w:t>
      </w:r>
      <w:r>
        <w:rPr>
          <w:spacing w:val="-8"/>
        </w:rPr>
        <w:t> </w:t>
      </w:r>
      <w:r>
        <w:rPr/>
        <w:t>Sağlık</w:t>
      </w:r>
      <w:r>
        <w:rPr>
          <w:spacing w:val="-7"/>
        </w:rPr>
        <w:t> </w:t>
      </w:r>
      <w:r>
        <w:rPr/>
        <w:t>kuruluşlarının hem afet öncesi hem de afet sonrası büyük sorumlulukları bulunmaktadır. Bu görev ve sorumluluklarda herhangi bir aksama olduğunda toplumda büyük hasarlara neden olmaktadır.</w:t>
      </w:r>
      <w:r>
        <w:rPr>
          <w:spacing w:val="-18"/>
        </w:rPr>
        <w:t> </w:t>
      </w:r>
      <w:r>
        <w:rPr/>
        <w:t>Bunun</w:t>
      </w:r>
      <w:r>
        <w:rPr>
          <w:spacing w:val="-16"/>
        </w:rPr>
        <w:t> </w:t>
      </w:r>
      <w:r>
        <w:rPr/>
        <w:t>için</w:t>
      </w:r>
      <w:r>
        <w:rPr>
          <w:spacing w:val="-14"/>
        </w:rPr>
        <w:t> </w:t>
      </w:r>
      <w:r>
        <w:rPr/>
        <w:t>afet</w:t>
      </w:r>
      <w:r>
        <w:rPr>
          <w:spacing w:val="-17"/>
        </w:rPr>
        <w:t> </w:t>
      </w:r>
      <w:r>
        <w:rPr/>
        <w:t>öncesi</w:t>
      </w:r>
      <w:r>
        <w:rPr>
          <w:spacing w:val="-15"/>
        </w:rPr>
        <w:t> </w:t>
      </w:r>
      <w:r>
        <w:rPr/>
        <w:t>ve</w:t>
      </w:r>
      <w:r>
        <w:rPr>
          <w:spacing w:val="-18"/>
        </w:rPr>
        <w:t> </w:t>
      </w:r>
      <w:r>
        <w:rPr/>
        <w:t>sonrasında</w:t>
      </w:r>
      <w:r>
        <w:rPr>
          <w:spacing w:val="-14"/>
        </w:rPr>
        <w:t> </w:t>
      </w:r>
      <w:r>
        <w:rPr/>
        <w:t>görev</w:t>
      </w:r>
      <w:r>
        <w:rPr>
          <w:spacing w:val="-17"/>
        </w:rPr>
        <w:t> </w:t>
      </w:r>
      <w:r>
        <w:rPr/>
        <w:t>ve</w:t>
      </w:r>
      <w:r>
        <w:rPr>
          <w:spacing w:val="-19"/>
        </w:rPr>
        <w:t> </w:t>
      </w:r>
      <w:r>
        <w:rPr/>
        <w:t>sorumlulukları</w:t>
      </w:r>
      <w:r>
        <w:rPr>
          <w:spacing w:val="-13"/>
        </w:rPr>
        <w:t> </w:t>
      </w:r>
      <w:r>
        <w:rPr/>
        <w:t>yerine</w:t>
      </w:r>
      <w:r>
        <w:rPr>
          <w:spacing w:val="-16"/>
        </w:rPr>
        <w:t> </w:t>
      </w:r>
      <w:r>
        <w:rPr/>
        <w:t>getirecek olanaklar sağlanmalıdır. Sağlık kuruluşlarında afete hazırlık düzeyini geliştirmek için yeterli düzeyde eğitim</w:t>
      </w:r>
      <w:r>
        <w:rPr>
          <w:spacing w:val="-2"/>
        </w:rPr>
        <w:t> </w:t>
      </w:r>
      <w:r>
        <w:rPr/>
        <w:t>verilmelidir.</w:t>
      </w:r>
    </w:p>
    <w:p>
      <w:pPr>
        <w:pStyle w:val="BodyText"/>
        <w:spacing w:line="360" w:lineRule="auto"/>
        <w:ind w:left="1128" w:right="608" w:firstLine="708"/>
        <w:jc w:val="both"/>
      </w:pPr>
      <w:r>
        <w:rPr/>
        <w:t>Gümüşhane</w:t>
      </w:r>
      <w:r>
        <w:rPr>
          <w:spacing w:val="-8"/>
        </w:rPr>
        <w:t> </w:t>
      </w:r>
      <w:r>
        <w:rPr/>
        <w:t>ili</w:t>
      </w:r>
      <w:r>
        <w:rPr>
          <w:spacing w:val="-3"/>
        </w:rPr>
        <w:t> </w:t>
      </w:r>
      <w:r>
        <w:rPr/>
        <w:t>genel</w:t>
      </w:r>
      <w:r>
        <w:rPr>
          <w:spacing w:val="-6"/>
        </w:rPr>
        <w:t> </w:t>
      </w:r>
      <w:r>
        <w:rPr/>
        <w:t>olarak</w:t>
      </w:r>
      <w:r>
        <w:rPr>
          <w:spacing w:val="-6"/>
        </w:rPr>
        <w:t> </w:t>
      </w:r>
      <w:r>
        <w:rPr/>
        <w:t>birinci</w:t>
      </w:r>
      <w:r>
        <w:rPr>
          <w:spacing w:val="-6"/>
        </w:rPr>
        <w:t> </w:t>
      </w:r>
      <w:r>
        <w:rPr/>
        <w:t>derece</w:t>
      </w:r>
      <w:r>
        <w:rPr>
          <w:spacing w:val="-7"/>
        </w:rPr>
        <w:t> </w:t>
      </w:r>
      <w:r>
        <w:rPr/>
        <w:t>deprem</w:t>
      </w:r>
      <w:r>
        <w:rPr>
          <w:spacing w:val="-1"/>
        </w:rPr>
        <w:t> </w:t>
      </w:r>
      <w:r>
        <w:rPr/>
        <w:t>kuşağı</w:t>
      </w:r>
      <w:r>
        <w:rPr>
          <w:spacing w:val="-6"/>
        </w:rPr>
        <w:t> </w:t>
      </w:r>
      <w:r>
        <w:rPr/>
        <w:t>üzerinde</w:t>
      </w:r>
      <w:r>
        <w:rPr>
          <w:spacing w:val="-7"/>
        </w:rPr>
        <w:t> </w:t>
      </w:r>
      <w:r>
        <w:rPr/>
        <w:t>bulunmaktadır ve heyelan yönünden büyük risk altındadır. Gümüşhane’de herhangi bir afet durumunda ilk ihtiyaç duyulacak kuruluşlar sağlık kuruluşlarıdır. Bu nedenle ilk olarak sağlık kurumları hazırlıklı bulunmalıdır. Herhangi bir afet durumunda sağlık kurumunun müdahale kalitesi ne kadar yüksek ise o kadar hazırlıklı olduğunu</w:t>
      </w:r>
      <w:r>
        <w:rPr>
          <w:spacing w:val="-5"/>
        </w:rPr>
        <w:t> </w:t>
      </w:r>
      <w:r>
        <w:rPr/>
        <w:t>göstermektedir.</w:t>
      </w:r>
    </w:p>
    <w:p>
      <w:pPr>
        <w:pStyle w:val="BodyText"/>
        <w:spacing w:before="5"/>
        <w:rPr>
          <w:sz w:val="36"/>
        </w:rPr>
      </w:pPr>
    </w:p>
    <w:p>
      <w:pPr>
        <w:pStyle w:val="Heading1"/>
        <w:numPr>
          <w:ilvl w:val="1"/>
          <w:numId w:val="12"/>
        </w:numPr>
        <w:tabs>
          <w:tab w:pos="2257" w:val="left" w:leader="none"/>
        </w:tabs>
        <w:spacing w:line="240" w:lineRule="auto" w:before="0" w:after="0"/>
        <w:ind w:left="2256" w:right="0" w:hanging="420"/>
        <w:jc w:val="left"/>
      </w:pPr>
      <w:bookmarkStart w:name="_bookmark42" w:id="97"/>
      <w:bookmarkEnd w:id="97"/>
      <w:r>
        <w:rPr>
          <w:b w:val="0"/>
        </w:rPr>
      </w:r>
      <w:bookmarkStart w:name="_bookmark42" w:id="98"/>
      <w:bookmarkEnd w:id="98"/>
      <w:r>
        <w:rPr/>
        <w:t>K</w:t>
      </w:r>
      <w:r>
        <w:rPr/>
        <w:t>onunun</w:t>
      </w:r>
      <w:r>
        <w:rPr>
          <w:spacing w:val="-1"/>
        </w:rPr>
        <w:t> </w:t>
      </w:r>
      <w:r>
        <w:rPr/>
        <w:t>Önemi</w:t>
      </w:r>
    </w:p>
    <w:p>
      <w:pPr>
        <w:pStyle w:val="BodyText"/>
        <w:spacing w:line="360" w:lineRule="auto" w:before="135"/>
        <w:ind w:left="1128" w:right="615" w:firstLine="708"/>
        <w:jc w:val="both"/>
      </w:pPr>
      <w:r>
        <w:rPr/>
        <w:t>Afetler insan yaşamını maddi ve manevi olarak olumsuz yönde etkilemektedir. Afetlerin neden olduğu hasarlara yönelik yeterli düzeyde önlemler alınmalıdır. Türkiye konum olarak afet yönünden riskli bir bölgede bulunmaktadır. Özellikle deprem</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jc w:val="both"/>
      </w:pPr>
      <w:r>
        <w:rPr/>
        <w:t>konusunda risk yüksek derecededir. Gümüşhane iline bakıldığında güney kısmından birinci derece deprem kuşağı olan Kuzey Anadolu Fay hattı geçmektedir. Heyelan yönünden</w:t>
      </w:r>
      <w:r>
        <w:rPr>
          <w:spacing w:val="-12"/>
        </w:rPr>
        <w:t> </w:t>
      </w:r>
      <w:r>
        <w:rPr/>
        <w:t>bakıldığında</w:t>
      </w:r>
      <w:r>
        <w:rPr>
          <w:spacing w:val="-12"/>
        </w:rPr>
        <w:t> </w:t>
      </w:r>
      <w:r>
        <w:rPr/>
        <w:t>bulunduğu</w:t>
      </w:r>
      <w:r>
        <w:rPr>
          <w:spacing w:val="-11"/>
        </w:rPr>
        <w:t> </w:t>
      </w:r>
      <w:r>
        <w:rPr/>
        <w:t>konum</w:t>
      </w:r>
      <w:r>
        <w:rPr>
          <w:spacing w:val="-12"/>
        </w:rPr>
        <w:t> </w:t>
      </w:r>
      <w:r>
        <w:rPr/>
        <w:t>nedeniyle</w:t>
      </w:r>
      <w:r>
        <w:rPr>
          <w:spacing w:val="-9"/>
        </w:rPr>
        <w:t> </w:t>
      </w:r>
      <w:r>
        <w:rPr/>
        <w:t>heyelan</w:t>
      </w:r>
      <w:r>
        <w:rPr>
          <w:spacing w:val="-12"/>
        </w:rPr>
        <w:t> </w:t>
      </w:r>
      <w:r>
        <w:rPr/>
        <w:t>riskinde</w:t>
      </w:r>
      <w:r>
        <w:rPr>
          <w:spacing w:val="-12"/>
        </w:rPr>
        <w:t> </w:t>
      </w:r>
      <w:r>
        <w:rPr/>
        <w:t>birinci</w:t>
      </w:r>
      <w:r>
        <w:rPr>
          <w:spacing w:val="-11"/>
        </w:rPr>
        <w:t> </w:t>
      </w:r>
      <w:r>
        <w:rPr/>
        <w:t>sıralarda</w:t>
      </w:r>
      <w:r>
        <w:rPr>
          <w:spacing w:val="-8"/>
        </w:rPr>
        <w:t> </w:t>
      </w:r>
      <w:r>
        <w:rPr/>
        <w:t>yer almaktadır. Genellikle her yıl gerçekleşen heyelanlar can ve mal kayıplarına neden olmaktadır. Gümüşhane’de bahar aylarında yağışın fazla olması nedeniyle dere yataklarının dar olduğu yerlerde heyelan görülmektedir. Gümüşhane genel olarak afet yönünden risk altında</w:t>
      </w:r>
      <w:r>
        <w:rPr>
          <w:spacing w:val="1"/>
        </w:rPr>
        <w:t> </w:t>
      </w:r>
      <w:r>
        <w:rPr/>
        <w:t>bulunmaktadır.</w:t>
      </w:r>
    </w:p>
    <w:p>
      <w:pPr>
        <w:pStyle w:val="BodyText"/>
        <w:spacing w:line="360" w:lineRule="auto"/>
        <w:ind w:left="1128" w:right="608" w:firstLine="708"/>
        <w:jc w:val="both"/>
      </w:pPr>
      <w:r>
        <w:rPr/>
        <w:t>Afet durumunda görev alacak kurumların koordineli bir şekilde çalışması gerekmektedir. Kurumların önceliği kendilerine ait afet planı hazırlamak ve tatbikatlar yapmaktır. Kurum ve kuruluşlarda gerekli ve doğru bilgileri toplanması, değerlendirilmesi ve uygulanması gerekmektedir. Toplumun ihtiyacını karşılayacak şekilde</w:t>
      </w:r>
      <w:r>
        <w:rPr>
          <w:spacing w:val="-9"/>
        </w:rPr>
        <w:t> </w:t>
      </w:r>
      <w:r>
        <w:rPr/>
        <w:t>organizasyon</w:t>
      </w:r>
      <w:r>
        <w:rPr>
          <w:spacing w:val="-3"/>
        </w:rPr>
        <w:t> </w:t>
      </w:r>
      <w:r>
        <w:rPr/>
        <w:t>yapılmalıdır.</w:t>
      </w:r>
      <w:r>
        <w:rPr>
          <w:spacing w:val="-9"/>
        </w:rPr>
        <w:t> </w:t>
      </w:r>
      <w:r>
        <w:rPr/>
        <w:t>Toplumun</w:t>
      </w:r>
      <w:r>
        <w:rPr>
          <w:spacing w:val="-8"/>
        </w:rPr>
        <w:t> </w:t>
      </w:r>
      <w:r>
        <w:rPr/>
        <w:t>en</w:t>
      </w:r>
      <w:r>
        <w:rPr>
          <w:spacing w:val="-5"/>
        </w:rPr>
        <w:t> </w:t>
      </w:r>
      <w:r>
        <w:rPr/>
        <w:t>büyük</w:t>
      </w:r>
      <w:r>
        <w:rPr>
          <w:spacing w:val="-8"/>
        </w:rPr>
        <w:t> </w:t>
      </w:r>
      <w:r>
        <w:rPr/>
        <w:t>ihtiyacı</w:t>
      </w:r>
      <w:r>
        <w:rPr>
          <w:spacing w:val="-5"/>
        </w:rPr>
        <w:t> </w:t>
      </w:r>
      <w:r>
        <w:rPr/>
        <w:t>yiyecek,</w:t>
      </w:r>
      <w:r>
        <w:rPr>
          <w:spacing w:val="-7"/>
        </w:rPr>
        <w:t> </w:t>
      </w:r>
      <w:r>
        <w:rPr/>
        <w:t>içecek</w:t>
      </w:r>
      <w:r>
        <w:rPr>
          <w:spacing w:val="-8"/>
        </w:rPr>
        <w:t> </w:t>
      </w:r>
      <w:r>
        <w:rPr/>
        <w:t>ve</w:t>
      </w:r>
      <w:r>
        <w:rPr>
          <w:spacing w:val="-9"/>
        </w:rPr>
        <w:t> </w:t>
      </w:r>
      <w:r>
        <w:rPr/>
        <w:t>sağlık kuruluşları olmaktadır. Burada sağlık kurumlarına büyük görev düşmektedir. Sağlık kurumlarının en önemli özelliği kesintisiz ve yirmi dört saat ulaşabilir olmasıdır. Dolayısıyla sağlık kurumlarının afet durumunda hasta güvenliğini sağlamak, kesintisiz tedavi ve bakım hizmeti vermek, afet sonrasında hasta gelme ihtimaline karşı hazırlıklı bulunması</w:t>
      </w:r>
      <w:r>
        <w:rPr>
          <w:spacing w:val="-2"/>
        </w:rPr>
        <w:t> </w:t>
      </w:r>
      <w:r>
        <w:rPr/>
        <w:t>gerekmektedir.</w:t>
      </w:r>
    </w:p>
    <w:p>
      <w:pPr>
        <w:pStyle w:val="BodyText"/>
        <w:spacing w:line="360" w:lineRule="auto"/>
        <w:ind w:left="1128" w:right="616" w:firstLine="708"/>
        <w:jc w:val="both"/>
      </w:pPr>
      <w:r>
        <w:rPr/>
        <w:t>Afetlere müdahalede problemlerle karşılaşmamak için planlar yapılmalı, doğru triaj yapılmalı, müdahale gecikmemeli, koordinasyonun iyi bir şekilde yürütülmesi, kayıtların tam yapılması gerekmektedir.</w:t>
      </w:r>
    </w:p>
    <w:p>
      <w:pPr>
        <w:pStyle w:val="BodyText"/>
        <w:spacing w:line="360" w:lineRule="auto"/>
        <w:ind w:left="1128" w:right="608" w:firstLine="768"/>
        <w:jc w:val="both"/>
      </w:pPr>
      <w:r>
        <w:rPr/>
        <w:t>Bu çalışmadan elde edilen sonuçlar ile sağlık personelinin afete ne kadar hazır olduğu ölçülecektir. Afetle ilgili eğitim alıp almadıkları tespit edilerek eğitim veren kuruma veri sağlanacaktır. Afet durumunda triajın ne kadar başarılı yürütüldüğünü gösterecek veri sağlanacaktır. Personel ve yöneticilerin ne kadar koordineli bir şekilde çalıştığını gösteren veri sağlanacaktır.</w:t>
      </w:r>
    </w:p>
    <w:p>
      <w:pPr>
        <w:pStyle w:val="BodyText"/>
        <w:spacing w:before="4"/>
        <w:rPr>
          <w:sz w:val="36"/>
        </w:rPr>
      </w:pPr>
    </w:p>
    <w:p>
      <w:pPr>
        <w:pStyle w:val="Heading1"/>
        <w:numPr>
          <w:ilvl w:val="1"/>
          <w:numId w:val="12"/>
        </w:numPr>
        <w:tabs>
          <w:tab w:pos="2257" w:val="left" w:leader="none"/>
        </w:tabs>
        <w:spacing w:line="240" w:lineRule="auto" w:before="1" w:after="0"/>
        <w:ind w:left="2256" w:right="0" w:hanging="420"/>
        <w:jc w:val="left"/>
      </w:pPr>
      <w:bookmarkStart w:name="_bookmark43" w:id="99"/>
      <w:bookmarkEnd w:id="99"/>
      <w:r>
        <w:rPr>
          <w:b w:val="0"/>
        </w:rPr>
      </w:r>
      <w:bookmarkStart w:name="_bookmark43" w:id="100"/>
      <w:bookmarkEnd w:id="100"/>
      <w:r>
        <w:rPr/>
        <w:t>A</w:t>
      </w:r>
      <w:r>
        <w:rPr/>
        <w:t>raştırmanın Amacı</w:t>
      </w:r>
    </w:p>
    <w:p>
      <w:pPr>
        <w:pStyle w:val="BodyText"/>
        <w:spacing w:line="360" w:lineRule="auto" w:before="134"/>
        <w:ind w:left="1128" w:right="614" w:firstLine="708"/>
        <w:jc w:val="both"/>
      </w:pPr>
      <w:r>
        <w:rPr/>
        <w:t>Araştırmanın</w:t>
      </w:r>
      <w:r>
        <w:rPr>
          <w:spacing w:val="-6"/>
        </w:rPr>
        <w:t> </w:t>
      </w:r>
      <w:r>
        <w:rPr/>
        <w:t>amacı</w:t>
      </w:r>
      <w:r>
        <w:rPr>
          <w:spacing w:val="-5"/>
        </w:rPr>
        <w:t> </w:t>
      </w:r>
      <w:r>
        <w:rPr/>
        <w:t>Gümüşhane</w:t>
      </w:r>
      <w:r>
        <w:rPr>
          <w:spacing w:val="-8"/>
        </w:rPr>
        <w:t> </w:t>
      </w:r>
      <w:r>
        <w:rPr/>
        <w:t>112’de</w:t>
      </w:r>
      <w:r>
        <w:rPr>
          <w:spacing w:val="-7"/>
        </w:rPr>
        <w:t> </w:t>
      </w:r>
      <w:r>
        <w:rPr/>
        <w:t>çalışan</w:t>
      </w:r>
      <w:r>
        <w:rPr>
          <w:spacing w:val="-7"/>
        </w:rPr>
        <w:t> </w:t>
      </w:r>
      <w:r>
        <w:rPr/>
        <w:t>personelin</w:t>
      </w:r>
      <w:r>
        <w:rPr>
          <w:spacing w:val="-5"/>
        </w:rPr>
        <w:t> </w:t>
      </w:r>
      <w:r>
        <w:rPr/>
        <w:t>afete</w:t>
      </w:r>
      <w:r>
        <w:rPr>
          <w:spacing w:val="-6"/>
        </w:rPr>
        <w:t> </w:t>
      </w:r>
      <w:r>
        <w:rPr/>
        <w:t>hazırlık</w:t>
      </w:r>
      <w:r>
        <w:rPr>
          <w:spacing w:val="-6"/>
        </w:rPr>
        <w:t> </w:t>
      </w:r>
      <w:r>
        <w:rPr/>
        <w:t>düzeyini belirlemektir.</w:t>
      </w:r>
    </w:p>
    <w:p>
      <w:pPr>
        <w:spacing w:after="0" w:line="360" w:lineRule="auto"/>
        <w:jc w:val="both"/>
        <w:sectPr>
          <w:pgSz w:w="11910" w:h="16840"/>
          <w:pgMar w:header="0" w:footer="976" w:top="1580" w:bottom="1240" w:left="1140" w:right="520"/>
        </w:sectPr>
      </w:pPr>
    </w:p>
    <w:p>
      <w:pPr>
        <w:pStyle w:val="Heading1"/>
        <w:numPr>
          <w:ilvl w:val="1"/>
          <w:numId w:val="12"/>
        </w:numPr>
        <w:tabs>
          <w:tab w:pos="2257" w:val="left" w:leader="none"/>
        </w:tabs>
        <w:spacing w:line="240" w:lineRule="auto" w:before="102" w:after="0"/>
        <w:ind w:left="2256" w:right="0" w:hanging="420"/>
        <w:jc w:val="left"/>
      </w:pPr>
      <w:bookmarkStart w:name="_bookmark44" w:id="101"/>
      <w:bookmarkEnd w:id="101"/>
      <w:r>
        <w:rPr>
          <w:b w:val="0"/>
        </w:rPr>
      </w:r>
      <w:bookmarkStart w:name="_bookmark44" w:id="102"/>
      <w:bookmarkEnd w:id="102"/>
      <w:r>
        <w:rPr/>
        <w:t>B</w:t>
      </w:r>
      <w:r>
        <w:rPr/>
        <w:t>eklenen</w:t>
      </w:r>
      <w:r>
        <w:rPr>
          <w:spacing w:val="-1"/>
        </w:rPr>
        <w:t> </w:t>
      </w:r>
      <w:r>
        <w:rPr/>
        <w:t>Yararlar</w:t>
      </w:r>
    </w:p>
    <w:p>
      <w:pPr>
        <w:pStyle w:val="BodyText"/>
        <w:spacing w:line="360" w:lineRule="auto" w:before="132"/>
        <w:ind w:left="1128" w:right="609" w:firstLine="708"/>
        <w:jc w:val="both"/>
      </w:pPr>
      <w:r>
        <w:rPr/>
        <w:t>Araştırmanın analizleri sonucunda elde edilen bilgilere göre Gümüşhane 112’de çalışan personelin afete hazırlık düzeyinin, afetle ilgili yeterli eğitimin yapılıp yapılmadığının, personelin ekip ruhu içinde olup olmadığının değerlendirilmesi ve yorumlanmasını sağlamaktır.</w:t>
      </w:r>
    </w:p>
    <w:p>
      <w:pPr>
        <w:pStyle w:val="BodyText"/>
        <w:spacing w:before="6"/>
        <w:rPr>
          <w:sz w:val="36"/>
        </w:rPr>
      </w:pPr>
    </w:p>
    <w:p>
      <w:pPr>
        <w:pStyle w:val="Heading1"/>
        <w:numPr>
          <w:ilvl w:val="1"/>
          <w:numId w:val="12"/>
        </w:numPr>
        <w:tabs>
          <w:tab w:pos="2257" w:val="left" w:leader="none"/>
        </w:tabs>
        <w:spacing w:line="240" w:lineRule="auto" w:before="1" w:after="0"/>
        <w:ind w:left="2256" w:right="0" w:hanging="420"/>
        <w:jc w:val="left"/>
      </w:pPr>
      <w:bookmarkStart w:name="_bookmark45" w:id="103"/>
      <w:bookmarkEnd w:id="103"/>
      <w:r>
        <w:rPr>
          <w:b w:val="0"/>
        </w:rPr>
      </w:r>
      <w:bookmarkStart w:name="_bookmark45" w:id="104"/>
      <w:bookmarkEnd w:id="104"/>
      <w:r>
        <w:rPr/>
        <w:t>A</w:t>
      </w:r>
      <w:r>
        <w:rPr/>
        <w:t>raştırmanın Varsayımları</w:t>
      </w:r>
    </w:p>
    <w:p>
      <w:pPr>
        <w:pStyle w:val="BodyText"/>
        <w:spacing w:line="360" w:lineRule="auto" w:before="132"/>
        <w:ind w:left="1128" w:right="612" w:firstLine="708"/>
        <w:jc w:val="both"/>
      </w:pPr>
      <w:r>
        <w:rPr/>
        <w:t>Araştırmaya katılan personelin anket sorularını doğru bir şekilde cevapladıkları varsayılmıştır. Gümüşhane 112’de çalışan personelin afete hazırlık düzeyinin yeterli olduğu varsayılarak incelenmiştir.</w:t>
      </w:r>
    </w:p>
    <w:p>
      <w:pPr>
        <w:pStyle w:val="BodyText"/>
        <w:spacing w:before="5"/>
        <w:rPr>
          <w:sz w:val="36"/>
        </w:rPr>
      </w:pPr>
    </w:p>
    <w:p>
      <w:pPr>
        <w:pStyle w:val="Heading1"/>
        <w:numPr>
          <w:ilvl w:val="1"/>
          <w:numId w:val="12"/>
        </w:numPr>
        <w:tabs>
          <w:tab w:pos="2257" w:val="left" w:leader="none"/>
        </w:tabs>
        <w:spacing w:line="240" w:lineRule="auto" w:before="0" w:after="0"/>
        <w:ind w:left="2256" w:right="0" w:hanging="420"/>
        <w:jc w:val="left"/>
      </w:pPr>
      <w:bookmarkStart w:name="_bookmark46" w:id="105"/>
      <w:bookmarkEnd w:id="105"/>
      <w:r>
        <w:rPr>
          <w:b w:val="0"/>
        </w:rPr>
      </w:r>
      <w:bookmarkStart w:name="_bookmark46" w:id="106"/>
      <w:bookmarkEnd w:id="106"/>
      <w:r>
        <w:rPr/>
        <w:t>A</w:t>
      </w:r>
      <w:r>
        <w:rPr/>
        <w:t>raştırmanın Kısıtlılıkları</w:t>
      </w:r>
    </w:p>
    <w:p>
      <w:pPr>
        <w:pStyle w:val="BodyText"/>
        <w:spacing w:line="360" w:lineRule="auto" w:before="135"/>
        <w:ind w:left="1128" w:right="617" w:firstLine="708"/>
        <w:jc w:val="both"/>
      </w:pPr>
      <w:r>
        <w:rPr/>
        <w:t>Maliyet, zaman ve mesafe sınırlandırmasından dolayı araştırma sadece Gümüşhane iliyle sınırlandırılmıştır. Bu çalışmadan elde edilen sonuçlar sadece anket uygulananlar için geçerlidir ve genellenemez.</w:t>
      </w:r>
    </w:p>
    <w:p>
      <w:pPr>
        <w:pStyle w:val="BodyText"/>
        <w:spacing w:before="4"/>
        <w:rPr>
          <w:sz w:val="36"/>
        </w:rPr>
      </w:pPr>
    </w:p>
    <w:p>
      <w:pPr>
        <w:pStyle w:val="Heading1"/>
        <w:numPr>
          <w:ilvl w:val="1"/>
          <w:numId w:val="12"/>
        </w:numPr>
        <w:tabs>
          <w:tab w:pos="2257" w:val="left" w:leader="none"/>
        </w:tabs>
        <w:spacing w:line="240" w:lineRule="auto" w:before="1" w:after="0"/>
        <w:ind w:left="2256" w:right="0" w:hanging="420"/>
        <w:jc w:val="left"/>
      </w:pPr>
      <w:bookmarkStart w:name="_bookmark47" w:id="107"/>
      <w:bookmarkEnd w:id="107"/>
      <w:r>
        <w:rPr>
          <w:b w:val="0"/>
        </w:rPr>
      </w:r>
      <w:bookmarkStart w:name="_bookmark47" w:id="108"/>
      <w:bookmarkEnd w:id="108"/>
      <w:r>
        <w:rPr/>
        <w:t>A</w:t>
      </w:r>
      <w:r>
        <w:rPr/>
        <w:t>raştırmanın Modeli</w:t>
      </w:r>
    </w:p>
    <w:p>
      <w:pPr>
        <w:pStyle w:val="BodyText"/>
        <w:spacing w:before="132"/>
        <w:ind w:left="1836"/>
      </w:pPr>
      <w:r>
        <w:rPr/>
        <w:t>Araştırmanın modeli Şekil 4. 1’de gösterilmiştir.</w:t>
      </w:r>
    </w:p>
    <w:p>
      <w:pPr>
        <w:pStyle w:val="BodyText"/>
        <w:rPr>
          <w:sz w:val="26"/>
        </w:rPr>
      </w:pPr>
    </w:p>
    <w:p>
      <w:pPr>
        <w:pStyle w:val="BodyText"/>
        <w:spacing w:before="2"/>
        <w:rPr>
          <w:sz w:val="26"/>
        </w:rPr>
      </w:pPr>
    </w:p>
    <w:p>
      <w:pPr>
        <w:pStyle w:val="Heading1"/>
        <w:ind w:left="4119"/>
      </w:pPr>
      <w:r>
        <w:rPr/>
        <w:t>Şekil 4. 1. Araştırmanın Modeli</w:t>
      </w:r>
    </w:p>
    <w:p>
      <w:pPr>
        <w:pStyle w:val="BodyText"/>
        <w:spacing w:before="10"/>
        <w:rPr>
          <w:b/>
          <w:sz w:val="17"/>
        </w:rPr>
      </w:pPr>
      <w:r>
        <w:rPr/>
        <w:drawing>
          <wp:anchor distT="0" distB="0" distL="0" distR="0" allowOverlap="1" layoutInCell="1" locked="0" behindDoc="1" simplePos="0" relativeHeight="268434695">
            <wp:simplePos x="0" y="0"/>
            <wp:positionH relativeFrom="page">
              <wp:posOffset>1663276</wp:posOffset>
            </wp:positionH>
            <wp:positionV relativeFrom="paragraph">
              <wp:posOffset>155759</wp:posOffset>
            </wp:positionV>
            <wp:extent cx="4754608" cy="2681478"/>
            <wp:effectExtent l="0" t="0" r="0" b="0"/>
            <wp:wrapTopAndBottom/>
            <wp:docPr id="19" name="image12.png" descr=""/>
            <wp:cNvGraphicFramePr>
              <a:graphicFrameLocks noChangeAspect="1"/>
            </wp:cNvGraphicFramePr>
            <a:graphic>
              <a:graphicData uri="http://schemas.openxmlformats.org/drawingml/2006/picture">
                <pic:pic>
                  <pic:nvPicPr>
                    <pic:cNvPr id="20" name="image12.png"/>
                    <pic:cNvPicPr/>
                  </pic:nvPicPr>
                  <pic:blipFill>
                    <a:blip r:embed="rId32" cstate="print"/>
                    <a:stretch>
                      <a:fillRect/>
                    </a:stretch>
                  </pic:blipFill>
                  <pic:spPr>
                    <a:xfrm>
                      <a:off x="0" y="0"/>
                      <a:ext cx="4754608" cy="2681478"/>
                    </a:xfrm>
                    <a:prstGeom prst="rect">
                      <a:avLst/>
                    </a:prstGeom>
                  </pic:spPr>
                </pic:pic>
              </a:graphicData>
            </a:graphic>
          </wp:anchor>
        </w:drawing>
      </w:r>
    </w:p>
    <w:p>
      <w:pPr>
        <w:spacing w:after="0"/>
        <w:rPr>
          <w:sz w:val="17"/>
        </w:rPr>
        <w:sectPr>
          <w:pgSz w:w="11910" w:h="16840"/>
          <w:pgMar w:header="0" w:footer="976" w:top="1580" w:bottom="1240" w:left="1140" w:right="520"/>
        </w:sectPr>
      </w:pPr>
    </w:p>
    <w:p>
      <w:pPr>
        <w:pStyle w:val="ListParagraph"/>
        <w:numPr>
          <w:ilvl w:val="1"/>
          <w:numId w:val="12"/>
        </w:numPr>
        <w:tabs>
          <w:tab w:pos="2257" w:val="left" w:leader="none"/>
        </w:tabs>
        <w:spacing w:line="240" w:lineRule="auto" w:before="102" w:after="0"/>
        <w:ind w:left="2256" w:right="0" w:hanging="420"/>
        <w:jc w:val="left"/>
        <w:rPr>
          <w:b/>
          <w:sz w:val="24"/>
        </w:rPr>
      </w:pPr>
      <w:bookmarkStart w:name="_bookmark48" w:id="109"/>
      <w:bookmarkEnd w:id="109"/>
      <w:r>
        <w:rPr/>
      </w:r>
      <w:bookmarkStart w:name="_bookmark48" w:id="110"/>
      <w:bookmarkEnd w:id="110"/>
      <w:r>
        <w:rPr>
          <w:b/>
          <w:sz w:val="24"/>
        </w:rPr>
        <w:t>A</w:t>
      </w:r>
      <w:r>
        <w:rPr>
          <w:b/>
          <w:sz w:val="24"/>
        </w:rPr>
        <w:t>raştırmanın Kapsamı</w:t>
      </w:r>
    </w:p>
    <w:p>
      <w:pPr>
        <w:pStyle w:val="BodyText"/>
        <w:spacing w:line="360" w:lineRule="auto" w:before="132"/>
        <w:ind w:left="1128" w:right="610" w:firstLine="708"/>
        <w:jc w:val="both"/>
      </w:pPr>
      <w:r>
        <w:rPr/>
        <w:t>Çalışma</w:t>
      </w:r>
      <w:r>
        <w:rPr>
          <w:spacing w:val="-18"/>
        </w:rPr>
        <w:t> </w:t>
      </w:r>
      <w:r>
        <w:rPr/>
        <w:t>Gümüşhane</w:t>
      </w:r>
      <w:r>
        <w:rPr>
          <w:spacing w:val="-17"/>
        </w:rPr>
        <w:t> </w:t>
      </w:r>
      <w:r>
        <w:rPr/>
        <w:t>ilinde</w:t>
      </w:r>
      <w:r>
        <w:rPr>
          <w:spacing w:val="-14"/>
        </w:rPr>
        <w:t> </w:t>
      </w:r>
      <w:r>
        <w:rPr/>
        <w:t>yapılmıştır.</w:t>
      </w:r>
      <w:r>
        <w:rPr>
          <w:spacing w:val="-16"/>
        </w:rPr>
        <w:t> </w:t>
      </w:r>
      <w:r>
        <w:rPr/>
        <w:t>Gümüşhane</w:t>
      </w:r>
      <w:r>
        <w:rPr>
          <w:spacing w:val="-18"/>
        </w:rPr>
        <w:t> </w:t>
      </w:r>
      <w:r>
        <w:rPr/>
        <w:t>112’de</w:t>
      </w:r>
      <w:r>
        <w:rPr>
          <w:spacing w:val="-17"/>
        </w:rPr>
        <w:t> </w:t>
      </w:r>
      <w:r>
        <w:rPr/>
        <w:t>çalışan</w:t>
      </w:r>
      <w:r>
        <w:rPr>
          <w:spacing w:val="-16"/>
        </w:rPr>
        <w:t> </w:t>
      </w:r>
      <w:r>
        <w:rPr/>
        <w:t>personel</w:t>
      </w:r>
      <w:r>
        <w:rPr>
          <w:spacing w:val="-17"/>
        </w:rPr>
        <w:t> </w:t>
      </w:r>
      <w:r>
        <w:rPr/>
        <w:t>sayısı 150 personel olarak belirlenmiştir. Araştırmanın evrenini bu 150 personel</w:t>
      </w:r>
      <w:r>
        <w:rPr>
          <w:spacing w:val="-37"/>
        </w:rPr>
        <w:t> </w:t>
      </w:r>
      <w:r>
        <w:rPr/>
        <w:t>oluşturmuştur. Herhangi bir örnekleme yöntemi kullanılmamış olup evrenin tamamı araştırmaya dâhil edilmiştir. Araştırmaya katılmayı kabul eden toplam 125 personele anket uygulanmış olup, bu anketlerin 20 tanesi bilgi yetersizliğinden dolayı geçersiz kabul edilmiştir. Toplamda</w:t>
      </w:r>
      <w:r>
        <w:rPr>
          <w:spacing w:val="-17"/>
        </w:rPr>
        <w:t> </w:t>
      </w:r>
      <w:r>
        <w:rPr/>
        <w:t>105</w:t>
      </w:r>
      <w:r>
        <w:rPr>
          <w:spacing w:val="-16"/>
        </w:rPr>
        <w:t> </w:t>
      </w:r>
      <w:r>
        <w:rPr/>
        <w:t>personelin</w:t>
      </w:r>
      <w:r>
        <w:rPr>
          <w:spacing w:val="-16"/>
        </w:rPr>
        <w:t> </w:t>
      </w:r>
      <w:r>
        <w:rPr/>
        <w:t>anketi</w:t>
      </w:r>
      <w:r>
        <w:rPr>
          <w:spacing w:val="-15"/>
        </w:rPr>
        <w:t> </w:t>
      </w:r>
      <w:r>
        <w:rPr/>
        <w:t>değerlendirmeye</w:t>
      </w:r>
      <w:r>
        <w:rPr>
          <w:spacing w:val="-15"/>
        </w:rPr>
        <w:t> </w:t>
      </w:r>
      <w:r>
        <w:rPr/>
        <w:t>alınarak</w:t>
      </w:r>
      <w:r>
        <w:rPr>
          <w:spacing w:val="-16"/>
        </w:rPr>
        <w:t> </w:t>
      </w:r>
      <w:r>
        <w:rPr/>
        <w:t>analizler</w:t>
      </w:r>
      <w:r>
        <w:rPr>
          <w:spacing w:val="-18"/>
        </w:rPr>
        <w:t> </w:t>
      </w:r>
      <w:r>
        <w:rPr/>
        <w:t>bu</w:t>
      </w:r>
      <w:r>
        <w:rPr>
          <w:spacing w:val="-16"/>
        </w:rPr>
        <w:t> </w:t>
      </w:r>
      <w:r>
        <w:rPr/>
        <w:t>anketler</w:t>
      </w:r>
      <w:r>
        <w:rPr>
          <w:spacing w:val="-17"/>
        </w:rPr>
        <w:t> </w:t>
      </w:r>
      <w:r>
        <w:rPr/>
        <w:t>üzerinden değerlendirilmiştir.</w:t>
      </w:r>
    </w:p>
    <w:p>
      <w:pPr>
        <w:pStyle w:val="BodyText"/>
        <w:spacing w:before="6"/>
        <w:rPr>
          <w:sz w:val="36"/>
        </w:rPr>
      </w:pPr>
    </w:p>
    <w:p>
      <w:pPr>
        <w:pStyle w:val="Heading1"/>
        <w:numPr>
          <w:ilvl w:val="1"/>
          <w:numId w:val="12"/>
        </w:numPr>
        <w:tabs>
          <w:tab w:pos="2257" w:val="left" w:leader="none"/>
        </w:tabs>
        <w:spacing w:line="240" w:lineRule="auto" w:before="0" w:after="0"/>
        <w:ind w:left="2256" w:right="0" w:hanging="420"/>
        <w:jc w:val="left"/>
      </w:pPr>
      <w:bookmarkStart w:name="_bookmark49" w:id="111"/>
      <w:bookmarkEnd w:id="111"/>
      <w:r>
        <w:rPr>
          <w:b w:val="0"/>
        </w:rPr>
      </w:r>
      <w:bookmarkStart w:name="_bookmark49" w:id="112"/>
      <w:bookmarkEnd w:id="112"/>
      <w:r>
        <w:rPr/>
        <w:t>V</w:t>
      </w:r>
      <w:r>
        <w:rPr/>
        <w:t>eri Toplama Araçları ve</w:t>
      </w:r>
      <w:r>
        <w:rPr>
          <w:spacing w:val="-2"/>
        </w:rPr>
        <w:t> </w:t>
      </w:r>
      <w:r>
        <w:rPr/>
        <w:t>Yöntem</w:t>
      </w:r>
    </w:p>
    <w:p>
      <w:pPr>
        <w:pStyle w:val="BodyText"/>
        <w:spacing w:line="360" w:lineRule="auto" w:before="135"/>
        <w:ind w:left="1128" w:right="612" w:firstLine="708"/>
        <w:jc w:val="both"/>
      </w:pPr>
      <w:r>
        <w:rPr/>
        <w:t>Araştırmayı araştırmacının kendisi yürütmüştür. Veriler Gümüşhane 112’de çalışan personele 01.10.2018-01.01.2019 tarihleri arasında anket uygulanarak toplanmıştır. Anketi cevaplandırmak gönüllülük esasına dayandırılmıştır. Uygulanan anketlerden toplanan veriler SPSS programıyla analiz edilmiştir.</w:t>
      </w:r>
    </w:p>
    <w:p>
      <w:pPr>
        <w:pStyle w:val="BodyText"/>
        <w:spacing w:line="360" w:lineRule="auto"/>
        <w:ind w:left="1128" w:right="609" w:firstLine="708"/>
        <w:jc w:val="both"/>
      </w:pPr>
      <w:r>
        <w:rPr/>
        <w:t>Araştırmaya başlamadan önce Gümüşhane Üniversitesi etik kurulundan 24/ 04/ 2019 tarih ve sayılı izin alınmıştır (Ek- 1). Verileri toplamak için gerekli olan izinler Gümüşhane İl Sağlık Müdürlüğünden alınmıştır (Ek- 2).</w:t>
      </w:r>
    </w:p>
    <w:p>
      <w:pPr>
        <w:pStyle w:val="BodyText"/>
        <w:spacing w:line="360" w:lineRule="auto"/>
        <w:ind w:left="1128" w:right="609" w:firstLine="708"/>
        <w:jc w:val="both"/>
      </w:pPr>
      <w:r>
        <w:rPr/>
        <w:t>Anket</w:t>
      </w:r>
      <w:r>
        <w:rPr>
          <w:spacing w:val="-8"/>
        </w:rPr>
        <w:t> </w:t>
      </w:r>
      <w:r>
        <w:rPr/>
        <w:t>formunun</w:t>
      </w:r>
      <w:r>
        <w:rPr>
          <w:spacing w:val="-4"/>
        </w:rPr>
        <w:t> </w:t>
      </w:r>
      <w:r>
        <w:rPr/>
        <w:t>giriş</w:t>
      </w:r>
      <w:r>
        <w:rPr>
          <w:spacing w:val="-7"/>
        </w:rPr>
        <w:t> </w:t>
      </w:r>
      <w:r>
        <w:rPr/>
        <w:t>kısmında</w:t>
      </w:r>
      <w:r>
        <w:rPr>
          <w:spacing w:val="-8"/>
        </w:rPr>
        <w:t> </w:t>
      </w:r>
      <w:r>
        <w:rPr/>
        <w:t>anketin</w:t>
      </w:r>
      <w:r>
        <w:rPr>
          <w:spacing w:val="-7"/>
        </w:rPr>
        <w:t> </w:t>
      </w:r>
      <w:r>
        <w:rPr/>
        <w:t>amacıyla</w:t>
      </w:r>
      <w:r>
        <w:rPr>
          <w:spacing w:val="-8"/>
        </w:rPr>
        <w:t> </w:t>
      </w:r>
      <w:r>
        <w:rPr/>
        <w:t>ilgili</w:t>
      </w:r>
      <w:r>
        <w:rPr>
          <w:spacing w:val="-5"/>
        </w:rPr>
        <w:t> </w:t>
      </w:r>
      <w:r>
        <w:rPr/>
        <w:t>bilgilere</w:t>
      </w:r>
      <w:r>
        <w:rPr>
          <w:spacing w:val="-4"/>
        </w:rPr>
        <w:t> </w:t>
      </w:r>
      <w:r>
        <w:rPr/>
        <w:t>yer</w:t>
      </w:r>
      <w:r>
        <w:rPr>
          <w:spacing w:val="-8"/>
        </w:rPr>
        <w:t> </w:t>
      </w:r>
      <w:r>
        <w:rPr/>
        <w:t>verilmiş</w:t>
      </w:r>
      <w:r>
        <w:rPr>
          <w:spacing w:val="-7"/>
        </w:rPr>
        <w:t> </w:t>
      </w:r>
      <w:r>
        <w:rPr/>
        <w:t>olup, ardından</w:t>
      </w:r>
      <w:r>
        <w:rPr>
          <w:spacing w:val="-12"/>
        </w:rPr>
        <w:t> </w:t>
      </w:r>
      <w:r>
        <w:rPr/>
        <w:t>demografik</w:t>
      </w:r>
      <w:r>
        <w:rPr>
          <w:spacing w:val="-12"/>
        </w:rPr>
        <w:t> </w:t>
      </w:r>
      <w:r>
        <w:rPr/>
        <w:t>sorular</w:t>
      </w:r>
      <w:r>
        <w:rPr>
          <w:spacing w:val="-11"/>
        </w:rPr>
        <w:t> </w:t>
      </w:r>
      <w:r>
        <w:rPr/>
        <w:t>yer</w:t>
      </w:r>
      <w:r>
        <w:rPr>
          <w:spacing w:val="-13"/>
        </w:rPr>
        <w:t> </w:t>
      </w:r>
      <w:r>
        <w:rPr/>
        <w:t>almaktadır.</w:t>
      </w:r>
      <w:r>
        <w:rPr>
          <w:spacing w:val="-10"/>
        </w:rPr>
        <w:t> </w:t>
      </w:r>
      <w:r>
        <w:rPr/>
        <w:t>Soruları</w:t>
      </w:r>
      <w:r>
        <w:rPr>
          <w:spacing w:val="-12"/>
        </w:rPr>
        <w:t> </w:t>
      </w:r>
      <w:r>
        <w:rPr/>
        <w:t>5’li</w:t>
      </w:r>
      <w:r>
        <w:rPr>
          <w:spacing w:val="-9"/>
        </w:rPr>
        <w:t> </w:t>
      </w:r>
      <w:r>
        <w:rPr/>
        <w:t>Likert</w:t>
      </w:r>
      <w:r>
        <w:rPr>
          <w:spacing w:val="-12"/>
        </w:rPr>
        <w:t> </w:t>
      </w:r>
      <w:r>
        <w:rPr/>
        <w:t>tarzında</w:t>
      </w:r>
      <w:r>
        <w:rPr>
          <w:spacing w:val="-12"/>
        </w:rPr>
        <w:t> </w:t>
      </w:r>
      <w:r>
        <w:rPr/>
        <w:t>hazırlanmış</w:t>
      </w:r>
      <w:r>
        <w:rPr>
          <w:spacing w:val="-12"/>
        </w:rPr>
        <w:t> </w:t>
      </w:r>
      <w:r>
        <w:rPr/>
        <w:t>olan ve 51 adet sorudan oluşan anket, Karabıyık (2010) tarafından geliştirilmiştir. Anket soruları, sekiz boyuta</w:t>
      </w:r>
      <w:r>
        <w:rPr>
          <w:spacing w:val="1"/>
        </w:rPr>
        <w:t> </w:t>
      </w:r>
      <w:r>
        <w:rPr/>
        <w:t>ayrılmıştır.</w:t>
      </w:r>
    </w:p>
    <w:p>
      <w:pPr>
        <w:pStyle w:val="BodyText"/>
        <w:spacing w:before="9"/>
        <w:rPr>
          <w:sz w:val="35"/>
        </w:rPr>
      </w:pPr>
    </w:p>
    <w:p>
      <w:pPr>
        <w:pStyle w:val="BodyText"/>
        <w:ind w:left="1836"/>
      </w:pPr>
      <w:r>
        <w:rPr/>
        <w:t>Bu boyutlar;</w:t>
      </w:r>
    </w:p>
    <w:p>
      <w:pPr>
        <w:pStyle w:val="ListParagraph"/>
        <w:numPr>
          <w:ilvl w:val="0"/>
          <w:numId w:val="13"/>
        </w:numPr>
        <w:tabs>
          <w:tab w:pos="2096" w:val="left" w:leader="none"/>
        </w:tabs>
        <w:spacing w:line="240" w:lineRule="auto" w:before="140" w:after="0"/>
        <w:ind w:left="1128" w:right="0" w:firstLine="708"/>
        <w:jc w:val="left"/>
        <w:rPr>
          <w:sz w:val="24"/>
        </w:rPr>
      </w:pPr>
      <w:r>
        <w:rPr>
          <w:sz w:val="24"/>
        </w:rPr>
        <w:t>Afet planları ile ilgili</w:t>
      </w:r>
      <w:r>
        <w:rPr>
          <w:spacing w:val="-2"/>
          <w:sz w:val="24"/>
        </w:rPr>
        <w:t> </w:t>
      </w:r>
      <w:r>
        <w:rPr>
          <w:sz w:val="24"/>
        </w:rPr>
        <w:t>sorular,</w:t>
      </w:r>
    </w:p>
    <w:p>
      <w:pPr>
        <w:pStyle w:val="ListParagraph"/>
        <w:numPr>
          <w:ilvl w:val="0"/>
          <w:numId w:val="13"/>
        </w:numPr>
        <w:tabs>
          <w:tab w:pos="2096" w:val="left" w:leader="none"/>
        </w:tabs>
        <w:spacing w:line="240" w:lineRule="auto" w:before="137" w:after="0"/>
        <w:ind w:left="1128" w:right="0" w:firstLine="708"/>
        <w:jc w:val="left"/>
        <w:rPr>
          <w:sz w:val="24"/>
        </w:rPr>
      </w:pPr>
      <w:r>
        <w:rPr>
          <w:sz w:val="24"/>
        </w:rPr>
        <w:t>Afet eğitimleri ve tatbikatlarıyla ilgili</w:t>
      </w:r>
      <w:r>
        <w:rPr>
          <w:spacing w:val="-3"/>
          <w:sz w:val="24"/>
        </w:rPr>
        <w:t> </w:t>
      </w:r>
      <w:r>
        <w:rPr>
          <w:sz w:val="24"/>
        </w:rPr>
        <w:t>sorular,</w:t>
      </w:r>
    </w:p>
    <w:p>
      <w:pPr>
        <w:pStyle w:val="ListParagraph"/>
        <w:numPr>
          <w:ilvl w:val="0"/>
          <w:numId w:val="13"/>
        </w:numPr>
        <w:tabs>
          <w:tab w:pos="2156" w:val="left" w:leader="none"/>
        </w:tabs>
        <w:spacing w:line="360" w:lineRule="auto" w:before="139" w:after="0"/>
        <w:ind w:left="1128" w:right="617" w:firstLine="708"/>
        <w:jc w:val="left"/>
        <w:rPr>
          <w:sz w:val="24"/>
        </w:rPr>
      </w:pPr>
      <w:r>
        <w:rPr>
          <w:sz w:val="24"/>
        </w:rPr>
        <w:t>KBRN ( Kimyasal, Biyolojik, Nükleer, Radyoaktif) olaylarla ve tehlikeli maddelere müdahaleyle ilgili</w:t>
      </w:r>
      <w:r>
        <w:rPr>
          <w:spacing w:val="-1"/>
          <w:sz w:val="24"/>
        </w:rPr>
        <w:t> </w:t>
      </w:r>
      <w:r>
        <w:rPr>
          <w:sz w:val="24"/>
        </w:rPr>
        <w:t>sorular,</w:t>
      </w:r>
    </w:p>
    <w:p>
      <w:pPr>
        <w:pStyle w:val="ListParagraph"/>
        <w:numPr>
          <w:ilvl w:val="0"/>
          <w:numId w:val="13"/>
        </w:numPr>
        <w:tabs>
          <w:tab w:pos="2096" w:val="left" w:leader="none"/>
        </w:tabs>
        <w:spacing w:line="240" w:lineRule="auto" w:before="0" w:after="0"/>
        <w:ind w:left="1128" w:right="0" w:firstLine="708"/>
        <w:jc w:val="left"/>
        <w:rPr>
          <w:sz w:val="24"/>
        </w:rPr>
      </w:pPr>
      <w:r>
        <w:rPr>
          <w:sz w:val="24"/>
        </w:rPr>
        <w:t>Koordinasyonla ilgili</w:t>
      </w:r>
      <w:r>
        <w:rPr>
          <w:spacing w:val="-1"/>
          <w:sz w:val="24"/>
        </w:rPr>
        <w:t> </w:t>
      </w:r>
      <w:r>
        <w:rPr>
          <w:sz w:val="24"/>
        </w:rPr>
        <w:t>sorular,</w:t>
      </w:r>
    </w:p>
    <w:p>
      <w:pPr>
        <w:pStyle w:val="ListParagraph"/>
        <w:numPr>
          <w:ilvl w:val="0"/>
          <w:numId w:val="13"/>
        </w:numPr>
        <w:tabs>
          <w:tab w:pos="2096" w:val="left" w:leader="none"/>
        </w:tabs>
        <w:spacing w:line="240" w:lineRule="auto" w:before="137" w:after="0"/>
        <w:ind w:left="1128" w:right="0" w:firstLine="708"/>
        <w:jc w:val="left"/>
        <w:rPr>
          <w:sz w:val="24"/>
        </w:rPr>
      </w:pPr>
      <w:r>
        <w:rPr>
          <w:sz w:val="24"/>
        </w:rPr>
        <w:t>Personel ve yöneticiler hakkında</w:t>
      </w:r>
      <w:r>
        <w:rPr>
          <w:spacing w:val="3"/>
          <w:sz w:val="24"/>
        </w:rPr>
        <w:t> </w:t>
      </w:r>
      <w:r>
        <w:rPr>
          <w:sz w:val="24"/>
        </w:rPr>
        <w:t>sorular,</w:t>
      </w:r>
    </w:p>
    <w:p>
      <w:pPr>
        <w:pStyle w:val="ListParagraph"/>
        <w:numPr>
          <w:ilvl w:val="0"/>
          <w:numId w:val="13"/>
        </w:numPr>
        <w:tabs>
          <w:tab w:pos="2139" w:val="left" w:leader="none"/>
        </w:tabs>
        <w:spacing w:line="360" w:lineRule="auto" w:before="139" w:after="0"/>
        <w:ind w:left="1128" w:right="619" w:firstLine="708"/>
        <w:jc w:val="left"/>
        <w:rPr>
          <w:sz w:val="24"/>
        </w:rPr>
      </w:pPr>
      <w:r>
        <w:rPr>
          <w:sz w:val="24"/>
        </w:rPr>
        <w:t>Liderlik, ekip yönetimi, çalışma yönetimi ve stres altında çalışma ile ilgili sorular,</w:t>
      </w:r>
    </w:p>
    <w:p>
      <w:pPr>
        <w:pStyle w:val="ListParagraph"/>
        <w:numPr>
          <w:ilvl w:val="0"/>
          <w:numId w:val="13"/>
        </w:numPr>
        <w:tabs>
          <w:tab w:pos="2096" w:val="left" w:leader="none"/>
        </w:tabs>
        <w:spacing w:line="240" w:lineRule="auto" w:before="1" w:after="0"/>
        <w:ind w:left="1128" w:right="0" w:firstLine="708"/>
        <w:jc w:val="left"/>
        <w:rPr>
          <w:sz w:val="24"/>
        </w:rPr>
      </w:pPr>
      <w:r>
        <w:rPr>
          <w:sz w:val="24"/>
        </w:rPr>
        <w:t>Triaj, kayıtlar ve özel patolojiler hakkında</w:t>
      </w:r>
      <w:r>
        <w:rPr>
          <w:spacing w:val="-4"/>
          <w:sz w:val="24"/>
        </w:rPr>
        <w:t> </w:t>
      </w:r>
      <w:r>
        <w:rPr>
          <w:sz w:val="24"/>
        </w:rPr>
        <w:t>sorular,</w:t>
      </w:r>
    </w:p>
    <w:p>
      <w:pPr>
        <w:spacing w:after="0" w:line="240" w:lineRule="auto"/>
        <w:jc w:val="left"/>
        <w:rPr>
          <w:sz w:val="24"/>
        </w:rPr>
        <w:sectPr>
          <w:pgSz w:w="11910" w:h="16840"/>
          <w:pgMar w:header="0" w:footer="976" w:top="1580" w:bottom="1240" w:left="1140" w:right="520"/>
        </w:sectPr>
      </w:pPr>
    </w:p>
    <w:p>
      <w:pPr>
        <w:pStyle w:val="ListParagraph"/>
        <w:numPr>
          <w:ilvl w:val="0"/>
          <w:numId w:val="13"/>
        </w:numPr>
        <w:tabs>
          <w:tab w:pos="2096" w:val="left" w:leader="none"/>
        </w:tabs>
        <w:spacing w:line="360" w:lineRule="auto" w:before="98" w:after="0"/>
        <w:ind w:left="1836" w:right="1376" w:firstLine="0"/>
        <w:jc w:val="left"/>
        <w:rPr>
          <w:sz w:val="24"/>
        </w:rPr>
      </w:pPr>
      <w:r>
        <w:rPr>
          <w:sz w:val="24"/>
        </w:rPr>
        <w:t>Çevre sağlığı, ruh sağlığı ve toplum sağlığı hizmetleri ile ilgili sorular, Araştırmada kullanılan anket ekler kısmında sunulmuştur (Ek-</w:t>
      </w:r>
      <w:r>
        <w:rPr>
          <w:spacing w:val="-3"/>
          <w:sz w:val="24"/>
        </w:rPr>
        <w:t> </w:t>
      </w:r>
      <w:r>
        <w:rPr>
          <w:sz w:val="24"/>
        </w:rPr>
        <w:t>3).</w:t>
      </w:r>
    </w:p>
    <w:p>
      <w:pPr>
        <w:pStyle w:val="BodyText"/>
        <w:spacing w:before="3"/>
        <w:rPr>
          <w:sz w:val="36"/>
        </w:rPr>
      </w:pPr>
    </w:p>
    <w:p>
      <w:pPr>
        <w:pStyle w:val="Heading1"/>
        <w:numPr>
          <w:ilvl w:val="1"/>
          <w:numId w:val="12"/>
        </w:numPr>
        <w:tabs>
          <w:tab w:pos="2377" w:val="left" w:leader="none"/>
        </w:tabs>
        <w:spacing w:line="240" w:lineRule="auto" w:before="0" w:after="0"/>
        <w:ind w:left="2376" w:right="0" w:hanging="540"/>
        <w:jc w:val="left"/>
      </w:pPr>
      <w:bookmarkStart w:name="_bookmark50" w:id="113"/>
      <w:bookmarkEnd w:id="113"/>
      <w:r>
        <w:rPr>
          <w:b w:val="0"/>
        </w:rPr>
      </w:r>
      <w:bookmarkStart w:name="_bookmark50" w:id="114"/>
      <w:bookmarkEnd w:id="114"/>
      <w:r>
        <w:rPr/>
        <w:t>Hi</w:t>
      </w:r>
      <w:r>
        <w:rPr/>
        <w:t>potezler</w:t>
      </w:r>
    </w:p>
    <w:p>
      <w:pPr>
        <w:pStyle w:val="BodyText"/>
        <w:spacing w:line="360" w:lineRule="auto" w:before="135"/>
        <w:ind w:left="1128" w:right="617" w:firstLine="708"/>
        <w:jc w:val="both"/>
      </w:pPr>
      <w:r>
        <w:rPr/>
        <w:t>H1: Gümüşhane 112’de çalışan personelin afet planları ile ilgili düşünceleri, cinsiyete göre anlamlı bir farklılık göstermektedir.</w:t>
      </w:r>
    </w:p>
    <w:p>
      <w:pPr>
        <w:pStyle w:val="BodyText"/>
        <w:spacing w:line="360" w:lineRule="auto"/>
        <w:ind w:left="1128" w:right="617" w:firstLine="708"/>
        <w:jc w:val="both"/>
      </w:pPr>
      <w:r>
        <w:rPr/>
        <w:t>H2: Gümüşhane 112’de çalışan personelin afet planları ile ilgili düşünceleri, öğrenim durumuna göre anlamlı bir farklılık göstermektedir.</w:t>
      </w:r>
    </w:p>
    <w:p>
      <w:pPr>
        <w:pStyle w:val="BodyText"/>
        <w:spacing w:line="360" w:lineRule="auto"/>
        <w:ind w:left="1128" w:right="615" w:firstLine="708"/>
        <w:jc w:val="both"/>
      </w:pPr>
      <w:r>
        <w:rPr/>
        <w:t>H3: Gümüşhane 112’de çalışan personelin afet eğitimleri ve tatbikatları ile ilgili düşünceleri, daha önce afet eğitimi alıp almama durumuna göre anlamlı bir farlılık göstermektedir.</w:t>
      </w:r>
    </w:p>
    <w:p>
      <w:pPr>
        <w:pStyle w:val="BodyText"/>
        <w:spacing w:line="360" w:lineRule="auto"/>
        <w:ind w:left="1128" w:right="616" w:firstLine="708"/>
        <w:jc w:val="both"/>
      </w:pPr>
      <w:r>
        <w:rPr/>
        <w:t>H4: Gümüşhane 112’de çalışan personelin koordinasyon ile ilgili düşünceleri, kurumdaki görevine göre anlamlı farklılık göstermektedir.</w:t>
      </w:r>
    </w:p>
    <w:p>
      <w:pPr>
        <w:pStyle w:val="BodyText"/>
        <w:spacing w:line="360" w:lineRule="auto"/>
        <w:ind w:left="1128" w:right="613" w:firstLine="708"/>
        <w:jc w:val="both"/>
      </w:pPr>
      <w:r>
        <w:rPr/>
        <w:t>H5: Gümüşhane 112’de çalışan personelin afete hazırlık düzeyi yüksek düzeydedir.</w:t>
      </w:r>
    </w:p>
    <w:p>
      <w:pPr>
        <w:pStyle w:val="BodyText"/>
        <w:spacing w:line="360" w:lineRule="auto"/>
        <w:ind w:left="1128" w:right="611" w:firstLine="708"/>
        <w:jc w:val="right"/>
      </w:pPr>
      <w:r>
        <w:rPr/>
        <w:t>H6: Gümüşhane 112’de çalışan personelin KBRN olaylarına</w:t>
      </w:r>
      <w:r>
        <w:rPr>
          <w:spacing w:val="-4"/>
        </w:rPr>
        <w:t> </w:t>
      </w:r>
      <w:r>
        <w:rPr/>
        <w:t>ve</w:t>
      </w:r>
      <w:r>
        <w:rPr>
          <w:spacing w:val="42"/>
        </w:rPr>
        <w:t> </w:t>
      </w:r>
      <w:r>
        <w:rPr/>
        <w:t>tehlikeli maddelere</w:t>
      </w:r>
      <w:r>
        <w:rPr>
          <w:spacing w:val="-13"/>
        </w:rPr>
        <w:t> </w:t>
      </w:r>
      <w:r>
        <w:rPr/>
        <w:t>müdahale</w:t>
      </w:r>
      <w:r>
        <w:rPr>
          <w:spacing w:val="-14"/>
        </w:rPr>
        <w:t> </w:t>
      </w:r>
      <w:r>
        <w:rPr/>
        <w:t>ile</w:t>
      </w:r>
      <w:r>
        <w:rPr>
          <w:spacing w:val="-14"/>
        </w:rPr>
        <w:t> </w:t>
      </w:r>
      <w:r>
        <w:rPr/>
        <w:t>ilgili</w:t>
      </w:r>
      <w:r>
        <w:rPr>
          <w:spacing w:val="-13"/>
        </w:rPr>
        <w:t> </w:t>
      </w:r>
      <w:r>
        <w:rPr/>
        <w:t>düşünceleri,</w:t>
      </w:r>
      <w:r>
        <w:rPr>
          <w:spacing w:val="-15"/>
        </w:rPr>
        <w:t> </w:t>
      </w:r>
      <w:r>
        <w:rPr/>
        <w:t>cinsiyete</w:t>
      </w:r>
      <w:r>
        <w:rPr>
          <w:spacing w:val="-12"/>
        </w:rPr>
        <w:t> </w:t>
      </w:r>
      <w:r>
        <w:rPr/>
        <w:t>göre</w:t>
      </w:r>
      <w:r>
        <w:rPr>
          <w:spacing w:val="-13"/>
        </w:rPr>
        <w:t> </w:t>
      </w:r>
      <w:r>
        <w:rPr/>
        <w:t>anlamlı</w:t>
      </w:r>
      <w:r>
        <w:rPr>
          <w:spacing w:val="-13"/>
        </w:rPr>
        <w:t> </w:t>
      </w:r>
      <w:r>
        <w:rPr/>
        <w:t>farklılık</w:t>
      </w:r>
      <w:r>
        <w:rPr>
          <w:spacing w:val="-13"/>
        </w:rPr>
        <w:t> </w:t>
      </w:r>
      <w:r>
        <w:rPr/>
        <w:t>göstermektedir. H7: : Gümüşhane 112’de çalışan personelin KBRN olaylarına</w:t>
      </w:r>
      <w:r>
        <w:rPr>
          <w:spacing w:val="13"/>
        </w:rPr>
        <w:t> </w:t>
      </w:r>
      <w:r>
        <w:rPr/>
        <w:t>ve</w:t>
      </w:r>
      <w:r>
        <w:rPr>
          <w:spacing w:val="15"/>
        </w:rPr>
        <w:t> </w:t>
      </w:r>
      <w:r>
        <w:rPr/>
        <w:t>tehlikeli maddelere</w:t>
      </w:r>
      <w:r>
        <w:rPr>
          <w:spacing w:val="-6"/>
        </w:rPr>
        <w:t> </w:t>
      </w:r>
      <w:r>
        <w:rPr/>
        <w:t>müdahale</w:t>
      </w:r>
      <w:r>
        <w:rPr>
          <w:spacing w:val="-8"/>
        </w:rPr>
        <w:t> </w:t>
      </w:r>
      <w:r>
        <w:rPr/>
        <w:t>ile</w:t>
      </w:r>
      <w:r>
        <w:rPr>
          <w:spacing w:val="-5"/>
        </w:rPr>
        <w:t> </w:t>
      </w:r>
      <w:r>
        <w:rPr/>
        <w:t>ilgili</w:t>
      </w:r>
      <w:r>
        <w:rPr>
          <w:spacing w:val="-7"/>
        </w:rPr>
        <w:t> </w:t>
      </w:r>
      <w:r>
        <w:rPr/>
        <w:t>düşünceleri,</w:t>
      </w:r>
      <w:r>
        <w:rPr>
          <w:spacing w:val="-8"/>
        </w:rPr>
        <w:t> </w:t>
      </w:r>
      <w:r>
        <w:rPr/>
        <w:t>mesleğe</w:t>
      </w:r>
      <w:r>
        <w:rPr>
          <w:spacing w:val="-5"/>
        </w:rPr>
        <w:t> </w:t>
      </w:r>
      <w:r>
        <w:rPr/>
        <w:t>göre</w:t>
      </w:r>
      <w:r>
        <w:rPr>
          <w:spacing w:val="-7"/>
        </w:rPr>
        <w:t> </w:t>
      </w:r>
      <w:r>
        <w:rPr/>
        <w:t>anlamlı</w:t>
      </w:r>
      <w:r>
        <w:rPr>
          <w:spacing w:val="-7"/>
        </w:rPr>
        <w:t> </w:t>
      </w:r>
      <w:r>
        <w:rPr/>
        <w:t>farklılık</w:t>
      </w:r>
      <w:r>
        <w:rPr>
          <w:spacing w:val="-4"/>
        </w:rPr>
        <w:t> </w:t>
      </w:r>
      <w:r>
        <w:rPr/>
        <w:t>göstermektedir. H8:</w:t>
      </w:r>
      <w:r>
        <w:rPr>
          <w:spacing w:val="40"/>
        </w:rPr>
        <w:t> </w:t>
      </w:r>
      <w:r>
        <w:rPr/>
        <w:t>Gümüşhane</w:t>
      </w:r>
      <w:r>
        <w:rPr>
          <w:spacing w:val="40"/>
        </w:rPr>
        <w:t> </w:t>
      </w:r>
      <w:r>
        <w:rPr/>
        <w:t>112’de</w:t>
      </w:r>
      <w:r>
        <w:rPr>
          <w:spacing w:val="42"/>
        </w:rPr>
        <w:t> </w:t>
      </w:r>
      <w:r>
        <w:rPr/>
        <w:t>çalışan</w:t>
      </w:r>
      <w:r>
        <w:rPr>
          <w:spacing w:val="40"/>
        </w:rPr>
        <w:t> </w:t>
      </w:r>
      <w:r>
        <w:rPr/>
        <w:t>personelin</w:t>
      </w:r>
      <w:r>
        <w:rPr>
          <w:spacing w:val="41"/>
        </w:rPr>
        <w:t> </w:t>
      </w:r>
      <w:r>
        <w:rPr/>
        <w:t>personel</w:t>
      </w:r>
      <w:r>
        <w:rPr>
          <w:spacing w:val="41"/>
        </w:rPr>
        <w:t> </w:t>
      </w:r>
      <w:r>
        <w:rPr/>
        <w:t>ve</w:t>
      </w:r>
      <w:r>
        <w:rPr>
          <w:spacing w:val="42"/>
        </w:rPr>
        <w:t> </w:t>
      </w:r>
      <w:r>
        <w:rPr/>
        <w:t>yöneticiler</w:t>
      </w:r>
      <w:r>
        <w:rPr>
          <w:spacing w:val="41"/>
        </w:rPr>
        <w:t> </w:t>
      </w:r>
      <w:r>
        <w:rPr/>
        <w:t>hakkındaki düşünceleri</w:t>
      </w:r>
      <w:r>
        <w:rPr>
          <w:spacing w:val="-4"/>
        </w:rPr>
        <w:t> </w:t>
      </w:r>
      <w:r>
        <w:rPr/>
        <w:t>ile</w:t>
      </w:r>
      <w:r>
        <w:rPr>
          <w:spacing w:val="-6"/>
        </w:rPr>
        <w:t> </w:t>
      </w:r>
      <w:r>
        <w:rPr/>
        <w:t>liderlik,</w:t>
      </w:r>
      <w:r>
        <w:rPr>
          <w:spacing w:val="-5"/>
        </w:rPr>
        <w:t> </w:t>
      </w:r>
      <w:r>
        <w:rPr/>
        <w:t>ekip</w:t>
      </w:r>
      <w:r>
        <w:rPr>
          <w:spacing w:val="-2"/>
        </w:rPr>
        <w:t> </w:t>
      </w:r>
      <w:r>
        <w:rPr/>
        <w:t>yönetimi,</w:t>
      </w:r>
      <w:r>
        <w:rPr>
          <w:spacing w:val="-5"/>
        </w:rPr>
        <w:t> </w:t>
      </w:r>
      <w:r>
        <w:rPr/>
        <w:t>çalışma</w:t>
      </w:r>
      <w:r>
        <w:rPr>
          <w:spacing w:val="-1"/>
        </w:rPr>
        <w:t> </w:t>
      </w:r>
      <w:r>
        <w:rPr/>
        <w:t>yönetimi</w:t>
      </w:r>
      <w:r>
        <w:rPr>
          <w:spacing w:val="-4"/>
        </w:rPr>
        <w:t> </w:t>
      </w:r>
      <w:r>
        <w:rPr/>
        <w:t>ve</w:t>
      </w:r>
      <w:r>
        <w:rPr>
          <w:spacing w:val="-6"/>
        </w:rPr>
        <w:t> </w:t>
      </w:r>
      <w:r>
        <w:rPr/>
        <w:t>stres</w:t>
      </w:r>
      <w:r>
        <w:rPr>
          <w:spacing w:val="-5"/>
        </w:rPr>
        <w:t> </w:t>
      </w:r>
      <w:r>
        <w:rPr/>
        <w:t>altında</w:t>
      </w:r>
      <w:r>
        <w:rPr>
          <w:spacing w:val="-2"/>
        </w:rPr>
        <w:t> </w:t>
      </w:r>
      <w:r>
        <w:rPr/>
        <w:t>çalışma</w:t>
      </w:r>
      <w:r>
        <w:rPr>
          <w:spacing w:val="-5"/>
        </w:rPr>
        <w:t> </w:t>
      </w:r>
      <w:r>
        <w:rPr/>
        <w:t>arasında</w:t>
      </w:r>
    </w:p>
    <w:p>
      <w:pPr>
        <w:pStyle w:val="BodyText"/>
        <w:ind w:left="1128"/>
      </w:pPr>
      <w:r>
        <w:rPr/>
        <w:t>anlamlı bir ilişki vardır.</w:t>
      </w:r>
    </w:p>
    <w:p>
      <w:pPr>
        <w:pStyle w:val="BodyText"/>
        <w:spacing w:line="360" w:lineRule="auto" w:before="137"/>
        <w:ind w:left="1128" w:right="613" w:firstLine="708"/>
        <w:jc w:val="both"/>
      </w:pPr>
      <w:r>
        <w:rPr/>
        <w:t>H9: Gümüşhane 112’de çalışan personelin triaj, kayıtlar ve özel patolojiler ile ilgili düşünceleri, daha önce bir afette veya olağan dışı durumda görev alıp almama durumuna göre anlamlı bir farklılık göstermektedir.</w:t>
      </w:r>
    </w:p>
    <w:p>
      <w:pPr>
        <w:pStyle w:val="BodyText"/>
        <w:spacing w:line="360" w:lineRule="auto" w:before="1"/>
        <w:ind w:left="1128" w:right="611" w:firstLine="708"/>
        <w:jc w:val="both"/>
      </w:pPr>
      <w:r>
        <w:rPr/>
        <w:t>H10: Gümüşhane 112’de çalışan personelin liderlik, ekip yönetimi, çalışma yönetimi ve stres altında çalışma ile ilgili düşünceleri, çalıştığı kurumun durumuna göre anlamlı bir farklılık göstermektedir.</w:t>
      </w:r>
    </w:p>
    <w:p>
      <w:pPr>
        <w:pStyle w:val="BodyText"/>
        <w:spacing w:line="360" w:lineRule="auto"/>
        <w:ind w:left="1128" w:right="608" w:firstLine="708"/>
        <w:jc w:val="both"/>
      </w:pPr>
      <w:r>
        <w:rPr/>
        <w:t>H11: Gümüşhane 112’de çalışan personelin triaj, kayıtlar ve özel patolojilerle ilgili</w:t>
      </w:r>
      <w:r>
        <w:rPr>
          <w:spacing w:val="-8"/>
        </w:rPr>
        <w:t> </w:t>
      </w:r>
      <w:r>
        <w:rPr/>
        <w:t>düşünceleri</w:t>
      </w:r>
      <w:r>
        <w:rPr>
          <w:spacing w:val="-7"/>
        </w:rPr>
        <w:t> </w:t>
      </w:r>
      <w:r>
        <w:rPr/>
        <w:t>ile</w:t>
      </w:r>
      <w:r>
        <w:rPr>
          <w:spacing w:val="-7"/>
        </w:rPr>
        <w:t> </w:t>
      </w:r>
      <w:r>
        <w:rPr/>
        <w:t>çevre</w:t>
      </w:r>
      <w:r>
        <w:rPr>
          <w:spacing w:val="-8"/>
        </w:rPr>
        <w:t> </w:t>
      </w:r>
      <w:r>
        <w:rPr/>
        <w:t>sağlığı,</w:t>
      </w:r>
      <w:r>
        <w:rPr>
          <w:spacing w:val="-7"/>
        </w:rPr>
        <w:t> </w:t>
      </w:r>
      <w:r>
        <w:rPr/>
        <w:t>ruh</w:t>
      </w:r>
      <w:r>
        <w:rPr>
          <w:spacing w:val="-9"/>
        </w:rPr>
        <w:t> </w:t>
      </w:r>
      <w:r>
        <w:rPr/>
        <w:t>sağlığı</w:t>
      </w:r>
      <w:r>
        <w:rPr>
          <w:spacing w:val="-7"/>
        </w:rPr>
        <w:t> </w:t>
      </w:r>
      <w:r>
        <w:rPr/>
        <w:t>ve</w:t>
      </w:r>
      <w:r>
        <w:rPr>
          <w:spacing w:val="-8"/>
        </w:rPr>
        <w:t> </w:t>
      </w:r>
      <w:r>
        <w:rPr/>
        <w:t>toplum</w:t>
      </w:r>
      <w:r>
        <w:rPr>
          <w:spacing w:val="-7"/>
        </w:rPr>
        <w:t> </w:t>
      </w:r>
      <w:r>
        <w:rPr/>
        <w:t>sağlığı</w:t>
      </w:r>
      <w:r>
        <w:rPr>
          <w:spacing w:val="-7"/>
        </w:rPr>
        <w:t> </w:t>
      </w:r>
      <w:r>
        <w:rPr/>
        <w:t>arasında</w:t>
      </w:r>
      <w:r>
        <w:rPr>
          <w:spacing w:val="-8"/>
        </w:rPr>
        <w:t> </w:t>
      </w:r>
      <w:r>
        <w:rPr/>
        <w:t>anlamlı</w:t>
      </w:r>
      <w:r>
        <w:rPr>
          <w:spacing w:val="-8"/>
        </w:rPr>
        <w:t> </w:t>
      </w:r>
      <w:r>
        <w:rPr/>
        <w:t>bir</w:t>
      </w:r>
      <w:r>
        <w:rPr>
          <w:spacing w:val="-8"/>
        </w:rPr>
        <w:t> </w:t>
      </w:r>
      <w:r>
        <w:rPr/>
        <w:t>ilişki vardır.</w:t>
      </w:r>
    </w:p>
    <w:p>
      <w:pPr>
        <w:spacing w:after="0" w:line="360" w:lineRule="auto"/>
        <w:jc w:val="both"/>
        <w:sectPr>
          <w:pgSz w:w="11910" w:h="16840"/>
          <w:pgMar w:header="0" w:footer="976" w:top="1580" w:bottom="1240" w:left="1140" w:right="520"/>
        </w:sectPr>
      </w:pPr>
    </w:p>
    <w:p>
      <w:pPr>
        <w:pStyle w:val="Heading1"/>
        <w:numPr>
          <w:ilvl w:val="1"/>
          <w:numId w:val="12"/>
        </w:numPr>
        <w:tabs>
          <w:tab w:pos="2377" w:val="left" w:leader="none"/>
        </w:tabs>
        <w:spacing w:line="240" w:lineRule="auto" w:before="102" w:after="0"/>
        <w:ind w:left="2376" w:right="0" w:hanging="540"/>
        <w:jc w:val="left"/>
      </w:pPr>
      <w:bookmarkStart w:name="_bookmark51" w:id="115"/>
      <w:bookmarkEnd w:id="115"/>
      <w:r>
        <w:rPr>
          <w:b w:val="0"/>
        </w:rPr>
      </w:r>
      <w:bookmarkStart w:name="_bookmark51" w:id="116"/>
      <w:bookmarkEnd w:id="116"/>
      <w:r>
        <w:rPr/>
        <w:t>G</w:t>
      </w:r>
      <w:r>
        <w:rPr/>
        <w:t>üvenirlik Analizi</w:t>
      </w:r>
    </w:p>
    <w:p>
      <w:pPr>
        <w:pStyle w:val="BodyText"/>
        <w:spacing w:line="360" w:lineRule="auto" w:before="132"/>
        <w:ind w:left="1128" w:right="616" w:firstLine="708"/>
        <w:jc w:val="both"/>
      </w:pPr>
      <w:r>
        <w:rPr/>
        <w:t>Güvenirlik analizi, bir anket ya da testte yer alan soruların birbirleriyle olan tutarlılık derecesini ve kullanılacak ölçeğin ilgilenilen sorunu ne derecede yansıttığını ifade etmektedir (Kalaycı, 2010: 403). Çalışmanın güvenirliğini belirlemek için yapılan anket sonuçlarına göre Cronbach Alfa değerine bakarak yorumlanır.</w:t>
      </w:r>
    </w:p>
    <w:p>
      <w:pPr>
        <w:pStyle w:val="BodyText"/>
        <w:spacing w:before="1"/>
        <w:ind w:left="1836"/>
      </w:pPr>
      <w:r>
        <w:rPr/>
        <w:t>Cronbach Alfa değerine göre;</w:t>
      </w:r>
    </w:p>
    <w:p>
      <w:pPr>
        <w:pStyle w:val="ListParagraph"/>
        <w:numPr>
          <w:ilvl w:val="0"/>
          <w:numId w:val="14"/>
        </w:numPr>
        <w:tabs>
          <w:tab w:pos="3312" w:val="left" w:leader="none"/>
          <w:tab w:pos="3313" w:val="left" w:leader="none"/>
        </w:tabs>
        <w:spacing w:line="240" w:lineRule="auto" w:before="138" w:after="0"/>
        <w:ind w:left="1848" w:right="0" w:firstLine="708"/>
        <w:jc w:val="left"/>
        <w:rPr>
          <w:sz w:val="24"/>
        </w:rPr>
      </w:pPr>
      <w:r>
        <w:rPr>
          <w:sz w:val="24"/>
        </w:rPr>
        <w:t>α &lt; 0.40 ölçek güvenilir</w:t>
      </w:r>
      <w:r>
        <w:rPr>
          <w:spacing w:val="-1"/>
          <w:sz w:val="24"/>
        </w:rPr>
        <w:t> </w:t>
      </w:r>
      <w:r>
        <w:rPr>
          <w:sz w:val="24"/>
        </w:rPr>
        <w:t>değil,</w:t>
      </w:r>
    </w:p>
    <w:p>
      <w:pPr>
        <w:pStyle w:val="ListParagraph"/>
        <w:numPr>
          <w:ilvl w:val="0"/>
          <w:numId w:val="14"/>
        </w:numPr>
        <w:tabs>
          <w:tab w:pos="3252" w:val="left" w:leader="none"/>
          <w:tab w:pos="3253" w:val="left" w:leader="none"/>
        </w:tabs>
        <w:spacing w:line="240" w:lineRule="auto" w:before="136" w:after="0"/>
        <w:ind w:left="3253" w:right="0" w:hanging="697"/>
        <w:jc w:val="left"/>
        <w:rPr>
          <w:sz w:val="24"/>
        </w:rPr>
      </w:pPr>
      <w:r>
        <w:rPr>
          <w:sz w:val="24"/>
        </w:rPr>
        <w:t>0.40 ≤ α &lt; 0.60 ölçeğin güvenirliği</w:t>
      </w:r>
      <w:r>
        <w:rPr>
          <w:spacing w:val="-1"/>
          <w:sz w:val="24"/>
        </w:rPr>
        <w:t> </w:t>
      </w:r>
      <w:r>
        <w:rPr>
          <w:sz w:val="24"/>
        </w:rPr>
        <w:t>düşük,</w:t>
      </w:r>
    </w:p>
    <w:p>
      <w:pPr>
        <w:pStyle w:val="ListParagraph"/>
        <w:numPr>
          <w:ilvl w:val="0"/>
          <w:numId w:val="14"/>
        </w:numPr>
        <w:tabs>
          <w:tab w:pos="3252" w:val="left" w:leader="none"/>
          <w:tab w:pos="3253" w:val="left" w:leader="none"/>
        </w:tabs>
        <w:spacing w:line="240" w:lineRule="auto" w:before="138" w:after="0"/>
        <w:ind w:left="3253" w:right="0" w:hanging="697"/>
        <w:jc w:val="left"/>
        <w:rPr>
          <w:sz w:val="24"/>
        </w:rPr>
      </w:pPr>
      <w:r>
        <w:rPr>
          <w:sz w:val="24"/>
        </w:rPr>
        <w:t>0.60 ≤ α &lt; 0.80 ölçek oldukça</w:t>
      </w:r>
      <w:r>
        <w:rPr>
          <w:spacing w:val="-2"/>
          <w:sz w:val="24"/>
        </w:rPr>
        <w:t> </w:t>
      </w:r>
      <w:r>
        <w:rPr>
          <w:sz w:val="24"/>
        </w:rPr>
        <w:t>güvenilir,</w:t>
      </w:r>
    </w:p>
    <w:p>
      <w:pPr>
        <w:pStyle w:val="ListParagraph"/>
        <w:numPr>
          <w:ilvl w:val="0"/>
          <w:numId w:val="14"/>
        </w:numPr>
        <w:tabs>
          <w:tab w:pos="3252" w:val="left" w:leader="none"/>
          <w:tab w:pos="3253" w:val="left" w:leader="none"/>
        </w:tabs>
        <w:spacing w:line="350" w:lineRule="auto" w:before="139" w:after="0"/>
        <w:ind w:left="1848" w:right="614" w:firstLine="708"/>
        <w:jc w:val="left"/>
        <w:rPr>
          <w:sz w:val="24"/>
        </w:rPr>
      </w:pPr>
      <w:r>
        <w:rPr>
          <w:sz w:val="24"/>
        </w:rPr>
        <w:t>0.80≤</w:t>
      </w:r>
      <w:r>
        <w:rPr>
          <w:spacing w:val="-9"/>
          <w:sz w:val="24"/>
        </w:rPr>
        <w:t> </w:t>
      </w:r>
      <w:r>
        <w:rPr>
          <w:sz w:val="24"/>
        </w:rPr>
        <w:t>α</w:t>
      </w:r>
      <w:r>
        <w:rPr>
          <w:spacing w:val="-10"/>
          <w:sz w:val="24"/>
        </w:rPr>
        <w:t> </w:t>
      </w:r>
      <w:r>
        <w:rPr>
          <w:sz w:val="24"/>
        </w:rPr>
        <w:t>&lt;</w:t>
      </w:r>
      <w:r>
        <w:rPr>
          <w:spacing w:val="-7"/>
          <w:sz w:val="24"/>
        </w:rPr>
        <w:t> </w:t>
      </w:r>
      <w:r>
        <w:rPr>
          <w:sz w:val="24"/>
        </w:rPr>
        <w:t>1.00</w:t>
      </w:r>
      <w:r>
        <w:rPr>
          <w:spacing w:val="-9"/>
          <w:sz w:val="24"/>
        </w:rPr>
        <w:t> </w:t>
      </w:r>
      <w:r>
        <w:rPr>
          <w:sz w:val="24"/>
        </w:rPr>
        <w:t>ise</w:t>
      </w:r>
      <w:r>
        <w:rPr>
          <w:spacing w:val="-9"/>
          <w:sz w:val="24"/>
        </w:rPr>
        <w:t> </w:t>
      </w:r>
      <w:r>
        <w:rPr>
          <w:sz w:val="24"/>
        </w:rPr>
        <w:t>ölçek</w:t>
      </w:r>
      <w:r>
        <w:rPr>
          <w:spacing w:val="-6"/>
          <w:sz w:val="24"/>
        </w:rPr>
        <w:t> </w:t>
      </w:r>
      <w:r>
        <w:rPr>
          <w:sz w:val="24"/>
        </w:rPr>
        <w:t>yüksek</w:t>
      </w:r>
      <w:r>
        <w:rPr>
          <w:spacing w:val="-8"/>
          <w:sz w:val="24"/>
        </w:rPr>
        <w:t> </w:t>
      </w:r>
      <w:r>
        <w:rPr>
          <w:sz w:val="24"/>
        </w:rPr>
        <w:t>derecede</w:t>
      </w:r>
      <w:r>
        <w:rPr>
          <w:spacing w:val="-7"/>
          <w:sz w:val="24"/>
        </w:rPr>
        <w:t> </w:t>
      </w:r>
      <w:r>
        <w:rPr>
          <w:sz w:val="24"/>
        </w:rPr>
        <w:t>güvenilir</w:t>
      </w:r>
      <w:r>
        <w:rPr>
          <w:spacing w:val="-9"/>
          <w:sz w:val="24"/>
        </w:rPr>
        <w:t> </w:t>
      </w:r>
      <w:r>
        <w:rPr>
          <w:sz w:val="24"/>
        </w:rPr>
        <w:t>şeklinde</w:t>
      </w:r>
      <w:r>
        <w:rPr>
          <w:spacing w:val="-5"/>
          <w:sz w:val="24"/>
        </w:rPr>
        <w:t> </w:t>
      </w:r>
      <w:r>
        <w:rPr>
          <w:sz w:val="24"/>
        </w:rPr>
        <w:t>yorum yapılabilir (Kalaycı, 2010: 405).</w:t>
      </w:r>
    </w:p>
    <w:p>
      <w:pPr>
        <w:pStyle w:val="BodyText"/>
        <w:rPr>
          <w:sz w:val="37"/>
        </w:rPr>
      </w:pPr>
    </w:p>
    <w:p>
      <w:pPr>
        <w:pStyle w:val="BodyText"/>
        <w:ind w:left="1488"/>
      </w:pPr>
      <w:r>
        <w:rPr/>
        <w:t>Araştırmadaki kullanılan anketin güvenirlilik analizi Tablo 4. 1’de gösterilmiştir.</w:t>
      </w:r>
    </w:p>
    <w:p>
      <w:pPr>
        <w:pStyle w:val="BodyText"/>
        <w:rPr>
          <w:sz w:val="26"/>
        </w:rPr>
      </w:pPr>
    </w:p>
    <w:p>
      <w:pPr>
        <w:pStyle w:val="BodyText"/>
        <w:spacing w:before="2"/>
        <w:rPr>
          <w:sz w:val="26"/>
        </w:rPr>
      </w:pPr>
    </w:p>
    <w:p>
      <w:pPr>
        <w:pStyle w:val="Heading1"/>
        <w:ind w:left="3853"/>
      </w:pPr>
      <w:r>
        <w:rPr/>
        <w:t>Tablo 4. 1. Güvenirlik Analizi</w:t>
      </w:r>
    </w:p>
    <w:p>
      <w:pPr>
        <w:pStyle w:val="BodyText"/>
        <w:spacing w:before="11"/>
        <w:rPr>
          <w:b/>
          <w:sz w:val="15"/>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867"/>
        <w:gridCol w:w="3645"/>
      </w:tblGrid>
      <w:tr>
        <w:trPr>
          <w:trHeight w:val="414" w:hRule="atLeast"/>
        </w:trPr>
        <w:tc>
          <w:tcPr>
            <w:tcW w:w="4867" w:type="dxa"/>
            <w:tcBorders>
              <w:top w:val="single" w:sz="4" w:space="0" w:color="000000"/>
              <w:bottom w:val="single" w:sz="4" w:space="0" w:color="000000"/>
            </w:tcBorders>
          </w:tcPr>
          <w:p>
            <w:pPr>
              <w:pStyle w:val="TableParagraph"/>
              <w:spacing w:line="251" w:lineRule="exact"/>
              <w:ind w:left="1867" w:right="1401"/>
              <w:jc w:val="center"/>
              <w:rPr>
                <w:b/>
                <w:sz w:val="22"/>
              </w:rPr>
            </w:pPr>
            <w:r>
              <w:rPr>
                <w:b/>
                <w:sz w:val="22"/>
              </w:rPr>
              <w:t>Cronbach’s Alfa</w:t>
            </w:r>
          </w:p>
        </w:tc>
        <w:tc>
          <w:tcPr>
            <w:tcW w:w="3645" w:type="dxa"/>
            <w:tcBorders>
              <w:top w:val="single" w:sz="4" w:space="0" w:color="000000"/>
              <w:bottom w:val="single" w:sz="4" w:space="0" w:color="000000"/>
            </w:tcBorders>
          </w:tcPr>
          <w:p>
            <w:pPr>
              <w:pStyle w:val="TableParagraph"/>
              <w:spacing w:line="251" w:lineRule="exact"/>
              <w:ind w:left="1399" w:right="939"/>
              <w:jc w:val="center"/>
              <w:rPr>
                <w:b/>
                <w:sz w:val="22"/>
              </w:rPr>
            </w:pPr>
            <w:r>
              <w:rPr>
                <w:b/>
                <w:sz w:val="22"/>
              </w:rPr>
              <w:t>Madde Sayısı</w:t>
            </w:r>
          </w:p>
        </w:tc>
      </w:tr>
      <w:tr>
        <w:trPr>
          <w:trHeight w:val="842" w:hRule="atLeast"/>
        </w:trPr>
        <w:tc>
          <w:tcPr>
            <w:tcW w:w="4867" w:type="dxa"/>
            <w:tcBorders>
              <w:top w:val="single" w:sz="4" w:space="0" w:color="000000"/>
              <w:bottom w:val="single" w:sz="4" w:space="0" w:color="000000"/>
            </w:tcBorders>
          </w:tcPr>
          <w:p>
            <w:pPr>
              <w:pStyle w:val="TableParagraph"/>
              <w:rPr>
                <w:b/>
                <w:sz w:val="22"/>
              </w:rPr>
            </w:pPr>
          </w:p>
          <w:p>
            <w:pPr>
              <w:pStyle w:val="TableParagraph"/>
              <w:ind w:left="1865" w:right="1401"/>
              <w:jc w:val="center"/>
              <w:rPr>
                <w:b/>
                <w:sz w:val="22"/>
              </w:rPr>
            </w:pPr>
            <w:r>
              <w:rPr>
                <w:b/>
                <w:sz w:val="22"/>
              </w:rPr>
              <w:t>0,972</w:t>
            </w:r>
          </w:p>
        </w:tc>
        <w:tc>
          <w:tcPr>
            <w:tcW w:w="3645" w:type="dxa"/>
            <w:tcBorders>
              <w:top w:val="single" w:sz="4" w:space="0" w:color="000000"/>
              <w:bottom w:val="single" w:sz="4" w:space="0" w:color="000000"/>
            </w:tcBorders>
          </w:tcPr>
          <w:p>
            <w:pPr>
              <w:pStyle w:val="TableParagraph"/>
              <w:spacing w:before="6"/>
              <w:rPr>
                <w:b/>
                <w:sz w:val="21"/>
              </w:rPr>
            </w:pPr>
          </w:p>
          <w:p>
            <w:pPr>
              <w:pStyle w:val="TableParagraph"/>
              <w:spacing w:before="1"/>
              <w:ind w:left="1396" w:right="939"/>
              <w:jc w:val="center"/>
              <w:rPr>
                <w:sz w:val="22"/>
              </w:rPr>
            </w:pPr>
            <w:r>
              <w:rPr>
                <w:sz w:val="22"/>
              </w:rPr>
              <w:t>51</w:t>
            </w:r>
          </w:p>
        </w:tc>
      </w:tr>
    </w:tbl>
    <w:p>
      <w:pPr>
        <w:pStyle w:val="BodyText"/>
        <w:rPr>
          <w:b/>
          <w:sz w:val="26"/>
        </w:rPr>
      </w:pPr>
    </w:p>
    <w:p>
      <w:pPr>
        <w:pStyle w:val="BodyText"/>
        <w:spacing w:line="360" w:lineRule="auto" w:before="153"/>
        <w:ind w:left="1128" w:right="611" w:firstLine="708"/>
        <w:jc w:val="both"/>
      </w:pPr>
      <w:r>
        <w:rPr/>
        <w:t>Çalışmada 51 soru üzerinden güvenirlik analizine bakıldığında Cronbach’s Alfa değeri 0,972 olarak saptanmıştır. Bu değer kullanılan ölçeğin yüksek derecede güvenilir olduğunu göstermektedir.</w:t>
      </w:r>
    </w:p>
    <w:p>
      <w:pPr>
        <w:pStyle w:val="BodyText"/>
        <w:spacing w:before="5"/>
        <w:rPr>
          <w:sz w:val="36"/>
        </w:rPr>
      </w:pPr>
    </w:p>
    <w:p>
      <w:pPr>
        <w:pStyle w:val="Heading1"/>
        <w:numPr>
          <w:ilvl w:val="1"/>
          <w:numId w:val="12"/>
        </w:numPr>
        <w:tabs>
          <w:tab w:pos="2377" w:val="left" w:leader="none"/>
        </w:tabs>
        <w:spacing w:line="240" w:lineRule="auto" w:before="0" w:after="0"/>
        <w:ind w:left="2376" w:right="0" w:hanging="540"/>
        <w:jc w:val="left"/>
      </w:pPr>
      <w:bookmarkStart w:name="_bookmark52" w:id="117"/>
      <w:bookmarkEnd w:id="117"/>
      <w:r>
        <w:rPr>
          <w:b w:val="0"/>
        </w:rPr>
      </w:r>
      <w:bookmarkStart w:name="_bookmark52" w:id="118"/>
      <w:bookmarkEnd w:id="118"/>
      <w:r>
        <w:rPr/>
        <w:t>G</w:t>
      </w:r>
      <w:r>
        <w:rPr/>
        <w:t>eçerlilik Analizi – Doğrulayıcı Faktör</w:t>
      </w:r>
      <w:r>
        <w:rPr>
          <w:spacing w:val="-1"/>
        </w:rPr>
        <w:t> </w:t>
      </w:r>
      <w:r>
        <w:rPr/>
        <w:t>Analizi</w:t>
      </w:r>
    </w:p>
    <w:p>
      <w:pPr>
        <w:pStyle w:val="BodyText"/>
        <w:spacing w:line="360" w:lineRule="auto" w:before="132"/>
        <w:ind w:left="1128" w:right="614" w:firstLine="708"/>
        <w:jc w:val="both"/>
      </w:pPr>
      <w:r>
        <w:rPr/>
        <w:t>Çalışmamızda kullanılan ölçeğin geçerliliğine bakmak için SPSS programında açımlayıcı faktör analizine tabi tutulmuştur. Açımlayıcı faktör analizi, herhangi bir konuda çalışmaya katılanların verdikleri cevaplara göre, değişken gruplar arasındaki korelasyonu hesaplayarak, birbiriyle ilişkilendirilen ve aynı boyutu ölçen değişkenlerin gruplandırılmasıyla oluşan sürece denir (Ural ve Kılıç, 2006: 281).</w:t>
      </w:r>
    </w:p>
    <w:p>
      <w:pPr>
        <w:pStyle w:val="BodyText"/>
        <w:spacing w:line="360" w:lineRule="auto" w:before="2"/>
        <w:ind w:left="1128" w:right="610" w:firstLine="708"/>
        <w:jc w:val="both"/>
      </w:pPr>
      <w:r>
        <w:rPr/>
        <w:t>Verilere açımlayıcı faktör analizi yapmadan önce faktör analizine uygun olup olmadığına bakılmaktadır. Açımlayıcı faktör analizindeki uygunluk için KMO (Kaiser-</w:t>
      </w:r>
    </w:p>
    <w:p>
      <w:pPr>
        <w:spacing w:after="0" w:line="360" w:lineRule="auto"/>
        <w:jc w:val="both"/>
        <w:sectPr>
          <w:pgSz w:w="11910" w:h="16840"/>
          <w:pgMar w:header="0" w:footer="976" w:top="1580" w:bottom="1240" w:left="1140" w:right="520"/>
        </w:sectPr>
      </w:pPr>
    </w:p>
    <w:p>
      <w:pPr>
        <w:pStyle w:val="BodyText"/>
        <w:spacing w:line="360" w:lineRule="auto" w:before="98"/>
        <w:ind w:left="1128"/>
      </w:pPr>
      <w:r>
        <w:rPr/>
        <w:t>Meyer-Olkin) değerine bakılmaktadır. KMO testi, ilişki anlamında örneklem yeterliğini gösterir (Can, 2014: 303).</w:t>
      </w:r>
    </w:p>
    <w:p>
      <w:pPr>
        <w:pStyle w:val="BodyText"/>
        <w:ind w:left="1836"/>
      </w:pPr>
      <w:r>
        <w:rPr/>
        <w:t>KMO yorumları ve değerleri;</w:t>
      </w:r>
    </w:p>
    <w:p>
      <w:pPr>
        <w:pStyle w:val="ListParagraph"/>
        <w:numPr>
          <w:ilvl w:val="0"/>
          <w:numId w:val="15"/>
        </w:numPr>
        <w:tabs>
          <w:tab w:pos="3252" w:val="left" w:leader="none"/>
          <w:tab w:pos="3253" w:val="left" w:leader="none"/>
        </w:tabs>
        <w:spacing w:line="240" w:lineRule="auto" w:before="136" w:after="0"/>
        <w:ind w:left="3253" w:right="0" w:hanging="697"/>
        <w:jc w:val="left"/>
        <w:rPr>
          <w:sz w:val="24"/>
        </w:rPr>
      </w:pPr>
      <w:r>
        <w:rPr>
          <w:sz w:val="24"/>
        </w:rPr>
        <w:t>0,8 ve üzeri,</w:t>
      </w:r>
      <w:r>
        <w:rPr>
          <w:spacing w:val="-2"/>
          <w:sz w:val="24"/>
        </w:rPr>
        <w:t> </w:t>
      </w:r>
      <w:r>
        <w:rPr>
          <w:sz w:val="24"/>
        </w:rPr>
        <w:t>mükemmel</w:t>
      </w:r>
    </w:p>
    <w:p>
      <w:pPr>
        <w:pStyle w:val="ListParagraph"/>
        <w:numPr>
          <w:ilvl w:val="0"/>
          <w:numId w:val="15"/>
        </w:numPr>
        <w:tabs>
          <w:tab w:pos="3252" w:val="left" w:leader="none"/>
          <w:tab w:pos="3253" w:val="left" w:leader="none"/>
        </w:tabs>
        <w:spacing w:line="240" w:lineRule="auto" w:before="138" w:after="0"/>
        <w:ind w:left="3253" w:right="0" w:hanging="697"/>
        <w:jc w:val="left"/>
        <w:rPr>
          <w:sz w:val="24"/>
        </w:rPr>
      </w:pPr>
      <w:r>
        <w:rPr>
          <w:sz w:val="24"/>
        </w:rPr>
        <w:t>0,7-0,8 arası,</w:t>
      </w:r>
      <w:r>
        <w:rPr>
          <w:spacing w:val="-2"/>
          <w:sz w:val="24"/>
        </w:rPr>
        <w:t> </w:t>
      </w:r>
      <w:r>
        <w:rPr>
          <w:sz w:val="24"/>
        </w:rPr>
        <w:t>iyi</w:t>
      </w:r>
    </w:p>
    <w:p>
      <w:pPr>
        <w:pStyle w:val="ListParagraph"/>
        <w:numPr>
          <w:ilvl w:val="0"/>
          <w:numId w:val="15"/>
        </w:numPr>
        <w:tabs>
          <w:tab w:pos="3252" w:val="left" w:leader="none"/>
          <w:tab w:pos="3253" w:val="left" w:leader="none"/>
        </w:tabs>
        <w:spacing w:line="240" w:lineRule="auto" w:before="138" w:after="0"/>
        <w:ind w:left="3253" w:right="0" w:hanging="697"/>
        <w:jc w:val="left"/>
        <w:rPr>
          <w:sz w:val="24"/>
        </w:rPr>
      </w:pPr>
      <w:r>
        <w:rPr>
          <w:sz w:val="24"/>
        </w:rPr>
        <w:t>0,6-0,7 arası,</w:t>
      </w:r>
      <w:r>
        <w:rPr>
          <w:spacing w:val="-2"/>
          <w:sz w:val="24"/>
        </w:rPr>
        <w:t> </w:t>
      </w:r>
      <w:r>
        <w:rPr>
          <w:sz w:val="24"/>
        </w:rPr>
        <w:t>orta</w:t>
      </w:r>
    </w:p>
    <w:p>
      <w:pPr>
        <w:pStyle w:val="ListParagraph"/>
        <w:numPr>
          <w:ilvl w:val="0"/>
          <w:numId w:val="15"/>
        </w:numPr>
        <w:tabs>
          <w:tab w:pos="3252" w:val="left" w:leader="none"/>
          <w:tab w:pos="3253" w:val="left" w:leader="none"/>
        </w:tabs>
        <w:spacing w:line="240" w:lineRule="auto" w:before="136" w:after="0"/>
        <w:ind w:left="3253" w:right="0" w:hanging="697"/>
        <w:jc w:val="left"/>
        <w:rPr>
          <w:sz w:val="24"/>
        </w:rPr>
      </w:pPr>
      <w:r>
        <w:rPr>
          <w:sz w:val="24"/>
        </w:rPr>
        <w:t>0,50-0,60 arası,</w:t>
      </w:r>
      <w:r>
        <w:rPr>
          <w:spacing w:val="-2"/>
          <w:sz w:val="24"/>
        </w:rPr>
        <w:t> </w:t>
      </w:r>
      <w:r>
        <w:rPr>
          <w:sz w:val="24"/>
        </w:rPr>
        <w:t>kötü</w:t>
      </w:r>
    </w:p>
    <w:p>
      <w:pPr>
        <w:pStyle w:val="ListParagraph"/>
        <w:numPr>
          <w:ilvl w:val="0"/>
          <w:numId w:val="15"/>
        </w:numPr>
        <w:tabs>
          <w:tab w:pos="3252" w:val="left" w:leader="none"/>
          <w:tab w:pos="3253" w:val="left" w:leader="none"/>
        </w:tabs>
        <w:spacing w:line="240" w:lineRule="auto" w:before="138" w:after="0"/>
        <w:ind w:left="3253" w:right="0" w:hanging="697"/>
        <w:jc w:val="left"/>
        <w:rPr>
          <w:sz w:val="24"/>
        </w:rPr>
      </w:pPr>
      <w:r>
        <w:rPr>
          <w:sz w:val="24"/>
        </w:rPr>
        <w:t>0,50’den</w:t>
      </w:r>
      <w:r>
        <w:rPr>
          <w:spacing w:val="20"/>
          <w:sz w:val="24"/>
        </w:rPr>
        <w:t> </w:t>
      </w:r>
      <w:r>
        <w:rPr>
          <w:sz w:val="24"/>
        </w:rPr>
        <w:t>altı</w:t>
      </w:r>
      <w:r>
        <w:rPr>
          <w:spacing w:val="19"/>
          <w:sz w:val="24"/>
        </w:rPr>
        <w:t> </w:t>
      </w:r>
      <w:r>
        <w:rPr>
          <w:sz w:val="24"/>
        </w:rPr>
        <w:t>değer</w:t>
      </w:r>
      <w:r>
        <w:rPr>
          <w:spacing w:val="19"/>
          <w:sz w:val="24"/>
        </w:rPr>
        <w:t> </w:t>
      </w:r>
      <w:r>
        <w:rPr>
          <w:sz w:val="24"/>
        </w:rPr>
        <w:t>kabul</w:t>
      </w:r>
      <w:r>
        <w:rPr>
          <w:spacing w:val="19"/>
          <w:sz w:val="24"/>
        </w:rPr>
        <w:t> </w:t>
      </w:r>
      <w:r>
        <w:rPr>
          <w:sz w:val="24"/>
        </w:rPr>
        <w:t>edilemez</w:t>
      </w:r>
      <w:r>
        <w:rPr>
          <w:spacing w:val="19"/>
          <w:sz w:val="24"/>
        </w:rPr>
        <w:t> </w:t>
      </w:r>
      <w:r>
        <w:rPr>
          <w:sz w:val="24"/>
        </w:rPr>
        <w:t>niteliktedir</w:t>
      </w:r>
      <w:r>
        <w:rPr>
          <w:spacing w:val="21"/>
          <w:sz w:val="24"/>
        </w:rPr>
        <w:t> </w:t>
      </w:r>
      <w:r>
        <w:rPr>
          <w:sz w:val="24"/>
        </w:rPr>
        <w:t>(Sipahi</w:t>
      </w:r>
      <w:r>
        <w:rPr>
          <w:spacing w:val="19"/>
          <w:sz w:val="24"/>
        </w:rPr>
        <w:t> </w:t>
      </w:r>
      <w:r>
        <w:rPr>
          <w:sz w:val="24"/>
        </w:rPr>
        <w:t>vd.,</w:t>
      </w:r>
      <w:r>
        <w:rPr>
          <w:spacing w:val="17"/>
          <w:sz w:val="24"/>
        </w:rPr>
        <w:t> </w:t>
      </w:r>
      <w:r>
        <w:rPr>
          <w:sz w:val="24"/>
        </w:rPr>
        <w:t>2010:</w:t>
      </w:r>
    </w:p>
    <w:p>
      <w:pPr>
        <w:pStyle w:val="BodyText"/>
        <w:spacing w:before="138"/>
        <w:ind w:left="1848"/>
      </w:pPr>
      <w:r>
        <w:rPr/>
        <w:t>80).</w:t>
      </w:r>
    </w:p>
    <w:p>
      <w:pPr>
        <w:pStyle w:val="BodyText"/>
        <w:spacing w:line="360" w:lineRule="auto" w:before="137"/>
        <w:ind w:left="1128" w:right="609" w:firstLine="708"/>
        <w:jc w:val="both"/>
      </w:pPr>
      <w:r>
        <w:rPr/>
        <w:t>Barlett</w:t>
      </w:r>
      <w:r>
        <w:rPr>
          <w:spacing w:val="-7"/>
        </w:rPr>
        <w:t> </w:t>
      </w:r>
      <w:r>
        <w:rPr/>
        <w:t>Testi,</w:t>
      </w:r>
      <w:r>
        <w:rPr>
          <w:spacing w:val="-7"/>
        </w:rPr>
        <w:t> </w:t>
      </w:r>
      <w:r>
        <w:rPr/>
        <w:t>maddeler</w:t>
      </w:r>
      <w:r>
        <w:rPr>
          <w:spacing w:val="-8"/>
        </w:rPr>
        <w:t> </w:t>
      </w:r>
      <w:r>
        <w:rPr/>
        <w:t>arası</w:t>
      </w:r>
      <w:r>
        <w:rPr>
          <w:spacing w:val="-7"/>
        </w:rPr>
        <w:t> </w:t>
      </w:r>
      <w:r>
        <w:rPr/>
        <w:t>ilişkilerin</w:t>
      </w:r>
      <w:r>
        <w:rPr>
          <w:spacing w:val="-6"/>
        </w:rPr>
        <w:t> </w:t>
      </w:r>
      <w:r>
        <w:rPr/>
        <w:t>olduğu</w:t>
      </w:r>
      <w:r>
        <w:rPr>
          <w:spacing w:val="-7"/>
        </w:rPr>
        <w:t> </w:t>
      </w:r>
      <w:r>
        <w:rPr/>
        <w:t>gerçek</w:t>
      </w:r>
      <w:r>
        <w:rPr>
          <w:spacing w:val="-7"/>
        </w:rPr>
        <w:t> </w:t>
      </w:r>
      <w:r>
        <w:rPr/>
        <w:t>korelasyon</w:t>
      </w:r>
      <w:r>
        <w:rPr>
          <w:spacing w:val="-7"/>
        </w:rPr>
        <w:t> </w:t>
      </w:r>
      <w:r>
        <w:rPr/>
        <w:t>matrisi</w:t>
      </w:r>
      <w:r>
        <w:rPr>
          <w:spacing w:val="-6"/>
        </w:rPr>
        <w:t> </w:t>
      </w:r>
      <w:r>
        <w:rPr/>
        <w:t>ile</w:t>
      </w:r>
      <w:r>
        <w:rPr>
          <w:spacing w:val="-6"/>
        </w:rPr>
        <w:t> </w:t>
      </w:r>
      <w:r>
        <w:rPr/>
        <w:t>birim matris</w:t>
      </w:r>
      <w:r>
        <w:rPr>
          <w:spacing w:val="-6"/>
        </w:rPr>
        <w:t> </w:t>
      </w:r>
      <w:r>
        <w:rPr/>
        <w:t>arasında</w:t>
      </w:r>
      <w:r>
        <w:rPr>
          <w:spacing w:val="-8"/>
        </w:rPr>
        <w:t> </w:t>
      </w:r>
      <w:r>
        <w:rPr/>
        <w:t>anlamlı</w:t>
      </w:r>
      <w:r>
        <w:rPr>
          <w:spacing w:val="-6"/>
        </w:rPr>
        <w:t> </w:t>
      </w:r>
      <w:r>
        <w:rPr/>
        <w:t>fark</w:t>
      </w:r>
      <w:r>
        <w:rPr>
          <w:spacing w:val="-8"/>
        </w:rPr>
        <w:t> </w:t>
      </w:r>
      <w:r>
        <w:rPr/>
        <w:t>olup</w:t>
      </w:r>
      <w:r>
        <w:rPr>
          <w:spacing w:val="-6"/>
        </w:rPr>
        <w:t> </w:t>
      </w:r>
      <w:r>
        <w:rPr/>
        <w:t>olmadığını</w:t>
      </w:r>
      <w:r>
        <w:rPr>
          <w:spacing w:val="-7"/>
        </w:rPr>
        <w:t> </w:t>
      </w:r>
      <w:r>
        <w:rPr/>
        <w:t>göstermektedir.</w:t>
      </w:r>
      <w:r>
        <w:rPr>
          <w:spacing w:val="-7"/>
        </w:rPr>
        <w:t> </w:t>
      </w:r>
      <w:r>
        <w:rPr/>
        <w:t>Bu</w:t>
      </w:r>
      <w:r>
        <w:rPr>
          <w:spacing w:val="-6"/>
        </w:rPr>
        <w:t> </w:t>
      </w:r>
      <w:r>
        <w:rPr/>
        <w:t>teste</w:t>
      </w:r>
      <w:r>
        <w:rPr>
          <w:spacing w:val="-7"/>
        </w:rPr>
        <w:t> </w:t>
      </w:r>
      <w:r>
        <w:rPr/>
        <w:t>p</w:t>
      </w:r>
      <w:r>
        <w:rPr>
          <w:spacing w:val="-6"/>
        </w:rPr>
        <w:t> </w:t>
      </w:r>
      <w:r>
        <w:rPr/>
        <w:t>değerinin</w:t>
      </w:r>
      <w:r>
        <w:rPr>
          <w:spacing w:val="-7"/>
        </w:rPr>
        <w:t> </w:t>
      </w:r>
      <w:r>
        <w:rPr/>
        <w:t>0,05’in altında olması maddeler arası ilişkilerin olduğu matrisin, ilişkilerin olmadığı birim matristen farklı olduğunu gösterir (Can, 2014:</w:t>
      </w:r>
      <w:r>
        <w:rPr>
          <w:spacing w:val="3"/>
        </w:rPr>
        <w:t> </w:t>
      </w:r>
      <w:r>
        <w:rPr/>
        <w:t>303).</w:t>
      </w:r>
    </w:p>
    <w:p>
      <w:pPr>
        <w:pStyle w:val="BodyText"/>
        <w:spacing w:line="360" w:lineRule="auto" w:before="1"/>
        <w:ind w:left="1128" w:right="1569" w:firstLine="708"/>
      </w:pPr>
      <w:r>
        <w:rPr/>
        <w:t>Araştırmadaki kullanılan anketin KMO ve Bartlett’s testi Tablo 4. 2’de gösterilmiştir.</w:t>
      </w:r>
    </w:p>
    <w:p>
      <w:pPr>
        <w:pStyle w:val="BodyText"/>
        <w:rPr>
          <w:sz w:val="26"/>
        </w:rPr>
      </w:pPr>
    </w:p>
    <w:p>
      <w:pPr>
        <w:pStyle w:val="Heading1"/>
        <w:spacing w:before="161"/>
        <w:ind w:left="3567"/>
      </w:pPr>
      <w:r>
        <w:rPr/>
        <w:t>Tablo 4. 2. KMO ve Bartlett’s Testi</w:t>
      </w:r>
    </w:p>
    <w:p>
      <w:pPr>
        <w:pStyle w:val="BodyText"/>
        <w:rPr>
          <w:b/>
          <w:sz w:val="16"/>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379"/>
        <w:gridCol w:w="1965"/>
      </w:tblGrid>
      <w:tr>
        <w:trPr>
          <w:trHeight w:val="465" w:hRule="atLeast"/>
        </w:trPr>
        <w:tc>
          <w:tcPr>
            <w:tcW w:w="6379" w:type="dxa"/>
            <w:tcBorders>
              <w:top w:val="single" w:sz="4" w:space="0" w:color="000000"/>
              <w:bottom w:val="single" w:sz="4" w:space="0" w:color="000000"/>
            </w:tcBorders>
          </w:tcPr>
          <w:p>
            <w:pPr>
              <w:pStyle w:val="TableParagraph"/>
              <w:spacing w:before="1"/>
              <w:ind w:left="115"/>
              <w:rPr>
                <w:b/>
                <w:sz w:val="22"/>
              </w:rPr>
            </w:pPr>
            <w:r>
              <w:rPr>
                <w:b/>
                <w:sz w:val="22"/>
              </w:rPr>
              <w:t>Kasier-Meyer-Olkin Measure of Sampling Adequacy</w:t>
            </w:r>
          </w:p>
        </w:tc>
        <w:tc>
          <w:tcPr>
            <w:tcW w:w="1965" w:type="dxa"/>
            <w:tcBorders>
              <w:top w:val="single" w:sz="4" w:space="0" w:color="000000"/>
              <w:bottom w:val="single" w:sz="4" w:space="0" w:color="000000"/>
            </w:tcBorders>
          </w:tcPr>
          <w:p>
            <w:pPr>
              <w:pStyle w:val="TableParagraph"/>
              <w:spacing w:before="1"/>
              <w:ind w:left="582"/>
              <w:rPr>
                <w:b/>
                <w:sz w:val="22"/>
              </w:rPr>
            </w:pPr>
            <w:r>
              <w:rPr>
                <w:b/>
                <w:sz w:val="22"/>
              </w:rPr>
              <w:t>0,897</w:t>
            </w:r>
          </w:p>
        </w:tc>
      </w:tr>
      <w:tr>
        <w:trPr>
          <w:trHeight w:val="1473" w:hRule="atLeast"/>
        </w:trPr>
        <w:tc>
          <w:tcPr>
            <w:tcW w:w="6379" w:type="dxa"/>
            <w:tcBorders>
              <w:top w:val="single" w:sz="4" w:space="0" w:color="000000"/>
              <w:bottom w:val="single" w:sz="4" w:space="0" w:color="000000"/>
            </w:tcBorders>
          </w:tcPr>
          <w:p>
            <w:pPr>
              <w:pStyle w:val="TableParagraph"/>
              <w:tabs>
                <w:tab w:pos="4099" w:val="left" w:leader="none"/>
              </w:tabs>
              <w:spacing w:line="480" w:lineRule="auto"/>
              <w:ind w:left="4462" w:right="415" w:hanging="4348"/>
              <w:rPr>
                <w:b/>
                <w:sz w:val="22"/>
              </w:rPr>
            </w:pPr>
            <w:r>
              <w:rPr>
                <w:b/>
                <w:sz w:val="22"/>
              </w:rPr>
              <w:t>Bartlett’s test</w:t>
            </w:r>
            <w:r>
              <w:rPr>
                <w:b/>
                <w:spacing w:val="-7"/>
                <w:sz w:val="22"/>
              </w:rPr>
              <w:t> </w:t>
            </w:r>
            <w:r>
              <w:rPr>
                <w:b/>
                <w:sz w:val="22"/>
              </w:rPr>
              <w:t>of</w:t>
            </w:r>
            <w:r>
              <w:rPr>
                <w:b/>
                <w:spacing w:val="-2"/>
                <w:sz w:val="22"/>
              </w:rPr>
              <w:t> </w:t>
            </w:r>
            <w:r>
              <w:rPr>
                <w:b/>
                <w:sz w:val="22"/>
              </w:rPr>
              <w:t>sphericity</w:t>
              <w:tab/>
              <w:t>Approx. Chi</w:t>
            </w:r>
            <w:r>
              <w:rPr>
                <w:b/>
                <w:spacing w:val="-9"/>
                <w:sz w:val="22"/>
              </w:rPr>
              <w:t> </w:t>
            </w:r>
            <w:r>
              <w:rPr>
                <w:b/>
                <w:sz w:val="22"/>
              </w:rPr>
              <w:t>square df.</w:t>
            </w:r>
          </w:p>
          <w:p>
            <w:pPr>
              <w:pStyle w:val="TableParagraph"/>
              <w:spacing w:line="251" w:lineRule="exact"/>
              <w:ind w:right="1791"/>
              <w:jc w:val="right"/>
              <w:rPr>
                <w:b/>
                <w:sz w:val="22"/>
              </w:rPr>
            </w:pPr>
            <w:r>
              <w:rPr>
                <w:b/>
                <w:w w:val="100"/>
                <w:sz w:val="22"/>
              </w:rPr>
              <w:t>p</w:t>
            </w:r>
          </w:p>
        </w:tc>
        <w:tc>
          <w:tcPr>
            <w:tcW w:w="1965" w:type="dxa"/>
            <w:tcBorders>
              <w:top w:val="single" w:sz="4" w:space="0" w:color="000000"/>
              <w:bottom w:val="single" w:sz="4" w:space="0" w:color="000000"/>
            </w:tcBorders>
          </w:tcPr>
          <w:p>
            <w:pPr>
              <w:pStyle w:val="TableParagraph"/>
              <w:spacing w:line="247" w:lineRule="exact"/>
              <w:ind w:left="399" w:right="701"/>
              <w:jc w:val="center"/>
              <w:rPr>
                <w:sz w:val="22"/>
              </w:rPr>
            </w:pPr>
            <w:r>
              <w:rPr>
                <w:sz w:val="22"/>
              </w:rPr>
              <w:t>5684,416</w:t>
            </w:r>
          </w:p>
          <w:p>
            <w:pPr>
              <w:pStyle w:val="TableParagraph"/>
              <w:spacing w:before="6"/>
              <w:rPr>
                <w:b/>
                <w:sz w:val="20"/>
              </w:rPr>
            </w:pPr>
          </w:p>
          <w:p>
            <w:pPr>
              <w:pStyle w:val="TableParagraph"/>
              <w:ind w:left="608"/>
              <w:rPr>
                <w:sz w:val="22"/>
              </w:rPr>
            </w:pPr>
            <w:r>
              <w:rPr>
                <w:sz w:val="22"/>
              </w:rPr>
              <w:t>1275</w:t>
            </w:r>
          </w:p>
          <w:p>
            <w:pPr>
              <w:pStyle w:val="TableParagraph"/>
              <w:spacing w:before="9"/>
              <w:rPr>
                <w:b/>
                <w:sz w:val="20"/>
              </w:rPr>
            </w:pPr>
          </w:p>
          <w:p>
            <w:pPr>
              <w:pStyle w:val="TableParagraph"/>
              <w:ind w:left="652"/>
              <w:rPr>
                <w:sz w:val="22"/>
              </w:rPr>
            </w:pPr>
            <w:r>
              <w:rPr>
                <w:sz w:val="22"/>
              </w:rPr>
              <w:t>0,0001</w:t>
            </w:r>
          </w:p>
        </w:tc>
      </w:tr>
    </w:tbl>
    <w:p>
      <w:pPr>
        <w:pStyle w:val="BodyText"/>
        <w:spacing w:before="4"/>
        <w:rPr>
          <w:b/>
          <w:sz w:val="34"/>
        </w:rPr>
      </w:pPr>
    </w:p>
    <w:p>
      <w:pPr>
        <w:pStyle w:val="BodyText"/>
        <w:spacing w:line="360" w:lineRule="auto"/>
        <w:ind w:left="1128" w:right="611" w:firstLine="708"/>
        <w:jc w:val="both"/>
      </w:pPr>
      <w:r>
        <w:rPr/>
        <w:t>Yapılan analiz sonucu KMO değeri 0,897 bulunmuş olup, ilişki olarak örneklem yeterliliğinin mükemmel düzeyde olduğu görülmektedir. Analizde p değeri 0,0001 bulunmuştur ve maddeler arası ilişkilerin olduğu matrisin, ilişkilerin olmadığı birim matristen farklı olduğu görülmektedir.</w:t>
      </w:r>
    </w:p>
    <w:p>
      <w:pPr>
        <w:pStyle w:val="BodyText"/>
        <w:spacing w:before="1"/>
        <w:ind w:left="516"/>
        <w:jc w:val="center"/>
      </w:pPr>
      <w:r>
        <w:rPr/>
        <w:t>Araştırmadaki kullanılan anketin Açımlayıcı Faktör Analizi Tablo 4. 3’de gösterilmiştir.</w:t>
      </w:r>
    </w:p>
    <w:p>
      <w:pPr>
        <w:spacing w:after="0"/>
        <w:jc w:val="center"/>
        <w:sectPr>
          <w:pgSz w:w="11910" w:h="16840"/>
          <w:pgMar w:header="0" w:footer="976" w:top="1580" w:bottom="1240" w:left="1140" w:right="520"/>
        </w:sectPr>
      </w:pPr>
    </w:p>
    <w:p>
      <w:pPr>
        <w:pStyle w:val="BodyText"/>
        <w:rPr>
          <w:sz w:val="20"/>
        </w:rPr>
      </w:pPr>
    </w:p>
    <w:p>
      <w:pPr>
        <w:pStyle w:val="BodyText"/>
        <w:spacing w:before="8"/>
        <w:rPr>
          <w:sz w:val="20"/>
        </w:rPr>
      </w:pPr>
    </w:p>
    <w:p>
      <w:pPr>
        <w:pStyle w:val="Heading1"/>
        <w:spacing w:before="90"/>
        <w:ind w:left="3039"/>
      </w:pPr>
      <w:r>
        <w:rPr/>
        <w:t>Tablo 4. 3. Açımlayıcı Faktör Analizi Tablosu</w:t>
      </w:r>
    </w:p>
    <w:p>
      <w:pPr>
        <w:pStyle w:val="BodyText"/>
        <w:spacing w:before="4" w:after="1"/>
        <w:rPr>
          <w:b/>
          <w:sz w:val="16"/>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028"/>
        <w:gridCol w:w="801"/>
        <w:gridCol w:w="820"/>
        <w:gridCol w:w="929"/>
        <w:gridCol w:w="927"/>
        <w:gridCol w:w="863"/>
        <w:gridCol w:w="788"/>
        <w:gridCol w:w="992"/>
        <w:gridCol w:w="1230"/>
      </w:tblGrid>
      <w:tr>
        <w:trPr>
          <w:trHeight w:val="268" w:hRule="atLeast"/>
        </w:trPr>
        <w:tc>
          <w:tcPr>
            <w:tcW w:w="1028" w:type="dxa"/>
            <w:tcBorders>
              <w:top w:val="single" w:sz="4" w:space="0" w:color="000000"/>
              <w:bottom w:val="single" w:sz="4" w:space="0" w:color="000000"/>
            </w:tcBorders>
          </w:tcPr>
          <w:p>
            <w:pPr>
              <w:pStyle w:val="TableParagraph"/>
              <w:rPr>
                <w:sz w:val="18"/>
              </w:rPr>
            </w:pPr>
          </w:p>
        </w:tc>
        <w:tc>
          <w:tcPr>
            <w:tcW w:w="801" w:type="dxa"/>
            <w:tcBorders>
              <w:top w:val="single" w:sz="4" w:space="0" w:color="000000"/>
              <w:bottom w:val="single" w:sz="4" w:space="0" w:color="000000"/>
            </w:tcBorders>
          </w:tcPr>
          <w:p>
            <w:pPr>
              <w:pStyle w:val="TableParagraph"/>
              <w:spacing w:line="228" w:lineRule="exact"/>
              <w:ind w:left="98"/>
              <w:jc w:val="center"/>
              <w:rPr>
                <w:b/>
                <w:sz w:val="20"/>
              </w:rPr>
            </w:pPr>
            <w:r>
              <w:rPr>
                <w:b/>
                <w:w w:val="99"/>
                <w:sz w:val="20"/>
              </w:rPr>
              <w:t>1</w:t>
            </w:r>
          </w:p>
        </w:tc>
        <w:tc>
          <w:tcPr>
            <w:tcW w:w="820" w:type="dxa"/>
            <w:tcBorders>
              <w:top w:val="single" w:sz="4" w:space="0" w:color="000000"/>
              <w:bottom w:val="single" w:sz="4" w:space="0" w:color="000000"/>
            </w:tcBorders>
          </w:tcPr>
          <w:p>
            <w:pPr>
              <w:pStyle w:val="TableParagraph"/>
              <w:spacing w:line="228" w:lineRule="exact"/>
              <w:ind w:left="302"/>
              <w:rPr>
                <w:b/>
                <w:sz w:val="20"/>
              </w:rPr>
            </w:pPr>
            <w:r>
              <w:rPr>
                <w:b/>
                <w:w w:val="99"/>
                <w:sz w:val="20"/>
              </w:rPr>
              <w:t>2</w:t>
            </w:r>
          </w:p>
        </w:tc>
        <w:tc>
          <w:tcPr>
            <w:tcW w:w="929" w:type="dxa"/>
            <w:tcBorders>
              <w:top w:val="single" w:sz="4" w:space="0" w:color="000000"/>
              <w:bottom w:val="single" w:sz="4" w:space="0" w:color="000000"/>
            </w:tcBorders>
          </w:tcPr>
          <w:p>
            <w:pPr>
              <w:pStyle w:val="TableParagraph"/>
              <w:spacing w:line="228" w:lineRule="exact"/>
              <w:ind w:left="418"/>
              <w:rPr>
                <w:b/>
                <w:sz w:val="20"/>
              </w:rPr>
            </w:pPr>
            <w:r>
              <w:rPr>
                <w:b/>
                <w:w w:val="99"/>
                <w:sz w:val="20"/>
              </w:rPr>
              <w:t>3</w:t>
            </w:r>
          </w:p>
        </w:tc>
        <w:tc>
          <w:tcPr>
            <w:tcW w:w="927" w:type="dxa"/>
            <w:tcBorders>
              <w:top w:val="single" w:sz="4" w:space="0" w:color="000000"/>
              <w:bottom w:val="single" w:sz="4" w:space="0" w:color="000000"/>
            </w:tcBorders>
          </w:tcPr>
          <w:p>
            <w:pPr>
              <w:pStyle w:val="TableParagraph"/>
              <w:spacing w:line="228" w:lineRule="exact"/>
              <w:ind w:left="411"/>
              <w:rPr>
                <w:b/>
                <w:sz w:val="20"/>
              </w:rPr>
            </w:pPr>
            <w:r>
              <w:rPr>
                <w:b/>
                <w:w w:val="99"/>
                <w:sz w:val="20"/>
              </w:rPr>
              <w:t>4</w:t>
            </w:r>
          </w:p>
        </w:tc>
        <w:tc>
          <w:tcPr>
            <w:tcW w:w="863" w:type="dxa"/>
            <w:tcBorders>
              <w:top w:val="single" w:sz="4" w:space="0" w:color="000000"/>
              <w:bottom w:val="single" w:sz="4" w:space="0" w:color="000000"/>
            </w:tcBorders>
          </w:tcPr>
          <w:p>
            <w:pPr>
              <w:pStyle w:val="TableParagraph"/>
              <w:spacing w:line="228" w:lineRule="exact"/>
              <w:ind w:left="416"/>
              <w:rPr>
                <w:b/>
                <w:sz w:val="20"/>
              </w:rPr>
            </w:pPr>
            <w:r>
              <w:rPr>
                <w:b/>
                <w:w w:val="99"/>
                <w:sz w:val="20"/>
              </w:rPr>
              <w:t>5</w:t>
            </w:r>
          </w:p>
        </w:tc>
        <w:tc>
          <w:tcPr>
            <w:tcW w:w="788" w:type="dxa"/>
            <w:tcBorders>
              <w:top w:val="single" w:sz="4" w:space="0" w:color="000000"/>
              <w:bottom w:val="single" w:sz="4" w:space="0" w:color="000000"/>
            </w:tcBorders>
          </w:tcPr>
          <w:p>
            <w:pPr>
              <w:pStyle w:val="TableParagraph"/>
              <w:spacing w:line="228" w:lineRule="exact"/>
              <w:ind w:left="347"/>
              <w:rPr>
                <w:b/>
                <w:sz w:val="20"/>
              </w:rPr>
            </w:pPr>
            <w:r>
              <w:rPr>
                <w:b/>
                <w:w w:val="99"/>
                <w:sz w:val="20"/>
              </w:rPr>
              <w:t>6</w:t>
            </w:r>
          </w:p>
        </w:tc>
        <w:tc>
          <w:tcPr>
            <w:tcW w:w="992" w:type="dxa"/>
            <w:tcBorders>
              <w:top w:val="single" w:sz="4" w:space="0" w:color="000000"/>
              <w:bottom w:val="single" w:sz="4" w:space="0" w:color="000000"/>
            </w:tcBorders>
          </w:tcPr>
          <w:p>
            <w:pPr>
              <w:pStyle w:val="TableParagraph"/>
              <w:spacing w:line="228" w:lineRule="exact"/>
              <w:ind w:left="341"/>
              <w:rPr>
                <w:b/>
                <w:sz w:val="20"/>
              </w:rPr>
            </w:pPr>
            <w:r>
              <w:rPr>
                <w:b/>
                <w:w w:val="99"/>
                <w:sz w:val="20"/>
              </w:rPr>
              <w:t>7</w:t>
            </w:r>
          </w:p>
        </w:tc>
        <w:tc>
          <w:tcPr>
            <w:tcW w:w="1230" w:type="dxa"/>
            <w:tcBorders>
              <w:top w:val="single" w:sz="4" w:space="0" w:color="000000"/>
              <w:bottom w:val="single" w:sz="4" w:space="0" w:color="000000"/>
            </w:tcBorders>
          </w:tcPr>
          <w:p>
            <w:pPr>
              <w:pStyle w:val="TableParagraph"/>
              <w:spacing w:line="228" w:lineRule="exact"/>
              <w:ind w:left="552"/>
              <w:rPr>
                <w:b/>
                <w:sz w:val="20"/>
              </w:rPr>
            </w:pPr>
            <w:r>
              <w:rPr>
                <w:b/>
                <w:w w:val="99"/>
                <w:sz w:val="20"/>
              </w:rPr>
              <w:t>8</w:t>
            </w:r>
          </w:p>
        </w:tc>
      </w:tr>
      <w:tr>
        <w:trPr>
          <w:trHeight w:val="223" w:hRule="atLeast"/>
        </w:trPr>
        <w:tc>
          <w:tcPr>
            <w:tcW w:w="1028" w:type="dxa"/>
            <w:tcBorders>
              <w:top w:val="single" w:sz="4" w:space="0" w:color="000000"/>
            </w:tcBorders>
          </w:tcPr>
          <w:p>
            <w:pPr>
              <w:pStyle w:val="TableParagraph"/>
              <w:spacing w:line="204" w:lineRule="exact"/>
              <w:ind w:left="115"/>
              <w:rPr>
                <w:sz w:val="20"/>
              </w:rPr>
            </w:pPr>
            <w:r>
              <w:rPr>
                <w:sz w:val="20"/>
              </w:rPr>
              <w:t>Soru 15</w:t>
            </w:r>
          </w:p>
        </w:tc>
        <w:tc>
          <w:tcPr>
            <w:tcW w:w="801" w:type="dxa"/>
            <w:tcBorders>
              <w:top w:val="single" w:sz="4" w:space="0" w:color="000000"/>
            </w:tcBorders>
          </w:tcPr>
          <w:p>
            <w:pPr>
              <w:pStyle w:val="TableParagraph"/>
              <w:spacing w:line="204" w:lineRule="exact"/>
              <w:ind w:left="265" w:right="45"/>
              <w:jc w:val="center"/>
              <w:rPr>
                <w:sz w:val="20"/>
              </w:rPr>
            </w:pPr>
            <w:r>
              <w:rPr>
                <w:sz w:val="20"/>
              </w:rPr>
              <w:t>0,757</w:t>
            </w: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19" w:hRule="atLeast"/>
        </w:trPr>
        <w:tc>
          <w:tcPr>
            <w:tcW w:w="1028" w:type="dxa"/>
          </w:tcPr>
          <w:p>
            <w:pPr>
              <w:pStyle w:val="TableParagraph"/>
              <w:spacing w:line="199" w:lineRule="exact"/>
              <w:ind w:left="115"/>
              <w:rPr>
                <w:sz w:val="20"/>
              </w:rPr>
            </w:pPr>
            <w:r>
              <w:rPr>
                <w:sz w:val="20"/>
              </w:rPr>
              <w:t>Soru 16</w:t>
            </w:r>
          </w:p>
        </w:tc>
        <w:tc>
          <w:tcPr>
            <w:tcW w:w="801" w:type="dxa"/>
          </w:tcPr>
          <w:p>
            <w:pPr>
              <w:pStyle w:val="TableParagraph"/>
              <w:spacing w:line="199" w:lineRule="exact"/>
              <w:ind w:left="265" w:right="45"/>
              <w:jc w:val="center"/>
              <w:rPr>
                <w:sz w:val="20"/>
              </w:rPr>
            </w:pPr>
            <w:r>
              <w:rPr>
                <w:sz w:val="20"/>
              </w:rPr>
              <w:t>0,764</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17</w:t>
            </w:r>
          </w:p>
        </w:tc>
        <w:tc>
          <w:tcPr>
            <w:tcW w:w="801" w:type="dxa"/>
          </w:tcPr>
          <w:p>
            <w:pPr>
              <w:pStyle w:val="TableParagraph"/>
              <w:spacing w:line="200" w:lineRule="exact"/>
              <w:ind w:left="265" w:right="45"/>
              <w:jc w:val="center"/>
              <w:rPr>
                <w:sz w:val="20"/>
              </w:rPr>
            </w:pPr>
            <w:r>
              <w:rPr>
                <w:sz w:val="20"/>
              </w:rPr>
              <w:t>0,698</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18</w:t>
            </w:r>
          </w:p>
        </w:tc>
        <w:tc>
          <w:tcPr>
            <w:tcW w:w="801" w:type="dxa"/>
          </w:tcPr>
          <w:p>
            <w:pPr>
              <w:pStyle w:val="TableParagraph"/>
              <w:spacing w:line="200" w:lineRule="exact"/>
              <w:ind w:left="265" w:right="45"/>
              <w:jc w:val="center"/>
              <w:rPr>
                <w:sz w:val="20"/>
              </w:rPr>
            </w:pPr>
            <w:r>
              <w:rPr>
                <w:sz w:val="20"/>
              </w:rPr>
              <w:t>0,805</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19</w:t>
            </w:r>
          </w:p>
        </w:tc>
        <w:tc>
          <w:tcPr>
            <w:tcW w:w="801" w:type="dxa"/>
          </w:tcPr>
          <w:p>
            <w:pPr>
              <w:pStyle w:val="TableParagraph"/>
              <w:spacing w:line="200" w:lineRule="exact"/>
              <w:ind w:left="265" w:right="45"/>
              <w:jc w:val="center"/>
              <w:rPr>
                <w:sz w:val="20"/>
              </w:rPr>
            </w:pPr>
            <w:r>
              <w:rPr>
                <w:sz w:val="20"/>
              </w:rPr>
              <w:t>0,758</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20</w:t>
            </w:r>
          </w:p>
        </w:tc>
        <w:tc>
          <w:tcPr>
            <w:tcW w:w="801" w:type="dxa"/>
          </w:tcPr>
          <w:p>
            <w:pPr>
              <w:pStyle w:val="TableParagraph"/>
              <w:spacing w:line="199" w:lineRule="exact"/>
              <w:ind w:left="265" w:right="45"/>
              <w:jc w:val="center"/>
              <w:rPr>
                <w:sz w:val="20"/>
              </w:rPr>
            </w:pPr>
            <w:r>
              <w:rPr>
                <w:sz w:val="20"/>
              </w:rPr>
              <w:t>0,815</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6" w:hRule="atLeast"/>
        </w:trPr>
        <w:tc>
          <w:tcPr>
            <w:tcW w:w="1028" w:type="dxa"/>
            <w:tcBorders>
              <w:bottom w:val="single" w:sz="4" w:space="0" w:color="000000"/>
            </w:tcBorders>
          </w:tcPr>
          <w:p>
            <w:pPr>
              <w:pStyle w:val="TableParagraph"/>
              <w:spacing w:line="206" w:lineRule="exact"/>
              <w:ind w:left="115"/>
              <w:rPr>
                <w:sz w:val="20"/>
              </w:rPr>
            </w:pPr>
            <w:r>
              <w:rPr>
                <w:sz w:val="20"/>
              </w:rPr>
              <w:t>Soru 21</w:t>
            </w:r>
          </w:p>
        </w:tc>
        <w:tc>
          <w:tcPr>
            <w:tcW w:w="801" w:type="dxa"/>
            <w:tcBorders>
              <w:bottom w:val="single" w:sz="4" w:space="0" w:color="000000"/>
            </w:tcBorders>
          </w:tcPr>
          <w:p>
            <w:pPr>
              <w:pStyle w:val="TableParagraph"/>
              <w:spacing w:line="206" w:lineRule="exact"/>
              <w:ind w:left="265" w:right="45"/>
              <w:jc w:val="center"/>
              <w:rPr>
                <w:sz w:val="20"/>
              </w:rPr>
            </w:pPr>
            <w:r>
              <w:rPr>
                <w:sz w:val="20"/>
              </w:rPr>
              <w:t>0,860</w:t>
            </w: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2" w:hRule="atLeast"/>
        </w:trPr>
        <w:tc>
          <w:tcPr>
            <w:tcW w:w="1028" w:type="dxa"/>
            <w:tcBorders>
              <w:top w:val="single" w:sz="4" w:space="0" w:color="000000"/>
            </w:tcBorders>
          </w:tcPr>
          <w:p>
            <w:pPr>
              <w:pStyle w:val="TableParagraph"/>
              <w:spacing w:line="203" w:lineRule="exact"/>
              <w:ind w:left="115"/>
              <w:rPr>
                <w:sz w:val="20"/>
              </w:rPr>
            </w:pPr>
            <w:r>
              <w:rPr>
                <w:sz w:val="20"/>
              </w:rPr>
              <w:t>Soru 22</w:t>
            </w:r>
          </w:p>
        </w:tc>
        <w:tc>
          <w:tcPr>
            <w:tcW w:w="801" w:type="dxa"/>
            <w:vMerge w:val="restart"/>
            <w:tcBorders>
              <w:top w:val="single" w:sz="4" w:space="0" w:color="000000"/>
              <w:bottom w:val="single" w:sz="4" w:space="0" w:color="000000"/>
            </w:tcBorders>
          </w:tcPr>
          <w:p>
            <w:pPr>
              <w:pStyle w:val="TableParagraph"/>
              <w:rPr>
                <w:sz w:val="20"/>
              </w:rPr>
            </w:pPr>
          </w:p>
        </w:tc>
        <w:tc>
          <w:tcPr>
            <w:tcW w:w="820" w:type="dxa"/>
            <w:tcBorders>
              <w:top w:val="single" w:sz="4" w:space="0" w:color="000000"/>
            </w:tcBorders>
          </w:tcPr>
          <w:p>
            <w:pPr>
              <w:pStyle w:val="TableParagraph"/>
              <w:spacing w:line="203" w:lineRule="exact"/>
              <w:ind w:left="302"/>
              <w:rPr>
                <w:sz w:val="20"/>
              </w:rPr>
            </w:pPr>
            <w:r>
              <w:rPr>
                <w:sz w:val="20"/>
              </w:rPr>
              <w:t>0,640</w:t>
            </w: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20" w:hRule="atLeast"/>
        </w:trPr>
        <w:tc>
          <w:tcPr>
            <w:tcW w:w="1028" w:type="dxa"/>
          </w:tcPr>
          <w:p>
            <w:pPr>
              <w:pStyle w:val="TableParagraph"/>
              <w:spacing w:line="200" w:lineRule="exact"/>
              <w:ind w:left="115"/>
              <w:rPr>
                <w:sz w:val="20"/>
              </w:rPr>
            </w:pPr>
            <w:r>
              <w:rPr>
                <w:sz w:val="20"/>
              </w:rPr>
              <w:t>Soru 23</w:t>
            </w:r>
          </w:p>
        </w:tc>
        <w:tc>
          <w:tcPr>
            <w:tcW w:w="801" w:type="dxa"/>
            <w:vMerge/>
            <w:tcBorders>
              <w:top w:val="nil"/>
              <w:bottom w:val="single" w:sz="4" w:space="0" w:color="000000"/>
            </w:tcBorders>
          </w:tcPr>
          <w:p>
            <w:pPr>
              <w:rPr>
                <w:sz w:val="2"/>
                <w:szCs w:val="2"/>
              </w:rPr>
            </w:pPr>
          </w:p>
        </w:tc>
        <w:tc>
          <w:tcPr>
            <w:tcW w:w="820" w:type="dxa"/>
          </w:tcPr>
          <w:p>
            <w:pPr>
              <w:pStyle w:val="TableParagraph"/>
              <w:spacing w:line="200" w:lineRule="exact"/>
              <w:ind w:left="302"/>
              <w:rPr>
                <w:sz w:val="20"/>
              </w:rPr>
            </w:pPr>
            <w:r>
              <w:rPr>
                <w:sz w:val="20"/>
              </w:rPr>
              <w:t>0,760</w:t>
            </w: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1" w:lineRule="exact"/>
              <w:ind w:left="115"/>
              <w:rPr>
                <w:sz w:val="20"/>
              </w:rPr>
            </w:pPr>
            <w:r>
              <w:rPr>
                <w:sz w:val="20"/>
              </w:rPr>
              <w:t>Soru 24</w:t>
            </w:r>
          </w:p>
        </w:tc>
        <w:tc>
          <w:tcPr>
            <w:tcW w:w="801" w:type="dxa"/>
            <w:vMerge/>
            <w:tcBorders>
              <w:top w:val="nil"/>
              <w:bottom w:val="single" w:sz="4" w:space="0" w:color="000000"/>
            </w:tcBorders>
          </w:tcPr>
          <w:p>
            <w:pPr>
              <w:rPr>
                <w:sz w:val="2"/>
                <w:szCs w:val="2"/>
              </w:rPr>
            </w:pPr>
          </w:p>
        </w:tc>
        <w:tc>
          <w:tcPr>
            <w:tcW w:w="820" w:type="dxa"/>
          </w:tcPr>
          <w:p>
            <w:pPr>
              <w:pStyle w:val="TableParagraph"/>
              <w:spacing w:line="201" w:lineRule="exact"/>
              <w:ind w:left="302"/>
              <w:rPr>
                <w:sz w:val="20"/>
              </w:rPr>
            </w:pPr>
            <w:r>
              <w:rPr>
                <w:sz w:val="20"/>
              </w:rPr>
              <w:t>0,751</w:t>
            </w: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1" w:lineRule="exact"/>
              <w:ind w:left="115"/>
              <w:rPr>
                <w:sz w:val="20"/>
              </w:rPr>
            </w:pPr>
            <w:r>
              <w:rPr>
                <w:sz w:val="20"/>
              </w:rPr>
              <w:t>Soru 25</w:t>
            </w:r>
          </w:p>
        </w:tc>
        <w:tc>
          <w:tcPr>
            <w:tcW w:w="801" w:type="dxa"/>
            <w:vMerge/>
            <w:tcBorders>
              <w:top w:val="nil"/>
              <w:bottom w:val="single" w:sz="4" w:space="0" w:color="000000"/>
            </w:tcBorders>
          </w:tcPr>
          <w:p>
            <w:pPr>
              <w:rPr>
                <w:sz w:val="2"/>
                <w:szCs w:val="2"/>
              </w:rPr>
            </w:pPr>
          </w:p>
        </w:tc>
        <w:tc>
          <w:tcPr>
            <w:tcW w:w="820" w:type="dxa"/>
          </w:tcPr>
          <w:p>
            <w:pPr>
              <w:pStyle w:val="TableParagraph"/>
              <w:spacing w:line="201" w:lineRule="exact"/>
              <w:ind w:left="302"/>
              <w:rPr>
                <w:sz w:val="20"/>
              </w:rPr>
            </w:pPr>
            <w:r>
              <w:rPr>
                <w:sz w:val="20"/>
              </w:rPr>
              <w:t>0,813</w:t>
            </w: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26</w:t>
            </w:r>
          </w:p>
        </w:tc>
        <w:tc>
          <w:tcPr>
            <w:tcW w:w="801" w:type="dxa"/>
            <w:vMerge/>
            <w:tcBorders>
              <w:top w:val="nil"/>
              <w:bottom w:val="single" w:sz="4" w:space="0" w:color="000000"/>
            </w:tcBorders>
          </w:tcPr>
          <w:p>
            <w:pPr>
              <w:rPr>
                <w:sz w:val="2"/>
                <w:szCs w:val="2"/>
              </w:rPr>
            </w:pPr>
          </w:p>
        </w:tc>
        <w:tc>
          <w:tcPr>
            <w:tcW w:w="820" w:type="dxa"/>
          </w:tcPr>
          <w:p>
            <w:pPr>
              <w:pStyle w:val="TableParagraph"/>
              <w:spacing w:line="200" w:lineRule="exact"/>
              <w:ind w:left="302"/>
              <w:rPr>
                <w:sz w:val="20"/>
              </w:rPr>
            </w:pPr>
            <w:r>
              <w:rPr>
                <w:sz w:val="20"/>
              </w:rPr>
              <w:t>0,727</w:t>
            </w: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5" w:hRule="atLeast"/>
        </w:trPr>
        <w:tc>
          <w:tcPr>
            <w:tcW w:w="1028" w:type="dxa"/>
            <w:tcBorders>
              <w:bottom w:val="single" w:sz="4" w:space="0" w:color="000000"/>
            </w:tcBorders>
          </w:tcPr>
          <w:p>
            <w:pPr>
              <w:pStyle w:val="TableParagraph"/>
              <w:spacing w:line="205" w:lineRule="exact"/>
              <w:ind w:left="115"/>
              <w:rPr>
                <w:sz w:val="20"/>
              </w:rPr>
            </w:pPr>
            <w:r>
              <w:rPr>
                <w:sz w:val="20"/>
              </w:rPr>
              <w:t>Soru 27</w:t>
            </w:r>
          </w:p>
        </w:tc>
        <w:tc>
          <w:tcPr>
            <w:tcW w:w="801" w:type="dxa"/>
            <w:vMerge/>
            <w:tcBorders>
              <w:top w:val="nil"/>
              <w:bottom w:val="single" w:sz="4" w:space="0" w:color="000000"/>
            </w:tcBorders>
          </w:tcPr>
          <w:p>
            <w:pPr>
              <w:rPr>
                <w:sz w:val="2"/>
                <w:szCs w:val="2"/>
              </w:rPr>
            </w:pPr>
          </w:p>
        </w:tc>
        <w:tc>
          <w:tcPr>
            <w:tcW w:w="820" w:type="dxa"/>
            <w:tcBorders>
              <w:bottom w:val="single" w:sz="4" w:space="0" w:color="000000"/>
            </w:tcBorders>
          </w:tcPr>
          <w:p>
            <w:pPr>
              <w:pStyle w:val="TableParagraph"/>
              <w:spacing w:line="205" w:lineRule="exact"/>
              <w:ind w:left="302"/>
              <w:rPr>
                <w:sz w:val="20"/>
              </w:rPr>
            </w:pPr>
            <w:r>
              <w:rPr>
                <w:sz w:val="20"/>
              </w:rPr>
              <w:t>0,781</w:t>
            </w: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3" w:hRule="atLeast"/>
        </w:trPr>
        <w:tc>
          <w:tcPr>
            <w:tcW w:w="1028" w:type="dxa"/>
            <w:tcBorders>
              <w:top w:val="single" w:sz="4" w:space="0" w:color="000000"/>
            </w:tcBorders>
          </w:tcPr>
          <w:p>
            <w:pPr>
              <w:pStyle w:val="TableParagraph"/>
              <w:spacing w:line="204" w:lineRule="exact"/>
              <w:ind w:left="115"/>
              <w:rPr>
                <w:sz w:val="20"/>
              </w:rPr>
            </w:pPr>
            <w:r>
              <w:rPr>
                <w:sz w:val="20"/>
              </w:rPr>
              <w:t>Soru 28</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tcBorders>
              <w:top w:val="single" w:sz="4" w:space="0" w:color="000000"/>
            </w:tcBorders>
          </w:tcPr>
          <w:p>
            <w:pPr>
              <w:pStyle w:val="TableParagraph"/>
              <w:spacing w:line="204" w:lineRule="exact"/>
              <w:ind w:left="418"/>
              <w:rPr>
                <w:sz w:val="20"/>
              </w:rPr>
            </w:pPr>
            <w:r>
              <w:rPr>
                <w:sz w:val="20"/>
              </w:rPr>
              <w:t>0,713</w:t>
            </w: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19" w:hRule="atLeast"/>
        </w:trPr>
        <w:tc>
          <w:tcPr>
            <w:tcW w:w="1028" w:type="dxa"/>
          </w:tcPr>
          <w:p>
            <w:pPr>
              <w:pStyle w:val="TableParagraph"/>
              <w:spacing w:line="199" w:lineRule="exact"/>
              <w:ind w:left="115"/>
              <w:rPr>
                <w:sz w:val="20"/>
              </w:rPr>
            </w:pPr>
            <w:r>
              <w:rPr>
                <w:sz w:val="20"/>
              </w:rPr>
              <w:t>Soru 29</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tcPr>
          <w:p>
            <w:pPr>
              <w:pStyle w:val="TableParagraph"/>
              <w:spacing w:line="199" w:lineRule="exact"/>
              <w:ind w:left="418"/>
              <w:rPr>
                <w:sz w:val="20"/>
              </w:rPr>
            </w:pPr>
            <w:r>
              <w:rPr>
                <w:sz w:val="20"/>
              </w:rPr>
              <w:t>0,750</w:t>
            </w: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Soru30</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tcPr>
          <w:p>
            <w:pPr>
              <w:pStyle w:val="TableParagraph"/>
              <w:spacing w:line="200" w:lineRule="exact"/>
              <w:ind w:left="418"/>
              <w:rPr>
                <w:sz w:val="20"/>
              </w:rPr>
            </w:pPr>
            <w:r>
              <w:rPr>
                <w:sz w:val="20"/>
              </w:rPr>
              <w:t>0,833</w:t>
            </w: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31</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tcPr>
          <w:p>
            <w:pPr>
              <w:pStyle w:val="TableParagraph"/>
              <w:spacing w:line="200" w:lineRule="exact"/>
              <w:ind w:left="418"/>
              <w:rPr>
                <w:sz w:val="20"/>
              </w:rPr>
            </w:pPr>
            <w:r>
              <w:rPr>
                <w:sz w:val="20"/>
              </w:rPr>
              <w:t>0,835</w:t>
            </w: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32</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tcPr>
          <w:p>
            <w:pPr>
              <w:pStyle w:val="TableParagraph"/>
              <w:spacing w:line="200" w:lineRule="exact"/>
              <w:ind w:left="418"/>
              <w:rPr>
                <w:sz w:val="20"/>
              </w:rPr>
            </w:pPr>
            <w:r>
              <w:rPr>
                <w:sz w:val="20"/>
              </w:rPr>
              <w:t>0,827</w:t>
            </w: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7" w:hRule="atLeast"/>
        </w:trPr>
        <w:tc>
          <w:tcPr>
            <w:tcW w:w="1028" w:type="dxa"/>
            <w:tcBorders>
              <w:bottom w:val="single" w:sz="4" w:space="0" w:color="000000"/>
            </w:tcBorders>
          </w:tcPr>
          <w:p>
            <w:pPr>
              <w:pStyle w:val="TableParagraph"/>
              <w:spacing w:line="208" w:lineRule="exact"/>
              <w:ind w:left="115"/>
              <w:rPr>
                <w:sz w:val="20"/>
              </w:rPr>
            </w:pPr>
            <w:r>
              <w:rPr>
                <w:sz w:val="20"/>
              </w:rPr>
              <w:t>Soru 33</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tcBorders>
              <w:bottom w:val="single" w:sz="4" w:space="0" w:color="000000"/>
            </w:tcBorders>
          </w:tcPr>
          <w:p>
            <w:pPr>
              <w:pStyle w:val="TableParagraph"/>
              <w:spacing w:line="208" w:lineRule="exact"/>
              <w:ind w:left="418"/>
              <w:rPr>
                <w:sz w:val="20"/>
              </w:rPr>
            </w:pPr>
            <w:r>
              <w:rPr>
                <w:sz w:val="20"/>
              </w:rPr>
              <w:t>0,798</w:t>
            </w: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2" w:hRule="atLeast"/>
        </w:trPr>
        <w:tc>
          <w:tcPr>
            <w:tcW w:w="1028" w:type="dxa"/>
            <w:tcBorders>
              <w:top w:val="single" w:sz="4" w:space="0" w:color="000000"/>
            </w:tcBorders>
          </w:tcPr>
          <w:p>
            <w:pPr>
              <w:pStyle w:val="TableParagraph"/>
              <w:spacing w:line="203" w:lineRule="exact"/>
              <w:ind w:left="115"/>
              <w:rPr>
                <w:sz w:val="20"/>
              </w:rPr>
            </w:pPr>
            <w:r>
              <w:rPr>
                <w:sz w:val="20"/>
              </w:rPr>
              <w:t>Soru 34</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tcBorders>
              <w:top w:val="single" w:sz="4" w:space="0" w:color="000000"/>
            </w:tcBorders>
          </w:tcPr>
          <w:p>
            <w:pPr>
              <w:pStyle w:val="TableParagraph"/>
              <w:spacing w:line="203" w:lineRule="exact"/>
              <w:ind w:left="411"/>
              <w:rPr>
                <w:sz w:val="20"/>
              </w:rPr>
            </w:pPr>
            <w:r>
              <w:rPr>
                <w:sz w:val="20"/>
              </w:rPr>
              <w:t>0,695</w:t>
            </w: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19" w:hRule="atLeast"/>
        </w:trPr>
        <w:tc>
          <w:tcPr>
            <w:tcW w:w="1028" w:type="dxa"/>
          </w:tcPr>
          <w:p>
            <w:pPr>
              <w:pStyle w:val="TableParagraph"/>
              <w:spacing w:line="199" w:lineRule="exact"/>
              <w:ind w:left="115"/>
              <w:rPr>
                <w:sz w:val="20"/>
              </w:rPr>
            </w:pPr>
            <w:r>
              <w:rPr>
                <w:sz w:val="20"/>
              </w:rPr>
              <w:t>Soru 35</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Pr>
          <w:p>
            <w:pPr>
              <w:pStyle w:val="TableParagraph"/>
              <w:spacing w:line="199" w:lineRule="exact"/>
              <w:ind w:left="411"/>
              <w:rPr>
                <w:sz w:val="20"/>
              </w:rPr>
            </w:pPr>
            <w:r>
              <w:rPr>
                <w:sz w:val="20"/>
              </w:rPr>
              <w:t>0,798</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36</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Pr>
          <w:p>
            <w:pPr>
              <w:pStyle w:val="TableParagraph"/>
              <w:spacing w:line="199" w:lineRule="exact"/>
              <w:ind w:left="411"/>
              <w:rPr>
                <w:sz w:val="20"/>
              </w:rPr>
            </w:pPr>
            <w:r>
              <w:rPr>
                <w:sz w:val="20"/>
              </w:rPr>
              <w:t>0,766</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37</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Pr>
          <w:p>
            <w:pPr>
              <w:pStyle w:val="TableParagraph"/>
              <w:spacing w:line="200" w:lineRule="exact"/>
              <w:ind w:left="411"/>
              <w:rPr>
                <w:sz w:val="20"/>
              </w:rPr>
            </w:pPr>
            <w:r>
              <w:rPr>
                <w:sz w:val="20"/>
              </w:rPr>
              <w:t>0,732</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38</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Pr>
          <w:p>
            <w:pPr>
              <w:pStyle w:val="TableParagraph"/>
              <w:spacing w:line="200" w:lineRule="exact"/>
              <w:ind w:left="411"/>
              <w:rPr>
                <w:sz w:val="20"/>
              </w:rPr>
            </w:pPr>
            <w:r>
              <w:rPr>
                <w:sz w:val="20"/>
              </w:rPr>
              <w:t>0,868</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39</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Pr>
          <w:p>
            <w:pPr>
              <w:pStyle w:val="TableParagraph"/>
              <w:spacing w:line="200" w:lineRule="exact"/>
              <w:ind w:left="411"/>
              <w:rPr>
                <w:sz w:val="20"/>
              </w:rPr>
            </w:pPr>
            <w:r>
              <w:rPr>
                <w:sz w:val="20"/>
              </w:rPr>
              <w:t>0,658</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5" w:hRule="atLeast"/>
        </w:trPr>
        <w:tc>
          <w:tcPr>
            <w:tcW w:w="1028" w:type="dxa"/>
            <w:tcBorders>
              <w:bottom w:val="single" w:sz="4" w:space="0" w:color="000000"/>
            </w:tcBorders>
          </w:tcPr>
          <w:p>
            <w:pPr>
              <w:pStyle w:val="TableParagraph"/>
              <w:spacing w:line="206" w:lineRule="exact"/>
              <w:ind w:left="115"/>
              <w:rPr>
                <w:sz w:val="20"/>
              </w:rPr>
            </w:pPr>
            <w:r>
              <w:rPr>
                <w:sz w:val="20"/>
              </w:rPr>
              <w:t>Soru 40</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tcBorders>
              <w:bottom w:val="single" w:sz="4" w:space="0" w:color="000000"/>
            </w:tcBorders>
          </w:tcPr>
          <w:p>
            <w:pPr>
              <w:pStyle w:val="TableParagraph"/>
              <w:spacing w:line="206" w:lineRule="exact"/>
              <w:ind w:left="411"/>
              <w:rPr>
                <w:sz w:val="20"/>
              </w:rPr>
            </w:pPr>
            <w:r>
              <w:rPr>
                <w:sz w:val="20"/>
              </w:rPr>
              <w:t>0,761</w:t>
            </w: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3" w:hRule="atLeast"/>
        </w:trPr>
        <w:tc>
          <w:tcPr>
            <w:tcW w:w="1028" w:type="dxa"/>
            <w:tcBorders>
              <w:top w:val="single" w:sz="4" w:space="0" w:color="000000"/>
            </w:tcBorders>
          </w:tcPr>
          <w:p>
            <w:pPr>
              <w:pStyle w:val="TableParagraph"/>
              <w:spacing w:line="204" w:lineRule="exact"/>
              <w:ind w:left="115"/>
              <w:rPr>
                <w:sz w:val="20"/>
              </w:rPr>
            </w:pPr>
            <w:r>
              <w:rPr>
                <w:sz w:val="20"/>
              </w:rPr>
              <w:t>Soru 41</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tcBorders>
              <w:top w:val="single" w:sz="4" w:space="0" w:color="000000"/>
            </w:tcBorders>
          </w:tcPr>
          <w:p>
            <w:pPr>
              <w:pStyle w:val="TableParagraph"/>
              <w:spacing w:line="204" w:lineRule="exact"/>
              <w:ind w:left="416" w:right="-15"/>
              <w:rPr>
                <w:sz w:val="20"/>
              </w:rPr>
            </w:pPr>
            <w:r>
              <w:rPr>
                <w:sz w:val="20"/>
              </w:rPr>
              <w:t>0,784</w:t>
            </w: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19" w:hRule="atLeast"/>
        </w:trPr>
        <w:tc>
          <w:tcPr>
            <w:tcW w:w="1028" w:type="dxa"/>
          </w:tcPr>
          <w:p>
            <w:pPr>
              <w:pStyle w:val="TableParagraph"/>
              <w:spacing w:line="199" w:lineRule="exact"/>
              <w:ind w:left="115"/>
              <w:rPr>
                <w:sz w:val="20"/>
              </w:rPr>
            </w:pPr>
            <w:r>
              <w:rPr>
                <w:sz w:val="20"/>
              </w:rPr>
              <w:t>Soru 42</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199" w:lineRule="exact"/>
              <w:ind w:left="416" w:right="-15"/>
              <w:rPr>
                <w:sz w:val="20"/>
              </w:rPr>
            </w:pPr>
            <w:r>
              <w:rPr>
                <w:sz w:val="20"/>
              </w:rPr>
              <w:t>0,775</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43</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200" w:lineRule="exact"/>
              <w:ind w:left="416" w:right="-15"/>
              <w:rPr>
                <w:sz w:val="20"/>
              </w:rPr>
            </w:pPr>
            <w:r>
              <w:rPr>
                <w:sz w:val="20"/>
              </w:rPr>
              <w:t>0,781</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44</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200" w:lineRule="exact"/>
              <w:ind w:left="416" w:right="-15"/>
              <w:rPr>
                <w:sz w:val="20"/>
              </w:rPr>
            </w:pPr>
            <w:r>
              <w:rPr>
                <w:sz w:val="20"/>
              </w:rPr>
              <w:t>0,730</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45</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200" w:lineRule="exact"/>
              <w:ind w:left="416" w:right="-15"/>
              <w:rPr>
                <w:sz w:val="20"/>
              </w:rPr>
            </w:pPr>
            <w:r>
              <w:rPr>
                <w:sz w:val="20"/>
              </w:rPr>
              <w:t>0,702</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46</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200" w:lineRule="exact"/>
              <w:ind w:left="416" w:right="-15"/>
              <w:rPr>
                <w:sz w:val="20"/>
              </w:rPr>
            </w:pPr>
            <w:r>
              <w:rPr>
                <w:sz w:val="20"/>
              </w:rPr>
              <w:t>0,819</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47</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199" w:lineRule="exact"/>
              <w:ind w:left="416" w:right="-15"/>
              <w:rPr>
                <w:sz w:val="20"/>
              </w:rPr>
            </w:pPr>
            <w:r>
              <w:rPr>
                <w:sz w:val="20"/>
              </w:rPr>
              <w:t>0,756</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48</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Pr>
          <w:p>
            <w:pPr>
              <w:pStyle w:val="TableParagraph"/>
              <w:spacing w:line="199" w:lineRule="exact"/>
              <w:ind w:left="416" w:right="-15"/>
              <w:rPr>
                <w:sz w:val="20"/>
              </w:rPr>
            </w:pPr>
            <w:r>
              <w:rPr>
                <w:sz w:val="20"/>
              </w:rPr>
              <w:t>0,790</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7" w:hRule="atLeast"/>
        </w:trPr>
        <w:tc>
          <w:tcPr>
            <w:tcW w:w="1028" w:type="dxa"/>
            <w:tcBorders>
              <w:bottom w:val="single" w:sz="4" w:space="0" w:color="000000"/>
            </w:tcBorders>
          </w:tcPr>
          <w:p>
            <w:pPr>
              <w:pStyle w:val="TableParagraph"/>
              <w:spacing w:line="208" w:lineRule="exact"/>
              <w:ind w:left="115"/>
              <w:rPr>
                <w:sz w:val="20"/>
              </w:rPr>
            </w:pPr>
            <w:r>
              <w:rPr>
                <w:sz w:val="20"/>
              </w:rPr>
              <w:t>Soru 49</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tcBorders>
              <w:bottom w:val="single" w:sz="4" w:space="0" w:color="000000"/>
            </w:tcBorders>
          </w:tcPr>
          <w:p>
            <w:pPr>
              <w:pStyle w:val="TableParagraph"/>
              <w:spacing w:line="208" w:lineRule="exact"/>
              <w:ind w:left="416" w:right="-15"/>
              <w:rPr>
                <w:sz w:val="20"/>
              </w:rPr>
            </w:pPr>
            <w:r>
              <w:rPr>
                <w:sz w:val="20"/>
              </w:rPr>
              <w:t>0,763</w:t>
            </w: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2" w:hRule="atLeast"/>
        </w:trPr>
        <w:tc>
          <w:tcPr>
            <w:tcW w:w="1028" w:type="dxa"/>
            <w:tcBorders>
              <w:top w:val="single" w:sz="4" w:space="0" w:color="000000"/>
            </w:tcBorders>
          </w:tcPr>
          <w:p>
            <w:pPr>
              <w:pStyle w:val="TableParagraph"/>
              <w:spacing w:line="203" w:lineRule="exact"/>
              <w:ind w:left="115"/>
              <w:rPr>
                <w:sz w:val="20"/>
              </w:rPr>
            </w:pPr>
            <w:r>
              <w:rPr>
                <w:sz w:val="20"/>
              </w:rPr>
              <w:t>Soru 50</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tcBorders>
              <w:top w:val="single" w:sz="4" w:space="0" w:color="000000"/>
            </w:tcBorders>
          </w:tcPr>
          <w:p>
            <w:pPr>
              <w:pStyle w:val="TableParagraph"/>
              <w:spacing w:line="203" w:lineRule="exact"/>
              <w:ind w:left="347" w:right="-15"/>
              <w:rPr>
                <w:sz w:val="20"/>
              </w:rPr>
            </w:pPr>
            <w:r>
              <w:rPr>
                <w:sz w:val="20"/>
              </w:rPr>
              <w:t>0,771</w:t>
            </w:r>
          </w:p>
        </w:tc>
        <w:tc>
          <w:tcPr>
            <w:tcW w:w="992" w:type="dxa"/>
            <w:vMerge w:val="restart"/>
            <w:tcBorders>
              <w:top w:val="single" w:sz="4" w:space="0" w:color="000000"/>
              <w:bottom w:val="single" w:sz="4" w:space="0" w:color="000000"/>
            </w:tcBorders>
          </w:tcPr>
          <w:p>
            <w:pPr>
              <w:pStyle w:val="TableParagraph"/>
              <w:rPr>
                <w:sz w:val="20"/>
              </w:rPr>
            </w:pPr>
          </w:p>
        </w:tc>
        <w:tc>
          <w:tcPr>
            <w:tcW w:w="1230" w:type="dxa"/>
            <w:vMerge w:val="restart"/>
            <w:tcBorders>
              <w:top w:val="single" w:sz="4" w:space="0" w:color="000000"/>
              <w:bottom w:val="single" w:sz="4" w:space="0" w:color="000000"/>
            </w:tcBorders>
          </w:tcPr>
          <w:p>
            <w:pPr>
              <w:pStyle w:val="TableParagraph"/>
              <w:rPr>
                <w:sz w:val="20"/>
              </w:rPr>
            </w:pPr>
          </w:p>
        </w:tc>
      </w:tr>
      <w:tr>
        <w:trPr>
          <w:trHeight w:val="220" w:hRule="atLeast"/>
        </w:trPr>
        <w:tc>
          <w:tcPr>
            <w:tcW w:w="1028" w:type="dxa"/>
          </w:tcPr>
          <w:p>
            <w:pPr>
              <w:pStyle w:val="TableParagraph"/>
              <w:spacing w:line="200" w:lineRule="exact"/>
              <w:ind w:left="115"/>
              <w:rPr>
                <w:sz w:val="20"/>
              </w:rPr>
            </w:pPr>
            <w:r>
              <w:rPr>
                <w:sz w:val="20"/>
              </w:rPr>
              <w:t>Soru 51</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200" w:lineRule="exact"/>
              <w:ind w:left="347" w:right="-15"/>
              <w:rPr>
                <w:sz w:val="20"/>
              </w:rPr>
            </w:pPr>
            <w:r>
              <w:rPr>
                <w:sz w:val="20"/>
              </w:rPr>
              <w:t>0,780</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52</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200" w:lineRule="exact"/>
              <w:ind w:left="347" w:right="-15"/>
              <w:rPr>
                <w:sz w:val="20"/>
              </w:rPr>
            </w:pPr>
            <w:r>
              <w:rPr>
                <w:sz w:val="20"/>
              </w:rPr>
              <w:t>0,756</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0" w:lineRule="exact"/>
              <w:ind w:left="115"/>
              <w:rPr>
                <w:sz w:val="20"/>
              </w:rPr>
            </w:pPr>
            <w:r>
              <w:rPr>
                <w:sz w:val="20"/>
              </w:rPr>
              <w:t>Soru 53</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200" w:lineRule="exact"/>
              <w:ind w:left="347" w:right="-15"/>
              <w:rPr>
                <w:sz w:val="20"/>
              </w:rPr>
            </w:pPr>
            <w:r>
              <w:rPr>
                <w:sz w:val="20"/>
              </w:rPr>
              <w:t>0,756</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54</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199" w:lineRule="exact"/>
              <w:ind w:left="347" w:right="-15"/>
              <w:rPr>
                <w:sz w:val="20"/>
              </w:rPr>
            </w:pPr>
            <w:r>
              <w:rPr>
                <w:sz w:val="20"/>
              </w:rPr>
              <w:t>0,731</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200" w:lineRule="exact"/>
              <w:ind w:left="115"/>
              <w:rPr>
                <w:sz w:val="20"/>
              </w:rPr>
            </w:pPr>
            <w:r>
              <w:rPr>
                <w:sz w:val="20"/>
              </w:rPr>
              <w:t>Soru 55</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200" w:lineRule="exact"/>
              <w:ind w:left="347" w:right="-15"/>
              <w:rPr>
                <w:sz w:val="20"/>
              </w:rPr>
            </w:pPr>
            <w:r>
              <w:rPr>
                <w:sz w:val="20"/>
              </w:rPr>
              <w:t>0,795</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0" w:hRule="atLeast"/>
        </w:trPr>
        <w:tc>
          <w:tcPr>
            <w:tcW w:w="1028" w:type="dxa"/>
          </w:tcPr>
          <w:p>
            <w:pPr>
              <w:pStyle w:val="TableParagraph"/>
              <w:spacing w:line="201" w:lineRule="exact"/>
              <w:ind w:left="115"/>
              <w:rPr>
                <w:sz w:val="20"/>
              </w:rPr>
            </w:pPr>
            <w:r>
              <w:rPr>
                <w:sz w:val="20"/>
              </w:rPr>
              <w:t>Soru 56</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Pr>
          <w:p>
            <w:pPr>
              <w:pStyle w:val="TableParagraph"/>
              <w:spacing w:line="201" w:lineRule="exact"/>
              <w:ind w:left="347" w:right="-15"/>
              <w:rPr>
                <w:sz w:val="20"/>
              </w:rPr>
            </w:pPr>
            <w:r>
              <w:rPr>
                <w:sz w:val="20"/>
              </w:rPr>
              <w:t>0,757</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7" w:hRule="atLeast"/>
        </w:trPr>
        <w:tc>
          <w:tcPr>
            <w:tcW w:w="1028" w:type="dxa"/>
            <w:tcBorders>
              <w:bottom w:val="single" w:sz="4" w:space="0" w:color="000000"/>
            </w:tcBorders>
          </w:tcPr>
          <w:p>
            <w:pPr>
              <w:pStyle w:val="TableParagraph"/>
              <w:spacing w:line="208" w:lineRule="exact"/>
              <w:ind w:left="115"/>
              <w:rPr>
                <w:sz w:val="20"/>
              </w:rPr>
            </w:pPr>
            <w:r>
              <w:rPr>
                <w:sz w:val="20"/>
              </w:rPr>
              <w:t>Soru 57</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tcBorders>
              <w:bottom w:val="single" w:sz="4" w:space="0" w:color="000000"/>
            </w:tcBorders>
          </w:tcPr>
          <w:p>
            <w:pPr>
              <w:pStyle w:val="TableParagraph"/>
              <w:spacing w:line="208" w:lineRule="exact"/>
              <w:ind w:left="347" w:right="-15"/>
              <w:rPr>
                <w:sz w:val="20"/>
              </w:rPr>
            </w:pPr>
            <w:r>
              <w:rPr>
                <w:sz w:val="20"/>
              </w:rPr>
              <w:t>0,822</w:t>
            </w:r>
          </w:p>
        </w:tc>
        <w:tc>
          <w:tcPr>
            <w:tcW w:w="992" w:type="dxa"/>
            <w:vMerge/>
            <w:tcBorders>
              <w:top w:val="nil"/>
              <w:bottom w:val="single" w:sz="4" w:space="0" w:color="000000"/>
            </w:tcBorders>
          </w:tcPr>
          <w:p>
            <w:pPr>
              <w:rPr>
                <w:sz w:val="2"/>
                <w:szCs w:val="2"/>
              </w:rPr>
            </w:pPr>
          </w:p>
        </w:tc>
        <w:tc>
          <w:tcPr>
            <w:tcW w:w="1230" w:type="dxa"/>
            <w:vMerge/>
            <w:tcBorders>
              <w:top w:val="nil"/>
              <w:bottom w:val="single" w:sz="4" w:space="0" w:color="000000"/>
            </w:tcBorders>
          </w:tcPr>
          <w:p>
            <w:pPr>
              <w:rPr>
                <w:sz w:val="2"/>
                <w:szCs w:val="2"/>
              </w:rPr>
            </w:pPr>
          </w:p>
        </w:tc>
      </w:tr>
      <w:tr>
        <w:trPr>
          <w:trHeight w:val="222" w:hRule="atLeast"/>
        </w:trPr>
        <w:tc>
          <w:tcPr>
            <w:tcW w:w="1028" w:type="dxa"/>
            <w:tcBorders>
              <w:top w:val="single" w:sz="4" w:space="0" w:color="000000"/>
            </w:tcBorders>
          </w:tcPr>
          <w:p>
            <w:pPr>
              <w:pStyle w:val="TableParagraph"/>
              <w:spacing w:line="203" w:lineRule="exact"/>
              <w:ind w:left="115"/>
              <w:rPr>
                <w:sz w:val="20"/>
              </w:rPr>
            </w:pPr>
            <w:r>
              <w:rPr>
                <w:sz w:val="20"/>
              </w:rPr>
              <w:t>Soru 58</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tcBorders>
              <w:top w:val="single" w:sz="4" w:space="0" w:color="000000"/>
            </w:tcBorders>
          </w:tcPr>
          <w:p>
            <w:pPr>
              <w:pStyle w:val="TableParagraph"/>
              <w:spacing w:line="203" w:lineRule="exact"/>
              <w:ind w:left="341"/>
              <w:rPr>
                <w:sz w:val="20"/>
              </w:rPr>
            </w:pPr>
            <w:r>
              <w:rPr>
                <w:sz w:val="20"/>
              </w:rPr>
              <w:t>0,790</w:t>
            </w:r>
          </w:p>
        </w:tc>
        <w:tc>
          <w:tcPr>
            <w:tcW w:w="1230" w:type="dxa"/>
            <w:vMerge w:val="restart"/>
            <w:tcBorders>
              <w:top w:val="single" w:sz="4" w:space="0" w:color="000000"/>
              <w:bottom w:val="single" w:sz="4" w:space="0" w:color="000000"/>
            </w:tcBorders>
          </w:tcPr>
          <w:p>
            <w:pPr>
              <w:pStyle w:val="TableParagraph"/>
              <w:rPr>
                <w:sz w:val="20"/>
              </w:rPr>
            </w:pPr>
          </w:p>
        </w:tc>
      </w:tr>
      <w:tr>
        <w:trPr>
          <w:trHeight w:val="220" w:hRule="atLeast"/>
        </w:trPr>
        <w:tc>
          <w:tcPr>
            <w:tcW w:w="1028" w:type="dxa"/>
          </w:tcPr>
          <w:p>
            <w:pPr>
              <w:pStyle w:val="TableParagraph"/>
              <w:spacing w:line="200" w:lineRule="exact"/>
              <w:ind w:left="115"/>
              <w:rPr>
                <w:sz w:val="20"/>
              </w:rPr>
            </w:pPr>
            <w:r>
              <w:rPr>
                <w:sz w:val="20"/>
              </w:rPr>
              <w:t>Soru 59</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tcPr>
          <w:p>
            <w:pPr>
              <w:pStyle w:val="TableParagraph"/>
              <w:spacing w:line="200" w:lineRule="exact"/>
              <w:ind w:left="341"/>
              <w:rPr>
                <w:sz w:val="20"/>
              </w:rPr>
            </w:pPr>
            <w:r>
              <w:rPr>
                <w:sz w:val="20"/>
              </w:rPr>
              <w:t>0,780</w:t>
            </w:r>
          </w:p>
        </w:tc>
        <w:tc>
          <w:tcPr>
            <w:tcW w:w="1230" w:type="dxa"/>
            <w:vMerge/>
            <w:tcBorders>
              <w:top w:val="nil"/>
              <w:bottom w:val="single" w:sz="4" w:space="0" w:color="000000"/>
            </w:tcBorders>
          </w:tcPr>
          <w:p>
            <w:pPr>
              <w:rPr>
                <w:sz w:val="2"/>
                <w:szCs w:val="2"/>
              </w:rPr>
            </w:pPr>
          </w:p>
        </w:tc>
      </w:tr>
      <w:tr>
        <w:trPr>
          <w:trHeight w:val="219" w:hRule="atLeast"/>
        </w:trPr>
        <w:tc>
          <w:tcPr>
            <w:tcW w:w="1028" w:type="dxa"/>
          </w:tcPr>
          <w:p>
            <w:pPr>
              <w:pStyle w:val="TableParagraph"/>
              <w:spacing w:line="199" w:lineRule="exact"/>
              <w:ind w:left="115"/>
              <w:rPr>
                <w:sz w:val="20"/>
              </w:rPr>
            </w:pPr>
            <w:r>
              <w:rPr>
                <w:sz w:val="20"/>
              </w:rPr>
              <w:t>Soru 60</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tcPr>
          <w:p>
            <w:pPr>
              <w:pStyle w:val="TableParagraph"/>
              <w:spacing w:line="199" w:lineRule="exact"/>
              <w:ind w:left="341"/>
              <w:rPr>
                <w:sz w:val="20"/>
              </w:rPr>
            </w:pPr>
            <w:r>
              <w:rPr>
                <w:sz w:val="20"/>
              </w:rPr>
              <w:t>0,829</w:t>
            </w:r>
          </w:p>
        </w:tc>
        <w:tc>
          <w:tcPr>
            <w:tcW w:w="1230" w:type="dxa"/>
            <w:vMerge/>
            <w:tcBorders>
              <w:top w:val="nil"/>
              <w:bottom w:val="single" w:sz="4" w:space="0" w:color="000000"/>
            </w:tcBorders>
          </w:tcPr>
          <w:p>
            <w:pPr>
              <w:rPr>
                <w:sz w:val="2"/>
                <w:szCs w:val="2"/>
              </w:rPr>
            </w:pPr>
          </w:p>
        </w:tc>
      </w:tr>
      <w:tr>
        <w:trPr>
          <w:trHeight w:val="226" w:hRule="atLeast"/>
        </w:trPr>
        <w:tc>
          <w:tcPr>
            <w:tcW w:w="1028" w:type="dxa"/>
            <w:tcBorders>
              <w:bottom w:val="single" w:sz="4" w:space="0" w:color="000000"/>
            </w:tcBorders>
          </w:tcPr>
          <w:p>
            <w:pPr>
              <w:pStyle w:val="TableParagraph"/>
              <w:spacing w:line="206" w:lineRule="exact"/>
              <w:ind w:left="115"/>
              <w:rPr>
                <w:sz w:val="20"/>
              </w:rPr>
            </w:pPr>
            <w:r>
              <w:rPr>
                <w:sz w:val="20"/>
              </w:rPr>
              <w:t>Soru 61</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tcBorders>
              <w:bottom w:val="single" w:sz="4" w:space="0" w:color="000000"/>
            </w:tcBorders>
          </w:tcPr>
          <w:p>
            <w:pPr>
              <w:pStyle w:val="TableParagraph"/>
              <w:spacing w:line="206" w:lineRule="exact"/>
              <w:ind w:left="341"/>
              <w:rPr>
                <w:sz w:val="20"/>
              </w:rPr>
            </w:pPr>
            <w:r>
              <w:rPr>
                <w:sz w:val="20"/>
              </w:rPr>
              <w:t>0,889</w:t>
            </w:r>
          </w:p>
        </w:tc>
        <w:tc>
          <w:tcPr>
            <w:tcW w:w="1230" w:type="dxa"/>
            <w:vMerge/>
            <w:tcBorders>
              <w:top w:val="nil"/>
              <w:bottom w:val="single" w:sz="4" w:space="0" w:color="000000"/>
            </w:tcBorders>
          </w:tcPr>
          <w:p>
            <w:pPr>
              <w:rPr>
                <w:sz w:val="2"/>
                <w:szCs w:val="2"/>
              </w:rPr>
            </w:pPr>
          </w:p>
        </w:tc>
      </w:tr>
      <w:tr>
        <w:trPr>
          <w:trHeight w:val="222" w:hRule="atLeast"/>
        </w:trPr>
        <w:tc>
          <w:tcPr>
            <w:tcW w:w="1028" w:type="dxa"/>
            <w:tcBorders>
              <w:top w:val="single" w:sz="4" w:space="0" w:color="000000"/>
            </w:tcBorders>
          </w:tcPr>
          <w:p>
            <w:pPr>
              <w:pStyle w:val="TableParagraph"/>
              <w:spacing w:line="203" w:lineRule="exact"/>
              <w:ind w:left="115"/>
              <w:rPr>
                <w:sz w:val="20"/>
              </w:rPr>
            </w:pPr>
            <w:r>
              <w:rPr>
                <w:sz w:val="20"/>
              </w:rPr>
              <w:t>Soru 62</w:t>
            </w:r>
          </w:p>
        </w:tc>
        <w:tc>
          <w:tcPr>
            <w:tcW w:w="801" w:type="dxa"/>
            <w:vMerge w:val="restart"/>
            <w:tcBorders>
              <w:top w:val="single" w:sz="4" w:space="0" w:color="000000"/>
              <w:bottom w:val="single" w:sz="4" w:space="0" w:color="000000"/>
            </w:tcBorders>
          </w:tcPr>
          <w:p>
            <w:pPr>
              <w:pStyle w:val="TableParagraph"/>
              <w:rPr>
                <w:sz w:val="20"/>
              </w:rPr>
            </w:pPr>
          </w:p>
        </w:tc>
        <w:tc>
          <w:tcPr>
            <w:tcW w:w="820" w:type="dxa"/>
            <w:vMerge w:val="restart"/>
            <w:tcBorders>
              <w:top w:val="single" w:sz="4" w:space="0" w:color="000000"/>
              <w:bottom w:val="single" w:sz="4" w:space="0" w:color="000000"/>
            </w:tcBorders>
          </w:tcPr>
          <w:p>
            <w:pPr>
              <w:pStyle w:val="TableParagraph"/>
              <w:rPr>
                <w:sz w:val="20"/>
              </w:rPr>
            </w:pPr>
          </w:p>
        </w:tc>
        <w:tc>
          <w:tcPr>
            <w:tcW w:w="929" w:type="dxa"/>
            <w:vMerge w:val="restart"/>
            <w:tcBorders>
              <w:top w:val="single" w:sz="4" w:space="0" w:color="000000"/>
              <w:bottom w:val="single" w:sz="4" w:space="0" w:color="000000"/>
            </w:tcBorders>
          </w:tcPr>
          <w:p>
            <w:pPr>
              <w:pStyle w:val="TableParagraph"/>
              <w:rPr>
                <w:sz w:val="20"/>
              </w:rPr>
            </w:pPr>
          </w:p>
        </w:tc>
        <w:tc>
          <w:tcPr>
            <w:tcW w:w="927" w:type="dxa"/>
            <w:vMerge w:val="restart"/>
            <w:tcBorders>
              <w:top w:val="single" w:sz="4" w:space="0" w:color="000000"/>
              <w:bottom w:val="single" w:sz="4" w:space="0" w:color="000000"/>
            </w:tcBorders>
          </w:tcPr>
          <w:p>
            <w:pPr>
              <w:pStyle w:val="TableParagraph"/>
              <w:rPr>
                <w:sz w:val="20"/>
              </w:rPr>
            </w:pPr>
          </w:p>
        </w:tc>
        <w:tc>
          <w:tcPr>
            <w:tcW w:w="863" w:type="dxa"/>
            <w:vMerge w:val="restart"/>
            <w:tcBorders>
              <w:top w:val="single" w:sz="4" w:space="0" w:color="000000"/>
              <w:bottom w:val="single" w:sz="4" w:space="0" w:color="000000"/>
            </w:tcBorders>
          </w:tcPr>
          <w:p>
            <w:pPr>
              <w:pStyle w:val="TableParagraph"/>
              <w:rPr>
                <w:sz w:val="20"/>
              </w:rPr>
            </w:pPr>
          </w:p>
        </w:tc>
        <w:tc>
          <w:tcPr>
            <w:tcW w:w="788" w:type="dxa"/>
            <w:vMerge w:val="restart"/>
            <w:tcBorders>
              <w:top w:val="single" w:sz="4" w:space="0" w:color="000000"/>
              <w:bottom w:val="single" w:sz="4" w:space="0" w:color="000000"/>
            </w:tcBorders>
          </w:tcPr>
          <w:p>
            <w:pPr>
              <w:pStyle w:val="TableParagraph"/>
              <w:rPr>
                <w:sz w:val="20"/>
              </w:rPr>
            </w:pPr>
          </w:p>
        </w:tc>
        <w:tc>
          <w:tcPr>
            <w:tcW w:w="992" w:type="dxa"/>
            <w:vMerge w:val="restart"/>
            <w:tcBorders>
              <w:top w:val="single" w:sz="4" w:space="0" w:color="000000"/>
              <w:bottom w:val="single" w:sz="4" w:space="0" w:color="000000"/>
            </w:tcBorders>
          </w:tcPr>
          <w:p>
            <w:pPr>
              <w:pStyle w:val="TableParagraph"/>
              <w:rPr>
                <w:sz w:val="20"/>
              </w:rPr>
            </w:pPr>
          </w:p>
        </w:tc>
        <w:tc>
          <w:tcPr>
            <w:tcW w:w="1230" w:type="dxa"/>
            <w:tcBorders>
              <w:top w:val="single" w:sz="4" w:space="0" w:color="000000"/>
            </w:tcBorders>
          </w:tcPr>
          <w:p>
            <w:pPr>
              <w:pStyle w:val="TableParagraph"/>
              <w:spacing w:line="203" w:lineRule="exact"/>
              <w:ind w:left="552"/>
              <w:rPr>
                <w:sz w:val="20"/>
              </w:rPr>
            </w:pPr>
            <w:r>
              <w:rPr>
                <w:sz w:val="20"/>
              </w:rPr>
              <w:t>0,766</w:t>
            </w:r>
          </w:p>
        </w:tc>
      </w:tr>
      <w:tr>
        <w:trPr>
          <w:trHeight w:val="220" w:hRule="atLeast"/>
        </w:trPr>
        <w:tc>
          <w:tcPr>
            <w:tcW w:w="1028" w:type="dxa"/>
          </w:tcPr>
          <w:p>
            <w:pPr>
              <w:pStyle w:val="TableParagraph"/>
              <w:spacing w:line="200" w:lineRule="exact"/>
              <w:ind w:left="115"/>
              <w:rPr>
                <w:sz w:val="20"/>
              </w:rPr>
            </w:pPr>
            <w:r>
              <w:rPr>
                <w:sz w:val="20"/>
              </w:rPr>
              <w:t>Soru 63</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tcPr>
          <w:p>
            <w:pPr>
              <w:pStyle w:val="TableParagraph"/>
              <w:spacing w:line="200" w:lineRule="exact"/>
              <w:ind w:left="552"/>
              <w:rPr>
                <w:sz w:val="20"/>
              </w:rPr>
            </w:pPr>
            <w:r>
              <w:rPr>
                <w:sz w:val="20"/>
              </w:rPr>
              <w:t>0,772</w:t>
            </w:r>
          </w:p>
        </w:tc>
      </w:tr>
      <w:tr>
        <w:trPr>
          <w:trHeight w:val="220" w:hRule="atLeast"/>
        </w:trPr>
        <w:tc>
          <w:tcPr>
            <w:tcW w:w="1028" w:type="dxa"/>
          </w:tcPr>
          <w:p>
            <w:pPr>
              <w:pStyle w:val="TableParagraph"/>
              <w:spacing w:line="200" w:lineRule="exact"/>
              <w:ind w:left="115"/>
              <w:rPr>
                <w:sz w:val="20"/>
              </w:rPr>
            </w:pPr>
            <w:r>
              <w:rPr>
                <w:sz w:val="20"/>
              </w:rPr>
              <w:t>Soru 64</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tcPr>
          <w:p>
            <w:pPr>
              <w:pStyle w:val="TableParagraph"/>
              <w:spacing w:line="200" w:lineRule="exact"/>
              <w:ind w:left="552"/>
              <w:rPr>
                <w:sz w:val="20"/>
              </w:rPr>
            </w:pPr>
            <w:r>
              <w:rPr>
                <w:sz w:val="20"/>
              </w:rPr>
              <w:t>0,850</w:t>
            </w:r>
          </w:p>
        </w:tc>
      </w:tr>
      <w:tr>
        <w:trPr>
          <w:trHeight w:val="227" w:hRule="atLeast"/>
        </w:trPr>
        <w:tc>
          <w:tcPr>
            <w:tcW w:w="1028" w:type="dxa"/>
            <w:tcBorders>
              <w:bottom w:val="single" w:sz="4" w:space="0" w:color="000000"/>
            </w:tcBorders>
          </w:tcPr>
          <w:p>
            <w:pPr>
              <w:pStyle w:val="TableParagraph"/>
              <w:spacing w:line="208" w:lineRule="exact"/>
              <w:ind w:left="115"/>
              <w:rPr>
                <w:sz w:val="20"/>
              </w:rPr>
            </w:pPr>
            <w:r>
              <w:rPr>
                <w:sz w:val="20"/>
              </w:rPr>
              <w:t>Soru 65</w:t>
            </w:r>
          </w:p>
        </w:tc>
        <w:tc>
          <w:tcPr>
            <w:tcW w:w="801" w:type="dxa"/>
            <w:vMerge/>
            <w:tcBorders>
              <w:top w:val="nil"/>
              <w:bottom w:val="single" w:sz="4" w:space="0" w:color="000000"/>
            </w:tcBorders>
          </w:tcPr>
          <w:p>
            <w:pPr>
              <w:rPr>
                <w:sz w:val="2"/>
                <w:szCs w:val="2"/>
              </w:rPr>
            </w:pPr>
          </w:p>
        </w:tc>
        <w:tc>
          <w:tcPr>
            <w:tcW w:w="820" w:type="dxa"/>
            <w:vMerge/>
            <w:tcBorders>
              <w:top w:val="nil"/>
              <w:bottom w:val="single" w:sz="4" w:space="0" w:color="000000"/>
            </w:tcBorders>
          </w:tcPr>
          <w:p>
            <w:pPr>
              <w:rPr>
                <w:sz w:val="2"/>
                <w:szCs w:val="2"/>
              </w:rPr>
            </w:pPr>
          </w:p>
        </w:tc>
        <w:tc>
          <w:tcPr>
            <w:tcW w:w="929" w:type="dxa"/>
            <w:vMerge/>
            <w:tcBorders>
              <w:top w:val="nil"/>
              <w:bottom w:val="single" w:sz="4" w:space="0" w:color="000000"/>
            </w:tcBorders>
          </w:tcPr>
          <w:p>
            <w:pPr>
              <w:rPr>
                <w:sz w:val="2"/>
                <w:szCs w:val="2"/>
              </w:rPr>
            </w:pPr>
          </w:p>
        </w:tc>
        <w:tc>
          <w:tcPr>
            <w:tcW w:w="927" w:type="dxa"/>
            <w:vMerge/>
            <w:tcBorders>
              <w:top w:val="nil"/>
              <w:bottom w:val="single" w:sz="4" w:space="0" w:color="000000"/>
            </w:tcBorders>
          </w:tcPr>
          <w:p>
            <w:pPr>
              <w:rPr>
                <w:sz w:val="2"/>
                <w:szCs w:val="2"/>
              </w:rPr>
            </w:pPr>
          </w:p>
        </w:tc>
        <w:tc>
          <w:tcPr>
            <w:tcW w:w="863" w:type="dxa"/>
            <w:vMerge/>
            <w:tcBorders>
              <w:top w:val="nil"/>
              <w:bottom w:val="single" w:sz="4" w:space="0" w:color="000000"/>
            </w:tcBorders>
          </w:tcPr>
          <w:p>
            <w:pPr>
              <w:rPr>
                <w:sz w:val="2"/>
                <w:szCs w:val="2"/>
              </w:rPr>
            </w:pPr>
          </w:p>
        </w:tc>
        <w:tc>
          <w:tcPr>
            <w:tcW w:w="788" w:type="dxa"/>
            <w:vMerge/>
            <w:tcBorders>
              <w:top w:val="nil"/>
              <w:bottom w:val="single" w:sz="4" w:space="0" w:color="000000"/>
            </w:tcBorders>
          </w:tcPr>
          <w:p>
            <w:pPr>
              <w:rPr>
                <w:sz w:val="2"/>
                <w:szCs w:val="2"/>
              </w:rPr>
            </w:pPr>
          </w:p>
        </w:tc>
        <w:tc>
          <w:tcPr>
            <w:tcW w:w="992" w:type="dxa"/>
            <w:vMerge/>
            <w:tcBorders>
              <w:top w:val="nil"/>
              <w:bottom w:val="single" w:sz="4" w:space="0" w:color="000000"/>
            </w:tcBorders>
          </w:tcPr>
          <w:p>
            <w:pPr>
              <w:rPr>
                <w:sz w:val="2"/>
                <w:szCs w:val="2"/>
              </w:rPr>
            </w:pPr>
          </w:p>
        </w:tc>
        <w:tc>
          <w:tcPr>
            <w:tcW w:w="1230" w:type="dxa"/>
            <w:tcBorders>
              <w:bottom w:val="single" w:sz="4" w:space="0" w:color="000000"/>
            </w:tcBorders>
          </w:tcPr>
          <w:p>
            <w:pPr>
              <w:pStyle w:val="TableParagraph"/>
              <w:spacing w:line="208" w:lineRule="exact"/>
              <w:ind w:left="552"/>
              <w:rPr>
                <w:sz w:val="20"/>
              </w:rPr>
            </w:pPr>
            <w:r>
              <w:rPr>
                <w:sz w:val="20"/>
              </w:rPr>
              <w:t>0,819</w:t>
            </w:r>
          </w:p>
        </w:tc>
      </w:tr>
    </w:tbl>
    <w:p>
      <w:pPr>
        <w:spacing w:after="0" w:line="208" w:lineRule="exact"/>
        <w:rPr>
          <w:sz w:val="20"/>
        </w:rPr>
        <w:sectPr>
          <w:pgSz w:w="11910" w:h="16840"/>
          <w:pgMar w:header="0" w:footer="976" w:top="1580" w:bottom="1240" w:left="1140" w:right="520"/>
        </w:sectPr>
      </w:pPr>
    </w:p>
    <w:p>
      <w:pPr>
        <w:pStyle w:val="BodyText"/>
        <w:spacing w:line="360" w:lineRule="auto" w:before="98"/>
        <w:ind w:left="1128" w:right="612" w:firstLine="708"/>
        <w:jc w:val="both"/>
      </w:pPr>
      <w:r>
        <w:rPr/>
        <w:t>Açımlayıcı</w:t>
      </w:r>
      <w:r>
        <w:rPr>
          <w:spacing w:val="-15"/>
        </w:rPr>
        <w:t> </w:t>
      </w:r>
      <w:r>
        <w:rPr/>
        <w:t>faktör</w:t>
      </w:r>
      <w:r>
        <w:rPr>
          <w:spacing w:val="-13"/>
        </w:rPr>
        <w:t> </w:t>
      </w:r>
      <w:r>
        <w:rPr/>
        <w:t>analizini</w:t>
      </w:r>
      <w:r>
        <w:rPr>
          <w:spacing w:val="-14"/>
        </w:rPr>
        <w:t> </w:t>
      </w:r>
      <w:r>
        <w:rPr/>
        <w:t>tablosuna</w:t>
      </w:r>
      <w:r>
        <w:rPr>
          <w:spacing w:val="-16"/>
        </w:rPr>
        <w:t> </w:t>
      </w:r>
      <w:r>
        <w:rPr/>
        <w:t>bakıldığında</w:t>
      </w:r>
      <w:r>
        <w:rPr>
          <w:spacing w:val="-12"/>
        </w:rPr>
        <w:t> </w:t>
      </w:r>
      <w:r>
        <w:rPr/>
        <w:t>sorular</w:t>
      </w:r>
      <w:r>
        <w:rPr>
          <w:spacing w:val="-15"/>
        </w:rPr>
        <w:t> </w:t>
      </w:r>
      <w:r>
        <w:rPr/>
        <w:t>8</w:t>
      </w:r>
      <w:r>
        <w:rPr>
          <w:spacing w:val="-13"/>
        </w:rPr>
        <w:t> </w:t>
      </w:r>
      <w:r>
        <w:rPr/>
        <w:t>faktöre</w:t>
      </w:r>
      <w:r>
        <w:rPr>
          <w:spacing w:val="-11"/>
        </w:rPr>
        <w:t> </w:t>
      </w:r>
      <w:r>
        <w:rPr/>
        <w:t>ayrılmaktadır. Faktör 1 afet planlarıyla ilgili boyut, faktör 2 afet eğitimi ve tatbikatla ilgili boyut,</w:t>
      </w:r>
      <w:r>
        <w:rPr>
          <w:spacing w:val="-31"/>
        </w:rPr>
        <w:t> </w:t>
      </w:r>
      <w:r>
        <w:rPr/>
        <w:t>faktör 3</w:t>
      </w:r>
      <w:r>
        <w:rPr>
          <w:spacing w:val="-17"/>
        </w:rPr>
        <w:t> </w:t>
      </w:r>
      <w:r>
        <w:rPr/>
        <w:t>KBRN</w:t>
      </w:r>
      <w:r>
        <w:rPr>
          <w:spacing w:val="-14"/>
        </w:rPr>
        <w:t> </w:t>
      </w:r>
      <w:r>
        <w:rPr/>
        <w:t>olaylarında</w:t>
      </w:r>
      <w:r>
        <w:rPr>
          <w:spacing w:val="-17"/>
        </w:rPr>
        <w:t> </w:t>
      </w:r>
      <w:r>
        <w:rPr/>
        <w:t>tehlikeli</w:t>
      </w:r>
      <w:r>
        <w:rPr>
          <w:spacing w:val="-15"/>
        </w:rPr>
        <w:t> </w:t>
      </w:r>
      <w:r>
        <w:rPr/>
        <w:t>maddelere</w:t>
      </w:r>
      <w:r>
        <w:rPr>
          <w:spacing w:val="-17"/>
        </w:rPr>
        <w:t> </w:t>
      </w:r>
      <w:r>
        <w:rPr/>
        <w:t>müdahale</w:t>
      </w:r>
      <w:r>
        <w:rPr>
          <w:spacing w:val="-13"/>
        </w:rPr>
        <w:t> </w:t>
      </w:r>
      <w:r>
        <w:rPr/>
        <w:t>boyutu,</w:t>
      </w:r>
      <w:r>
        <w:rPr>
          <w:spacing w:val="-13"/>
        </w:rPr>
        <w:t> </w:t>
      </w:r>
      <w:r>
        <w:rPr/>
        <w:t>faktör</w:t>
      </w:r>
      <w:r>
        <w:rPr>
          <w:spacing w:val="-16"/>
        </w:rPr>
        <w:t> </w:t>
      </w:r>
      <w:r>
        <w:rPr/>
        <w:t>4</w:t>
      </w:r>
      <w:r>
        <w:rPr>
          <w:spacing w:val="-14"/>
        </w:rPr>
        <w:t> </w:t>
      </w:r>
      <w:r>
        <w:rPr/>
        <w:t>koordinasyon</w:t>
      </w:r>
      <w:r>
        <w:rPr>
          <w:spacing w:val="-16"/>
        </w:rPr>
        <w:t> </w:t>
      </w:r>
      <w:r>
        <w:rPr/>
        <w:t>boyutu, faktör 5 personel ve yönetici boyutu, faktör 6 liderlik ekip yönetimi, çalışma ve stres altında</w:t>
      </w:r>
      <w:r>
        <w:rPr>
          <w:spacing w:val="-5"/>
        </w:rPr>
        <w:t> </w:t>
      </w:r>
      <w:r>
        <w:rPr/>
        <w:t>çalışma</w:t>
      </w:r>
      <w:r>
        <w:rPr>
          <w:spacing w:val="-4"/>
        </w:rPr>
        <w:t> </w:t>
      </w:r>
      <w:r>
        <w:rPr/>
        <w:t>boyutu,</w:t>
      </w:r>
      <w:r>
        <w:rPr>
          <w:spacing w:val="-4"/>
        </w:rPr>
        <w:t> </w:t>
      </w:r>
      <w:r>
        <w:rPr/>
        <w:t>faktör</w:t>
      </w:r>
      <w:r>
        <w:rPr>
          <w:spacing w:val="-4"/>
        </w:rPr>
        <w:t> </w:t>
      </w:r>
      <w:r>
        <w:rPr/>
        <w:t>7</w:t>
      </w:r>
      <w:r>
        <w:rPr>
          <w:spacing w:val="-4"/>
        </w:rPr>
        <w:t> </w:t>
      </w:r>
      <w:r>
        <w:rPr/>
        <w:t>triaj,</w:t>
      </w:r>
      <w:r>
        <w:rPr>
          <w:spacing w:val="-4"/>
        </w:rPr>
        <w:t> </w:t>
      </w:r>
      <w:r>
        <w:rPr/>
        <w:t>kayıtlar</w:t>
      </w:r>
      <w:r>
        <w:rPr>
          <w:spacing w:val="-5"/>
        </w:rPr>
        <w:t> </w:t>
      </w:r>
      <w:r>
        <w:rPr/>
        <w:t>ve</w:t>
      </w:r>
      <w:r>
        <w:rPr>
          <w:spacing w:val="-6"/>
        </w:rPr>
        <w:t> </w:t>
      </w:r>
      <w:r>
        <w:rPr/>
        <w:t>özel</w:t>
      </w:r>
      <w:r>
        <w:rPr>
          <w:spacing w:val="-3"/>
        </w:rPr>
        <w:t> </w:t>
      </w:r>
      <w:r>
        <w:rPr/>
        <w:t>patolojiler</w:t>
      </w:r>
      <w:r>
        <w:rPr>
          <w:spacing w:val="-5"/>
        </w:rPr>
        <w:t> </w:t>
      </w:r>
      <w:r>
        <w:rPr/>
        <w:t>boyutu</w:t>
      </w:r>
      <w:r>
        <w:rPr>
          <w:spacing w:val="-4"/>
        </w:rPr>
        <w:t> </w:t>
      </w:r>
      <w:r>
        <w:rPr/>
        <w:t>ve</w:t>
      </w:r>
      <w:r>
        <w:rPr>
          <w:spacing w:val="-2"/>
        </w:rPr>
        <w:t> </w:t>
      </w:r>
      <w:r>
        <w:rPr/>
        <w:t>faktör</w:t>
      </w:r>
      <w:r>
        <w:rPr>
          <w:spacing w:val="-4"/>
        </w:rPr>
        <w:t> </w:t>
      </w:r>
      <w:r>
        <w:rPr/>
        <w:t>8</w:t>
      </w:r>
      <w:r>
        <w:rPr>
          <w:spacing w:val="-5"/>
        </w:rPr>
        <w:t> </w:t>
      </w:r>
      <w:r>
        <w:rPr/>
        <w:t>çevre sağlığı, ruh sağlığı ve toplum sağlığı hizmetleri boyutlarından</w:t>
      </w:r>
      <w:r>
        <w:rPr>
          <w:spacing w:val="-5"/>
        </w:rPr>
        <w:t> </w:t>
      </w:r>
      <w:r>
        <w:rPr/>
        <w:t>oluşmaktadır.</w:t>
      </w:r>
    </w:p>
    <w:p>
      <w:pPr>
        <w:pStyle w:val="BodyText"/>
        <w:spacing w:before="3"/>
        <w:rPr>
          <w:sz w:val="36"/>
        </w:rPr>
      </w:pPr>
    </w:p>
    <w:p>
      <w:pPr>
        <w:pStyle w:val="Heading1"/>
        <w:numPr>
          <w:ilvl w:val="1"/>
          <w:numId w:val="12"/>
        </w:numPr>
        <w:tabs>
          <w:tab w:pos="2377" w:val="left" w:leader="none"/>
        </w:tabs>
        <w:spacing w:line="240" w:lineRule="auto" w:before="0" w:after="0"/>
        <w:ind w:left="2376" w:right="0" w:hanging="540"/>
        <w:jc w:val="left"/>
      </w:pPr>
      <w:bookmarkStart w:name="_bookmark53" w:id="119"/>
      <w:bookmarkEnd w:id="119"/>
      <w:r>
        <w:rPr>
          <w:b w:val="0"/>
        </w:rPr>
      </w:r>
      <w:bookmarkStart w:name="_bookmark53" w:id="120"/>
      <w:bookmarkEnd w:id="120"/>
      <w:r>
        <w:rPr/>
        <w:t>B</w:t>
      </w:r>
      <w:r>
        <w:rPr/>
        <w:t>ulgular</w:t>
      </w:r>
    </w:p>
    <w:p>
      <w:pPr>
        <w:pStyle w:val="BodyText"/>
        <w:spacing w:line="360" w:lineRule="auto" w:before="135"/>
        <w:ind w:left="1128" w:right="612" w:firstLine="708"/>
        <w:jc w:val="both"/>
      </w:pPr>
      <w:r>
        <w:rPr/>
        <w:t>Bulgular kısmında yapılan ankette bulunan demografik bilgilerin ve soruların frekans analizleri üzerinde açıklamalar belirtilmiştir.</w:t>
      </w:r>
    </w:p>
    <w:p>
      <w:pPr>
        <w:pStyle w:val="BodyText"/>
        <w:spacing w:before="1"/>
        <w:ind w:left="1128"/>
      </w:pPr>
      <w:r>
        <w:rPr/>
        <w:t>Araştırma grubundaki kişilerin demografik verileri Tablo 4. 4’te</w:t>
      </w:r>
      <w:r>
        <w:rPr>
          <w:spacing w:val="-16"/>
        </w:rPr>
        <w:t> </w:t>
      </w:r>
      <w:r>
        <w:rPr/>
        <w:t>gösterilmiştir.</w:t>
      </w:r>
    </w:p>
    <w:p>
      <w:pPr>
        <w:pStyle w:val="BodyText"/>
        <w:rPr>
          <w:sz w:val="26"/>
        </w:rPr>
      </w:pPr>
    </w:p>
    <w:p>
      <w:pPr>
        <w:pStyle w:val="BodyText"/>
        <w:spacing w:before="11"/>
        <w:rPr>
          <w:sz w:val="25"/>
        </w:rPr>
      </w:pPr>
    </w:p>
    <w:p>
      <w:pPr>
        <w:pStyle w:val="Heading1"/>
        <w:ind w:left="2054"/>
      </w:pPr>
      <w:r>
        <w:rPr/>
        <w:t>Tablo 4. 4. Araştırma Grubundaki Kişilerin Demografik</w:t>
      </w:r>
      <w:r>
        <w:rPr>
          <w:spacing w:val="-16"/>
        </w:rPr>
        <w:t> </w:t>
      </w:r>
      <w:r>
        <w:rPr/>
        <w:t>Verileri</w:t>
      </w:r>
    </w:p>
    <w:p>
      <w:pPr>
        <w:pStyle w:val="BodyText"/>
        <w:spacing w:before="1"/>
        <w:rPr>
          <w:b/>
          <w:sz w:val="16"/>
        </w:rPr>
      </w:pPr>
    </w:p>
    <w:tbl>
      <w:tblPr>
        <w:tblW w:w="0" w:type="auto"/>
        <w:jc w:val="left"/>
        <w:tblInd w:w="11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22"/>
        <w:gridCol w:w="3033"/>
        <w:gridCol w:w="1354"/>
        <w:gridCol w:w="2192"/>
      </w:tblGrid>
      <w:tr>
        <w:trPr>
          <w:trHeight w:val="261" w:hRule="atLeast"/>
        </w:trPr>
        <w:tc>
          <w:tcPr>
            <w:tcW w:w="1922" w:type="dxa"/>
            <w:tcBorders>
              <w:top w:val="single" w:sz="4" w:space="0" w:color="000000"/>
              <w:bottom w:val="single" w:sz="4" w:space="0" w:color="000000"/>
            </w:tcBorders>
          </w:tcPr>
          <w:p>
            <w:pPr>
              <w:pStyle w:val="TableParagraph"/>
              <w:spacing w:line="241" w:lineRule="exact"/>
              <w:ind w:left="69"/>
              <w:rPr>
                <w:b/>
                <w:sz w:val="22"/>
              </w:rPr>
            </w:pPr>
            <w:r>
              <w:rPr>
                <w:b/>
                <w:sz w:val="22"/>
              </w:rPr>
              <w:t>Özellik</w:t>
            </w:r>
          </w:p>
        </w:tc>
        <w:tc>
          <w:tcPr>
            <w:tcW w:w="3033" w:type="dxa"/>
            <w:tcBorders>
              <w:top w:val="single" w:sz="4" w:space="0" w:color="000000"/>
              <w:bottom w:val="single" w:sz="4" w:space="0" w:color="000000"/>
            </w:tcBorders>
          </w:tcPr>
          <w:p>
            <w:pPr>
              <w:pStyle w:val="TableParagraph"/>
              <w:spacing w:line="241" w:lineRule="exact"/>
              <w:ind w:left="977"/>
              <w:rPr>
                <w:b/>
                <w:sz w:val="22"/>
              </w:rPr>
            </w:pPr>
            <w:r>
              <w:rPr>
                <w:b/>
                <w:sz w:val="22"/>
              </w:rPr>
              <w:t>Dağılım</w:t>
            </w:r>
          </w:p>
        </w:tc>
        <w:tc>
          <w:tcPr>
            <w:tcW w:w="1354" w:type="dxa"/>
            <w:tcBorders>
              <w:top w:val="single" w:sz="4" w:space="0" w:color="000000"/>
              <w:bottom w:val="single" w:sz="4" w:space="0" w:color="000000"/>
            </w:tcBorders>
          </w:tcPr>
          <w:p>
            <w:pPr>
              <w:pStyle w:val="TableParagraph"/>
              <w:spacing w:line="241" w:lineRule="exact"/>
              <w:ind w:left="346" w:right="564"/>
              <w:jc w:val="center"/>
              <w:rPr>
                <w:b/>
                <w:sz w:val="22"/>
              </w:rPr>
            </w:pPr>
            <w:r>
              <w:rPr>
                <w:b/>
                <w:sz w:val="22"/>
              </w:rPr>
              <w:t>Sayı</w:t>
            </w:r>
          </w:p>
        </w:tc>
        <w:tc>
          <w:tcPr>
            <w:tcW w:w="2192" w:type="dxa"/>
            <w:tcBorders>
              <w:top w:val="single" w:sz="4" w:space="0" w:color="000000"/>
              <w:bottom w:val="single" w:sz="4" w:space="0" w:color="000000"/>
            </w:tcBorders>
          </w:tcPr>
          <w:p>
            <w:pPr>
              <w:pStyle w:val="TableParagraph"/>
              <w:spacing w:line="241" w:lineRule="exact"/>
              <w:ind w:left="564" w:right="566"/>
              <w:jc w:val="center"/>
              <w:rPr>
                <w:b/>
                <w:sz w:val="22"/>
              </w:rPr>
            </w:pPr>
            <w:r>
              <w:rPr>
                <w:b/>
                <w:sz w:val="22"/>
              </w:rPr>
              <w:t>Yüzde (%)</w:t>
            </w:r>
          </w:p>
        </w:tc>
      </w:tr>
      <w:tr>
        <w:trPr>
          <w:trHeight w:val="255"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5" w:lineRule="exact"/>
              <w:ind w:left="1003" w:right="1329"/>
              <w:jc w:val="center"/>
              <w:rPr>
                <w:sz w:val="22"/>
              </w:rPr>
            </w:pPr>
            <w:r>
              <w:rPr>
                <w:sz w:val="22"/>
              </w:rPr>
              <w:t>18 – 24</w:t>
            </w:r>
          </w:p>
        </w:tc>
        <w:tc>
          <w:tcPr>
            <w:tcW w:w="1354" w:type="dxa"/>
            <w:tcBorders>
              <w:top w:val="single" w:sz="4" w:space="0" w:color="000000"/>
            </w:tcBorders>
          </w:tcPr>
          <w:p>
            <w:pPr>
              <w:pStyle w:val="TableParagraph"/>
              <w:spacing w:line="235" w:lineRule="exact"/>
              <w:ind w:left="343" w:right="564"/>
              <w:jc w:val="center"/>
              <w:rPr>
                <w:sz w:val="22"/>
              </w:rPr>
            </w:pPr>
            <w:r>
              <w:rPr>
                <w:sz w:val="22"/>
              </w:rPr>
              <w:t>27</w:t>
            </w:r>
          </w:p>
        </w:tc>
        <w:tc>
          <w:tcPr>
            <w:tcW w:w="2192" w:type="dxa"/>
            <w:tcBorders>
              <w:top w:val="single" w:sz="4" w:space="0" w:color="000000"/>
            </w:tcBorders>
          </w:tcPr>
          <w:p>
            <w:pPr>
              <w:pStyle w:val="TableParagraph"/>
              <w:spacing w:line="235" w:lineRule="exact"/>
              <w:ind w:left="564" w:right="565"/>
              <w:jc w:val="center"/>
              <w:rPr>
                <w:sz w:val="22"/>
              </w:rPr>
            </w:pPr>
            <w:r>
              <w:rPr>
                <w:sz w:val="22"/>
              </w:rPr>
              <w:t>25,7</w:t>
            </w:r>
          </w:p>
        </w:tc>
      </w:tr>
      <w:tr>
        <w:trPr>
          <w:trHeight w:val="265" w:hRule="atLeast"/>
        </w:trPr>
        <w:tc>
          <w:tcPr>
            <w:tcW w:w="1922" w:type="dxa"/>
          </w:tcPr>
          <w:p>
            <w:pPr>
              <w:pStyle w:val="TableParagraph"/>
              <w:spacing w:line="245" w:lineRule="exact"/>
              <w:ind w:left="69"/>
              <w:rPr>
                <w:b/>
                <w:sz w:val="22"/>
              </w:rPr>
            </w:pPr>
            <w:r>
              <w:rPr>
                <w:b/>
                <w:sz w:val="22"/>
              </w:rPr>
              <w:t>Yaş</w:t>
            </w:r>
          </w:p>
        </w:tc>
        <w:tc>
          <w:tcPr>
            <w:tcW w:w="3033" w:type="dxa"/>
          </w:tcPr>
          <w:p>
            <w:pPr>
              <w:pStyle w:val="TableParagraph"/>
              <w:spacing w:line="243" w:lineRule="exact" w:before="2"/>
              <w:ind w:left="999" w:right="1329"/>
              <w:jc w:val="center"/>
              <w:rPr>
                <w:sz w:val="22"/>
              </w:rPr>
            </w:pPr>
            <w:r>
              <w:rPr>
                <w:sz w:val="22"/>
              </w:rPr>
              <w:t>25 - 34</w:t>
            </w:r>
          </w:p>
        </w:tc>
        <w:tc>
          <w:tcPr>
            <w:tcW w:w="1354" w:type="dxa"/>
          </w:tcPr>
          <w:p>
            <w:pPr>
              <w:pStyle w:val="TableParagraph"/>
              <w:spacing w:line="243" w:lineRule="exact" w:before="2"/>
              <w:ind w:left="343" w:right="564"/>
              <w:jc w:val="center"/>
              <w:rPr>
                <w:sz w:val="22"/>
              </w:rPr>
            </w:pPr>
            <w:r>
              <w:rPr>
                <w:sz w:val="22"/>
              </w:rPr>
              <w:t>61</w:t>
            </w:r>
          </w:p>
        </w:tc>
        <w:tc>
          <w:tcPr>
            <w:tcW w:w="2192" w:type="dxa"/>
          </w:tcPr>
          <w:p>
            <w:pPr>
              <w:pStyle w:val="TableParagraph"/>
              <w:spacing w:line="243" w:lineRule="exact" w:before="2"/>
              <w:ind w:left="564" w:right="565"/>
              <w:jc w:val="center"/>
              <w:rPr>
                <w:sz w:val="22"/>
              </w:rPr>
            </w:pPr>
            <w:r>
              <w:rPr>
                <w:sz w:val="22"/>
              </w:rPr>
              <w:t>58,1</w:t>
            </w:r>
          </w:p>
        </w:tc>
      </w:tr>
      <w:tr>
        <w:trPr>
          <w:trHeight w:val="262" w:hRule="atLeast"/>
        </w:trPr>
        <w:tc>
          <w:tcPr>
            <w:tcW w:w="1922" w:type="dxa"/>
          </w:tcPr>
          <w:p>
            <w:pPr>
              <w:pStyle w:val="TableParagraph"/>
              <w:rPr>
                <w:sz w:val="18"/>
              </w:rPr>
            </w:pPr>
          </w:p>
        </w:tc>
        <w:tc>
          <w:tcPr>
            <w:tcW w:w="3033" w:type="dxa"/>
          </w:tcPr>
          <w:p>
            <w:pPr>
              <w:pStyle w:val="TableParagraph"/>
              <w:spacing w:line="242" w:lineRule="exact" w:before="1"/>
              <w:ind w:left="1003" w:right="1329"/>
              <w:jc w:val="center"/>
              <w:rPr>
                <w:sz w:val="22"/>
              </w:rPr>
            </w:pPr>
            <w:r>
              <w:rPr>
                <w:sz w:val="22"/>
              </w:rPr>
              <w:t>35 – 44</w:t>
            </w:r>
          </w:p>
        </w:tc>
        <w:tc>
          <w:tcPr>
            <w:tcW w:w="1354" w:type="dxa"/>
          </w:tcPr>
          <w:p>
            <w:pPr>
              <w:pStyle w:val="TableParagraph"/>
              <w:spacing w:line="242" w:lineRule="exact" w:before="1"/>
              <w:ind w:left="343" w:right="564"/>
              <w:jc w:val="center"/>
              <w:rPr>
                <w:sz w:val="22"/>
              </w:rPr>
            </w:pPr>
            <w:r>
              <w:rPr>
                <w:sz w:val="22"/>
              </w:rPr>
              <w:t>16</w:t>
            </w:r>
          </w:p>
        </w:tc>
        <w:tc>
          <w:tcPr>
            <w:tcW w:w="2192" w:type="dxa"/>
          </w:tcPr>
          <w:p>
            <w:pPr>
              <w:pStyle w:val="TableParagraph"/>
              <w:spacing w:line="242" w:lineRule="exact" w:before="1"/>
              <w:ind w:left="564" w:right="565"/>
              <w:jc w:val="center"/>
              <w:rPr>
                <w:sz w:val="22"/>
              </w:rPr>
            </w:pPr>
            <w:r>
              <w:rPr>
                <w:sz w:val="22"/>
              </w:rPr>
              <w:t>15,2</w:t>
            </w:r>
          </w:p>
        </w:tc>
      </w:tr>
      <w:tr>
        <w:trPr>
          <w:trHeight w:val="269" w:hRule="atLeast"/>
        </w:trPr>
        <w:tc>
          <w:tcPr>
            <w:tcW w:w="1922" w:type="dxa"/>
            <w:tcBorders>
              <w:bottom w:val="single" w:sz="4" w:space="0" w:color="000000"/>
            </w:tcBorders>
          </w:tcPr>
          <w:p>
            <w:pPr>
              <w:pStyle w:val="TableParagraph"/>
              <w:rPr>
                <w:sz w:val="20"/>
              </w:rPr>
            </w:pPr>
          </w:p>
        </w:tc>
        <w:tc>
          <w:tcPr>
            <w:tcW w:w="3033" w:type="dxa"/>
            <w:tcBorders>
              <w:bottom w:val="single" w:sz="4" w:space="0" w:color="000000"/>
            </w:tcBorders>
          </w:tcPr>
          <w:p>
            <w:pPr>
              <w:pStyle w:val="TableParagraph"/>
              <w:spacing w:line="250" w:lineRule="exact"/>
              <w:ind w:left="998" w:right="1329"/>
              <w:jc w:val="center"/>
              <w:rPr>
                <w:sz w:val="22"/>
              </w:rPr>
            </w:pPr>
            <w:r>
              <w:rPr>
                <w:sz w:val="22"/>
              </w:rPr>
              <w:t>45 -55</w:t>
            </w:r>
          </w:p>
        </w:tc>
        <w:tc>
          <w:tcPr>
            <w:tcW w:w="1354" w:type="dxa"/>
            <w:tcBorders>
              <w:bottom w:val="single" w:sz="4" w:space="0" w:color="000000"/>
            </w:tcBorders>
          </w:tcPr>
          <w:p>
            <w:pPr>
              <w:pStyle w:val="TableParagraph"/>
              <w:spacing w:line="250" w:lineRule="exact"/>
              <w:ind w:right="221"/>
              <w:jc w:val="center"/>
              <w:rPr>
                <w:sz w:val="22"/>
              </w:rPr>
            </w:pPr>
            <w:r>
              <w:rPr>
                <w:w w:val="100"/>
                <w:sz w:val="22"/>
              </w:rPr>
              <w:t>1</w:t>
            </w:r>
          </w:p>
        </w:tc>
        <w:tc>
          <w:tcPr>
            <w:tcW w:w="2192" w:type="dxa"/>
            <w:tcBorders>
              <w:bottom w:val="single" w:sz="4" w:space="0" w:color="000000"/>
            </w:tcBorders>
          </w:tcPr>
          <w:p>
            <w:pPr>
              <w:pStyle w:val="TableParagraph"/>
              <w:spacing w:line="250" w:lineRule="exact"/>
              <w:ind w:left="561" w:right="566"/>
              <w:jc w:val="center"/>
              <w:rPr>
                <w:sz w:val="22"/>
              </w:rPr>
            </w:pPr>
            <w:r>
              <w:rPr>
                <w:sz w:val="22"/>
              </w:rPr>
              <w:t>1,0</w:t>
            </w:r>
          </w:p>
        </w:tc>
      </w:tr>
      <w:tr>
        <w:trPr>
          <w:trHeight w:val="256"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7" w:lineRule="exact"/>
              <w:ind w:left="1003" w:right="1327"/>
              <w:jc w:val="center"/>
              <w:rPr>
                <w:sz w:val="22"/>
              </w:rPr>
            </w:pPr>
            <w:r>
              <w:rPr>
                <w:sz w:val="22"/>
              </w:rPr>
              <w:t>Kadın</w:t>
            </w:r>
          </w:p>
        </w:tc>
        <w:tc>
          <w:tcPr>
            <w:tcW w:w="1354" w:type="dxa"/>
            <w:tcBorders>
              <w:top w:val="single" w:sz="4" w:space="0" w:color="000000"/>
            </w:tcBorders>
          </w:tcPr>
          <w:p>
            <w:pPr>
              <w:pStyle w:val="TableParagraph"/>
              <w:spacing w:line="237" w:lineRule="exact"/>
              <w:ind w:left="343" w:right="564"/>
              <w:jc w:val="center"/>
              <w:rPr>
                <w:sz w:val="22"/>
              </w:rPr>
            </w:pPr>
            <w:r>
              <w:rPr>
                <w:sz w:val="22"/>
              </w:rPr>
              <w:t>50</w:t>
            </w:r>
          </w:p>
        </w:tc>
        <w:tc>
          <w:tcPr>
            <w:tcW w:w="2192" w:type="dxa"/>
            <w:tcBorders>
              <w:top w:val="single" w:sz="4" w:space="0" w:color="000000"/>
            </w:tcBorders>
          </w:tcPr>
          <w:p>
            <w:pPr>
              <w:pStyle w:val="TableParagraph"/>
              <w:spacing w:line="237" w:lineRule="exact"/>
              <w:ind w:left="564" w:right="565"/>
              <w:jc w:val="center"/>
              <w:rPr>
                <w:sz w:val="22"/>
              </w:rPr>
            </w:pPr>
            <w:r>
              <w:rPr>
                <w:sz w:val="22"/>
              </w:rPr>
              <w:t>47,6</w:t>
            </w:r>
          </w:p>
        </w:tc>
      </w:tr>
      <w:tr>
        <w:trPr>
          <w:trHeight w:val="268" w:hRule="atLeast"/>
        </w:trPr>
        <w:tc>
          <w:tcPr>
            <w:tcW w:w="1922" w:type="dxa"/>
            <w:tcBorders>
              <w:bottom w:val="single" w:sz="4" w:space="0" w:color="000000"/>
            </w:tcBorders>
          </w:tcPr>
          <w:p>
            <w:pPr>
              <w:pStyle w:val="TableParagraph"/>
              <w:spacing w:line="238" w:lineRule="exact" w:before="11"/>
              <w:ind w:left="69"/>
              <w:rPr>
                <w:b/>
                <w:sz w:val="22"/>
              </w:rPr>
            </w:pPr>
            <w:r>
              <w:rPr>
                <w:b/>
                <w:sz w:val="22"/>
              </w:rPr>
              <w:t>Cinsiyet</w:t>
            </w:r>
          </w:p>
        </w:tc>
        <w:tc>
          <w:tcPr>
            <w:tcW w:w="3033" w:type="dxa"/>
            <w:tcBorders>
              <w:bottom w:val="single" w:sz="4" w:space="0" w:color="000000"/>
            </w:tcBorders>
          </w:tcPr>
          <w:p>
            <w:pPr>
              <w:pStyle w:val="TableParagraph"/>
              <w:spacing w:line="248" w:lineRule="exact" w:before="1"/>
              <w:ind w:left="1000" w:right="1329"/>
              <w:jc w:val="center"/>
              <w:rPr>
                <w:sz w:val="22"/>
              </w:rPr>
            </w:pPr>
            <w:r>
              <w:rPr>
                <w:sz w:val="22"/>
              </w:rPr>
              <w:t>Erkek</w:t>
            </w:r>
          </w:p>
        </w:tc>
        <w:tc>
          <w:tcPr>
            <w:tcW w:w="1354" w:type="dxa"/>
            <w:tcBorders>
              <w:bottom w:val="single" w:sz="4" w:space="0" w:color="000000"/>
            </w:tcBorders>
          </w:tcPr>
          <w:p>
            <w:pPr>
              <w:pStyle w:val="TableParagraph"/>
              <w:spacing w:line="248" w:lineRule="exact" w:before="1"/>
              <w:ind w:left="343" w:right="564"/>
              <w:jc w:val="center"/>
              <w:rPr>
                <w:sz w:val="22"/>
              </w:rPr>
            </w:pPr>
            <w:r>
              <w:rPr>
                <w:sz w:val="22"/>
              </w:rPr>
              <w:t>55</w:t>
            </w:r>
          </w:p>
        </w:tc>
        <w:tc>
          <w:tcPr>
            <w:tcW w:w="2192" w:type="dxa"/>
            <w:tcBorders>
              <w:bottom w:val="single" w:sz="4" w:space="0" w:color="000000"/>
            </w:tcBorders>
          </w:tcPr>
          <w:p>
            <w:pPr>
              <w:pStyle w:val="TableParagraph"/>
              <w:spacing w:line="248" w:lineRule="exact" w:before="1"/>
              <w:ind w:left="564" w:right="565"/>
              <w:jc w:val="center"/>
              <w:rPr>
                <w:sz w:val="22"/>
              </w:rPr>
            </w:pPr>
            <w:r>
              <w:rPr>
                <w:sz w:val="22"/>
              </w:rPr>
              <w:t>52,4</w:t>
            </w:r>
          </w:p>
        </w:tc>
      </w:tr>
      <w:tr>
        <w:trPr>
          <w:trHeight w:val="256"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7" w:lineRule="exact"/>
              <w:ind w:left="814"/>
              <w:rPr>
                <w:sz w:val="22"/>
              </w:rPr>
            </w:pPr>
            <w:r>
              <w:rPr>
                <w:sz w:val="22"/>
              </w:rPr>
              <w:t>Ortaöğretim</w:t>
            </w:r>
          </w:p>
        </w:tc>
        <w:tc>
          <w:tcPr>
            <w:tcW w:w="1354" w:type="dxa"/>
            <w:tcBorders>
              <w:top w:val="single" w:sz="4" w:space="0" w:color="000000"/>
            </w:tcBorders>
          </w:tcPr>
          <w:p>
            <w:pPr>
              <w:pStyle w:val="TableParagraph"/>
              <w:spacing w:line="237" w:lineRule="exact"/>
              <w:ind w:left="343" w:right="564"/>
              <w:jc w:val="center"/>
              <w:rPr>
                <w:sz w:val="22"/>
              </w:rPr>
            </w:pPr>
            <w:r>
              <w:rPr>
                <w:sz w:val="22"/>
              </w:rPr>
              <w:t>23</w:t>
            </w:r>
          </w:p>
        </w:tc>
        <w:tc>
          <w:tcPr>
            <w:tcW w:w="2192" w:type="dxa"/>
            <w:tcBorders>
              <w:top w:val="single" w:sz="4" w:space="0" w:color="000000"/>
            </w:tcBorders>
          </w:tcPr>
          <w:p>
            <w:pPr>
              <w:pStyle w:val="TableParagraph"/>
              <w:spacing w:line="237" w:lineRule="exact"/>
              <w:ind w:left="564" w:right="565"/>
              <w:jc w:val="center"/>
              <w:rPr>
                <w:sz w:val="22"/>
              </w:rPr>
            </w:pPr>
            <w:r>
              <w:rPr>
                <w:sz w:val="22"/>
              </w:rPr>
              <w:t>21,9</w:t>
            </w:r>
          </w:p>
        </w:tc>
      </w:tr>
      <w:tr>
        <w:trPr>
          <w:trHeight w:val="264" w:hRule="atLeast"/>
        </w:trPr>
        <w:tc>
          <w:tcPr>
            <w:tcW w:w="1922" w:type="dxa"/>
          </w:tcPr>
          <w:p>
            <w:pPr>
              <w:pStyle w:val="TableParagraph"/>
              <w:rPr>
                <w:sz w:val="18"/>
              </w:rPr>
            </w:pPr>
          </w:p>
        </w:tc>
        <w:tc>
          <w:tcPr>
            <w:tcW w:w="3033" w:type="dxa"/>
          </w:tcPr>
          <w:p>
            <w:pPr>
              <w:pStyle w:val="TableParagraph"/>
              <w:spacing w:line="243" w:lineRule="exact" w:before="1"/>
              <w:ind w:left="939"/>
              <w:rPr>
                <w:sz w:val="22"/>
              </w:rPr>
            </w:pPr>
            <w:r>
              <w:rPr>
                <w:sz w:val="22"/>
              </w:rPr>
              <w:t>Ön lisans</w:t>
            </w:r>
          </w:p>
        </w:tc>
        <w:tc>
          <w:tcPr>
            <w:tcW w:w="1354" w:type="dxa"/>
          </w:tcPr>
          <w:p>
            <w:pPr>
              <w:pStyle w:val="TableParagraph"/>
              <w:spacing w:line="243" w:lineRule="exact" w:before="1"/>
              <w:ind w:left="343" w:right="564"/>
              <w:jc w:val="center"/>
              <w:rPr>
                <w:sz w:val="22"/>
              </w:rPr>
            </w:pPr>
            <w:r>
              <w:rPr>
                <w:sz w:val="22"/>
              </w:rPr>
              <w:t>47</w:t>
            </w:r>
          </w:p>
        </w:tc>
        <w:tc>
          <w:tcPr>
            <w:tcW w:w="2192" w:type="dxa"/>
          </w:tcPr>
          <w:p>
            <w:pPr>
              <w:pStyle w:val="TableParagraph"/>
              <w:spacing w:line="243" w:lineRule="exact" w:before="1"/>
              <w:ind w:left="564" w:right="565"/>
              <w:jc w:val="center"/>
              <w:rPr>
                <w:sz w:val="22"/>
              </w:rPr>
            </w:pPr>
            <w:r>
              <w:rPr>
                <w:sz w:val="22"/>
              </w:rPr>
              <w:t>44,8</w:t>
            </w:r>
          </w:p>
        </w:tc>
      </w:tr>
      <w:tr>
        <w:trPr>
          <w:trHeight w:val="257" w:hRule="atLeast"/>
        </w:trPr>
        <w:tc>
          <w:tcPr>
            <w:tcW w:w="1922" w:type="dxa"/>
            <w:vMerge w:val="restart"/>
            <w:tcBorders>
              <w:bottom w:val="single" w:sz="4" w:space="0" w:color="000000"/>
            </w:tcBorders>
          </w:tcPr>
          <w:p>
            <w:pPr>
              <w:pStyle w:val="TableParagraph"/>
              <w:spacing w:line="250" w:lineRule="atLeast" w:before="15"/>
              <w:ind w:left="69" w:right="989"/>
              <w:rPr>
                <w:b/>
                <w:sz w:val="22"/>
              </w:rPr>
            </w:pPr>
            <w:r>
              <w:rPr>
                <w:b/>
                <w:sz w:val="22"/>
              </w:rPr>
              <w:t>Öğrenim Durumu</w:t>
            </w:r>
          </w:p>
        </w:tc>
        <w:tc>
          <w:tcPr>
            <w:tcW w:w="3033" w:type="dxa"/>
          </w:tcPr>
          <w:p>
            <w:pPr>
              <w:pStyle w:val="TableParagraph"/>
              <w:spacing w:line="237" w:lineRule="exact" w:before="1"/>
              <w:ind w:left="1002" w:right="1329"/>
              <w:jc w:val="center"/>
              <w:rPr>
                <w:sz w:val="22"/>
              </w:rPr>
            </w:pPr>
            <w:r>
              <w:rPr>
                <w:sz w:val="22"/>
              </w:rPr>
              <w:t>Lisans</w:t>
            </w:r>
          </w:p>
        </w:tc>
        <w:tc>
          <w:tcPr>
            <w:tcW w:w="1354" w:type="dxa"/>
          </w:tcPr>
          <w:p>
            <w:pPr>
              <w:pStyle w:val="TableParagraph"/>
              <w:spacing w:line="237" w:lineRule="exact" w:before="1"/>
              <w:ind w:left="343" w:right="564"/>
              <w:jc w:val="center"/>
              <w:rPr>
                <w:sz w:val="22"/>
              </w:rPr>
            </w:pPr>
            <w:r>
              <w:rPr>
                <w:sz w:val="22"/>
              </w:rPr>
              <w:t>28</w:t>
            </w:r>
          </w:p>
        </w:tc>
        <w:tc>
          <w:tcPr>
            <w:tcW w:w="2192" w:type="dxa"/>
          </w:tcPr>
          <w:p>
            <w:pPr>
              <w:pStyle w:val="TableParagraph"/>
              <w:spacing w:line="237" w:lineRule="exact" w:before="1"/>
              <w:ind w:left="564" w:right="565"/>
              <w:jc w:val="center"/>
              <w:rPr>
                <w:sz w:val="22"/>
              </w:rPr>
            </w:pPr>
            <w:r>
              <w:rPr>
                <w:sz w:val="22"/>
              </w:rPr>
              <w:t>26,7</w:t>
            </w:r>
          </w:p>
        </w:tc>
      </w:tr>
      <w:tr>
        <w:trPr>
          <w:trHeight w:val="264" w:hRule="atLeast"/>
        </w:trPr>
        <w:tc>
          <w:tcPr>
            <w:tcW w:w="1922" w:type="dxa"/>
            <w:vMerge/>
            <w:tcBorders>
              <w:top w:val="nil"/>
              <w:bottom w:val="single" w:sz="4" w:space="0" w:color="000000"/>
            </w:tcBorders>
          </w:tcPr>
          <w:p>
            <w:pPr>
              <w:rPr>
                <w:sz w:val="2"/>
                <w:szCs w:val="2"/>
              </w:rPr>
            </w:pPr>
          </w:p>
        </w:tc>
        <w:tc>
          <w:tcPr>
            <w:tcW w:w="3033" w:type="dxa"/>
            <w:tcBorders>
              <w:bottom w:val="single" w:sz="4" w:space="0" w:color="000000"/>
            </w:tcBorders>
          </w:tcPr>
          <w:p>
            <w:pPr>
              <w:pStyle w:val="TableParagraph"/>
              <w:spacing w:line="245" w:lineRule="exact"/>
              <w:ind w:left="881"/>
              <w:rPr>
                <w:sz w:val="22"/>
              </w:rPr>
            </w:pPr>
            <w:r>
              <w:rPr>
                <w:sz w:val="22"/>
              </w:rPr>
              <w:t>Lisansüstü</w:t>
            </w:r>
          </w:p>
        </w:tc>
        <w:tc>
          <w:tcPr>
            <w:tcW w:w="1354" w:type="dxa"/>
            <w:tcBorders>
              <w:bottom w:val="single" w:sz="4" w:space="0" w:color="000000"/>
            </w:tcBorders>
          </w:tcPr>
          <w:p>
            <w:pPr>
              <w:pStyle w:val="TableParagraph"/>
              <w:spacing w:line="245" w:lineRule="exact"/>
              <w:ind w:right="221"/>
              <w:jc w:val="center"/>
              <w:rPr>
                <w:sz w:val="22"/>
              </w:rPr>
            </w:pPr>
            <w:r>
              <w:rPr>
                <w:w w:val="100"/>
                <w:sz w:val="22"/>
              </w:rPr>
              <w:t>7</w:t>
            </w:r>
          </w:p>
        </w:tc>
        <w:tc>
          <w:tcPr>
            <w:tcW w:w="2192" w:type="dxa"/>
            <w:tcBorders>
              <w:bottom w:val="single" w:sz="4" w:space="0" w:color="000000"/>
            </w:tcBorders>
          </w:tcPr>
          <w:p>
            <w:pPr>
              <w:pStyle w:val="TableParagraph"/>
              <w:spacing w:line="245" w:lineRule="exact"/>
              <w:ind w:left="561" w:right="566"/>
              <w:jc w:val="center"/>
              <w:rPr>
                <w:sz w:val="22"/>
              </w:rPr>
            </w:pPr>
            <w:r>
              <w:rPr>
                <w:sz w:val="22"/>
              </w:rPr>
              <w:t>6,7</w:t>
            </w:r>
          </w:p>
        </w:tc>
      </w:tr>
      <w:tr>
        <w:trPr>
          <w:trHeight w:val="252"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3" w:lineRule="exact"/>
              <w:ind w:left="591"/>
              <w:rPr>
                <w:sz w:val="22"/>
              </w:rPr>
            </w:pPr>
            <w:r>
              <w:rPr>
                <w:sz w:val="22"/>
              </w:rPr>
              <w:t>Birim Sorumlusu</w:t>
            </w:r>
          </w:p>
        </w:tc>
        <w:tc>
          <w:tcPr>
            <w:tcW w:w="1354" w:type="dxa"/>
            <w:tcBorders>
              <w:top w:val="single" w:sz="4" w:space="0" w:color="000000"/>
            </w:tcBorders>
          </w:tcPr>
          <w:p>
            <w:pPr>
              <w:pStyle w:val="TableParagraph"/>
              <w:spacing w:line="233" w:lineRule="exact"/>
              <w:ind w:right="221"/>
              <w:jc w:val="center"/>
              <w:rPr>
                <w:sz w:val="22"/>
              </w:rPr>
            </w:pPr>
            <w:r>
              <w:rPr>
                <w:w w:val="100"/>
                <w:sz w:val="22"/>
              </w:rPr>
              <w:t>9</w:t>
            </w:r>
          </w:p>
        </w:tc>
        <w:tc>
          <w:tcPr>
            <w:tcW w:w="2192" w:type="dxa"/>
            <w:tcBorders>
              <w:top w:val="single" w:sz="4" w:space="0" w:color="000000"/>
            </w:tcBorders>
          </w:tcPr>
          <w:p>
            <w:pPr>
              <w:pStyle w:val="TableParagraph"/>
              <w:spacing w:line="233" w:lineRule="exact"/>
              <w:ind w:left="561" w:right="566"/>
              <w:jc w:val="center"/>
              <w:rPr>
                <w:sz w:val="22"/>
              </w:rPr>
            </w:pPr>
            <w:r>
              <w:rPr>
                <w:sz w:val="22"/>
              </w:rPr>
              <w:t>8,6</w:t>
            </w:r>
          </w:p>
        </w:tc>
      </w:tr>
      <w:tr>
        <w:trPr>
          <w:trHeight w:val="260" w:hRule="atLeast"/>
        </w:trPr>
        <w:tc>
          <w:tcPr>
            <w:tcW w:w="1922" w:type="dxa"/>
            <w:vMerge w:val="restart"/>
            <w:tcBorders>
              <w:bottom w:val="single" w:sz="4" w:space="0" w:color="000000"/>
            </w:tcBorders>
          </w:tcPr>
          <w:p>
            <w:pPr>
              <w:pStyle w:val="TableParagraph"/>
              <w:spacing w:line="242" w:lineRule="auto"/>
              <w:ind w:left="69" w:right="720"/>
              <w:rPr>
                <w:b/>
                <w:sz w:val="22"/>
              </w:rPr>
            </w:pPr>
            <w:r>
              <w:rPr>
                <w:b/>
                <w:sz w:val="22"/>
              </w:rPr>
              <w:t>Kurumdaki Görev</w:t>
            </w:r>
          </w:p>
        </w:tc>
        <w:tc>
          <w:tcPr>
            <w:tcW w:w="3033" w:type="dxa"/>
          </w:tcPr>
          <w:p>
            <w:pPr>
              <w:pStyle w:val="TableParagraph"/>
              <w:spacing w:line="238" w:lineRule="exact" w:before="2"/>
              <w:ind w:left="651"/>
              <w:rPr>
                <w:sz w:val="22"/>
              </w:rPr>
            </w:pPr>
            <w:r>
              <w:rPr>
                <w:sz w:val="22"/>
              </w:rPr>
              <w:t>Kurum Çalışanı</w:t>
            </w:r>
          </w:p>
        </w:tc>
        <w:tc>
          <w:tcPr>
            <w:tcW w:w="1354" w:type="dxa"/>
          </w:tcPr>
          <w:p>
            <w:pPr>
              <w:pStyle w:val="TableParagraph"/>
              <w:spacing w:line="238" w:lineRule="exact" w:before="2"/>
              <w:ind w:left="343" w:right="564"/>
              <w:jc w:val="center"/>
              <w:rPr>
                <w:sz w:val="22"/>
              </w:rPr>
            </w:pPr>
            <w:r>
              <w:rPr>
                <w:sz w:val="22"/>
              </w:rPr>
              <w:t>69</w:t>
            </w:r>
          </w:p>
        </w:tc>
        <w:tc>
          <w:tcPr>
            <w:tcW w:w="2192" w:type="dxa"/>
          </w:tcPr>
          <w:p>
            <w:pPr>
              <w:pStyle w:val="TableParagraph"/>
              <w:spacing w:line="238" w:lineRule="exact" w:before="2"/>
              <w:ind w:left="564" w:right="565"/>
              <w:jc w:val="center"/>
              <w:rPr>
                <w:sz w:val="22"/>
              </w:rPr>
            </w:pPr>
            <w:r>
              <w:rPr>
                <w:sz w:val="22"/>
              </w:rPr>
              <w:t>65,7</w:t>
            </w:r>
          </w:p>
        </w:tc>
      </w:tr>
      <w:tr>
        <w:trPr>
          <w:trHeight w:val="508" w:hRule="atLeast"/>
        </w:trPr>
        <w:tc>
          <w:tcPr>
            <w:tcW w:w="1922" w:type="dxa"/>
            <w:vMerge/>
            <w:tcBorders>
              <w:top w:val="nil"/>
              <w:bottom w:val="single" w:sz="4" w:space="0" w:color="000000"/>
            </w:tcBorders>
          </w:tcPr>
          <w:p>
            <w:pPr>
              <w:rPr>
                <w:sz w:val="2"/>
                <w:szCs w:val="2"/>
              </w:rPr>
            </w:pPr>
          </w:p>
        </w:tc>
        <w:tc>
          <w:tcPr>
            <w:tcW w:w="3033" w:type="dxa"/>
            <w:tcBorders>
              <w:bottom w:val="single" w:sz="4" w:space="0" w:color="000000"/>
            </w:tcBorders>
          </w:tcPr>
          <w:p>
            <w:pPr>
              <w:pStyle w:val="TableParagraph"/>
              <w:spacing w:line="252" w:lineRule="exact"/>
              <w:ind w:left="843" w:right="680" w:hanging="478"/>
              <w:rPr>
                <w:sz w:val="22"/>
              </w:rPr>
            </w:pPr>
            <w:r>
              <w:rPr>
                <w:sz w:val="22"/>
              </w:rPr>
              <w:t>Diğer (Hemşire, ATT, Paramedik)</w:t>
            </w:r>
          </w:p>
        </w:tc>
        <w:tc>
          <w:tcPr>
            <w:tcW w:w="1354" w:type="dxa"/>
            <w:tcBorders>
              <w:bottom w:val="single" w:sz="4" w:space="0" w:color="000000"/>
            </w:tcBorders>
          </w:tcPr>
          <w:p>
            <w:pPr>
              <w:pStyle w:val="TableParagraph"/>
              <w:spacing w:line="249" w:lineRule="exact"/>
              <w:ind w:left="343" w:right="564"/>
              <w:jc w:val="center"/>
              <w:rPr>
                <w:sz w:val="22"/>
              </w:rPr>
            </w:pPr>
            <w:r>
              <w:rPr>
                <w:sz w:val="22"/>
              </w:rPr>
              <w:t>27</w:t>
            </w:r>
          </w:p>
        </w:tc>
        <w:tc>
          <w:tcPr>
            <w:tcW w:w="2192" w:type="dxa"/>
            <w:tcBorders>
              <w:bottom w:val="single" w:sz="4" w:space="0" w:color="000000"/>
            </w:tcBorders>
          </w:tcPr>
          <w:p>
            <w:pPr>
              <w:pStyle w:val="TableParagraph"/>
              <w:spacing w:line="249" w:lineRule="exact"/>
              <w:ind w:left="564" w:right="565"/>
              <w:jc w:val="center"/>
              <w:rPr>
                <w:sz w:val="22"/>
              </w:rPr>
            </w:pPr>
            <w:r>
              <w:rPr>
                <w:sz w:val="22"/>
              </w:rPr>
              <w:t>25,7</w:t>
            </w:r>
          </w:p>
        </w:tc>
      </w:tr>
      <w:tr>
        <w:trPr>
          <w:trHeight w:val="256"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7" w:lineRule="exact"/>
              <w:ind w:left="1002" w:right="1329"/>
              <w:jc w:val="center"/>
              <w:rPr>
                <w:sz w:val="22"/>
              </w:rPr>
            </w:pPr>
            <w:r>
              <w:rPr>
                <w:sz w:val="22"/>
              </w:rPr>
              <w:t>Doktor</w:t>
            </w:r>
          </w:p>
        </w:tc>
        <w:tc>
          <w:tcPr>
            <w:tcW w:w="1354" w:type="dxa"/>
            <w:tcBorders>
              <w:top w:val="single" w:sz="4" w:space="0" w:color="000000"/>
            </w:tcBorders>
          </w:tcPr>
          <w:p>
            <w:pPr>
              <w:pStyle w:val="TableParagraph"/>
              <w:spacing w:line="237" w:lineRule="exact"/>
              <w:ind w:right="221"/>
              <w:jc w:val="center"/>
              <w:rPr>
                <w:sz w:val="22"/>
              </w:rPr>
            </w:pPr>
            <w:r>
              <w:rPr>
                <w:w w:val="100"/>
                <w:sz w:val="22"/>
              </w:rPr>
              <w:t>3</w:t>
            </w:r>
          </w:p>
        </w:tc>
        <w:tc>
          <w:tcPr>
            <w:tcW w:w="2192" w:type="dxa"/>
            <w:tcBorders>
              <w:top w:val="single" w:sz="4" w:space="0" w:color="000000"/>
            </w:tcBorders>
          </w:tcPr>
          <w:p>
            <w:pPr>
              <w:pStyle w:val="TableParagraph"/>
              <w:spacing w:line="237" w:lineRule="exact"/>
              <w:ind w:left="561" w:right="566"/>
              <w:jc w:val="center"/>
              <w:rPr>
                <w:sz w:val="22"/>
              </w:rPr>
            </w:pPr>
            <w:r>
              <w:rPr>
                <w:sz w:val="22"/>
              </w:rPr>
              <w:t>2,9</w:t>
            </w:r>
          </w:p>
        </w:tc>
      </w:tr>
      <w:tr>
        <w:trPr>
          <w:trHeight w:val="255" w:hRule="atLeast"/>
        </w:trPr>
        <w:tc>
          <w:tcPr>
            <w:tcW w:w="1922" w:type="dxa"/>
          </w:tcPr>
          <w:p>
            <w:pPr>
              <w:pStyle w:val="TableParagraph"/>
              <w:rPr>
                <w:sz w:val="18"/>
              </w:rPr>
            </w:pPr>
          </w:p>
        </w:tc>
        <w:tc>
          <w:tcPr>
            <w:tcW w:w="3033" w:type="dxa"/>
          </w:tcPr>
          <w:p>
            <w:pPr>
              <w:pStyle w:val="TableParagraph"/>
              <w:spacing w:line="234" w:lineRule="exact" w:before="1"/>
              <w:ind w:left="893"/>
              <w:rPr>
                <w:sz w:val="22"/>
              </w:rPr>
            </w:pPr>
            <w:r>
              <w:rPr>
                <w:sz w:val="22"/>
              </w:rPr>
              <w:t>Teknisyen</w:t>
            </w:r>
          </w:p>
        </w:tc>
        <w:tc>
          <w:tcPr>
            <w:tcW w:w="1354" w:type="dxa"/>
          </w:tcPr>
          <w:p>
            <w:pPr>
              <w:pStyle w:val="TableParagraph"/>
              <w:spacing w:line="234" w:lineRule="exact" w:before="1"/>
              <w:ind w:left="343" w:right="564"/>
              <w:jc w:val="center"/>
              <w:rPr>
                <w:sz w:val="22"/>
              </w:rPr>
            </w:pPr>
            <w:r>
              <w:rPr>
                <w:sz w:val="22"/>
              </w:rPr>
              <w:t>82</w:t>
            </w:r>
          </w:p>
        </w:tc>
        <w:tc>
          <w:tcPr>
            <w:tcW w:w="2192" w:type="dxa"/>
          </w:tcPr>
          <w:p>
            <w:pPr>
              <w:pStyle w:val="TableParagraph"/>
              <w:spacing w:line="234" w:lineRule="exact" w:before="1"/>
              <w:ind w:left="564" w:right="565"/>
              <w:jc w:val="center"/>
              <w:rPr>
                <w:sz w:val="22"/>
              </w:rPr>
            </w:pPr>
            <w:r>
              <w:rPr>
                <w:sz w:val="22"/>
              </w:rPr>
              <w:t>78,1</w:t>
            </w:r>
          </w:p>
        </w:tc>
      </w:tr>
      <w:tr>
        <w:trPr>
          <w:trHeight w:val="326" w:hRule="atLeast"/>
        </w:trPr>
        <w:tc>
          <w:tcPr>
            <w:tcW w:w="1922" w:type="dxa"/>
          </w:tcPr>
          <w:p>
            <w:pPr>
              <w:pStyle w:val="TableParagraph"/>
              <w:spacing w:line="246" w:lineRule="exact"/>
              <w:ind w:left="69"/>
              <w:rPr>
                <w:b/>
                <w:sz w:val="22"/>
              </w:rPr>
            </w:pPr>
            <w:r>
              <w:rPr>
                <w:b/>
                <w:sz w:val="22"/>
              </w:rPr>
              <w:t>Meslek</w:t>
            </w:r>
          </w:p>
        </w:tc>
        <w:tc>
          <w:tcPr>
            <w:tcW w:w="3033" w:type="dxa"/>
          </w:tcPr>
          <w:p>
            <w:pPr>
              <w:pStyle w:val="TableParagraph"/>
              <w:spacing w:before="7"/>
              <w:ind w:left="977"/>
              <w:rPr>
                <w:sz w:val="22"/>
              </w:rPr>
            </w:pPr>
            <w:r>
              <w:rPr>
                <w:sz w:val="22"/>
              </w:rPr>
              <w:t>Hemşire</w:t>
            </w:r>
          </w:p>
        </w:tc>
        <w:tc>
          <w:tcPr>
            <w:tcW w:w="1354" w:type="dxa"/>
          </w:tcPr>
          <w:p>
            <w:pPr>
              <w:pStyle w:val="TableParagraph"/>
              <w:spacing w:before="7"/>
              <w:ind w:right="221"/>
              <w:jc w:val="center"/>
              <w:rPr>
                <w:sz w:val="22"/>
              </w:rPr>
            </w:pPr>
            <w:r>
              <w:rPr>
                <w:w w:val="100"/>
                <w:sz w:val="22"/>
              </w:rPr>
              <w:t>6</w:t>
            </w:r>
          </w:p>
        </w:tc>
        <w:tc>
          <w:tcPr>
            <w:tcW w:w="2192" w:type="dxa"/>
          </w:tcPr>
          <w:p>
            <w:pPr>
              <w:pStyle w:val="TableParagraph"/>
              <w:spacing w:before="7"/>
              <w:ind w:left="561" w:right="566"/>
              <w:jc w:val="center"/>
              <w:rPr>
                <w:sz w:val="22"/>
              </w:rPr>
            </w:pPr>
            <w:r>
              <w:rPr>
                <w:sz w:val="22"/>
              </w:rPr>
              <w:t>5,7</w:t>
            </w:r>
          </w:p>
        </w:tc>
      </w:tr>
      <w:tr>
        <w:trPr>
          <w:trHeight w:val="325" w:hRule="atLeast"/>
        </w:trPr>
        <w:tc>
          <w:tcPr>
            <w:tcW w:w="1922" w:type="dxa"/>
            <w:tcBorders>
              <w:bottom w:val="single" w:sz="4" w:space="0" w:color="000000"/>
            </w:tcBorders>
          </w:tcPr>
          <w:p>
            <w:pPr>
              <w:pStyle w:val="TableParagraph"/>
              <w:rPr>
                <w:sz w:val="22"/>
              </w:rPr>
            </w:pPr>
          </w:p>
        </w:tc>
        <w:tc>
          <w:tcPr>
            <w:tcW w:w="3033" w:type="dxa"/>
            <w:tcBorders>
              <w:bottom w:val="single" w:sz="4" w:space="0" w:color="000000"/>
            </w:tcBorders>
          </w:tcPr>
          <w:p>
            <w:pPr>
              <w:pStyle w:val="TableParagraph"/>
              <w:spacing w:line="248" w:lineRule="exact" w:before="57"/>
              <w:ind w:left="689"/>
              <w:rPr>
                <w:sz w:val="22"/>
              </w:rPr>
            </w:pPr>
            <w:r>
              <w:rPr>
                <w:sz w:val="22"/>
              </w:rPr>
              <w:t>Diğer (Sürücü)</w:t>
            </w:r>
          </w:p>
        </w:tc>
        <w:tc>
          <w:tcPr>
            <w:tcW w:w="1354" w:type="dxa"/>
            <w:tcBorders>
              <w:bottom w:val="single" w:sz="4" w:space="0" w:color="000000"/>
            </w:tcBorders>
          </w:tcPr>
          <w:p>
            <w:pPr>
              <w:pStyle w:val="TableParagraph"/>
              <w:spacing w:line="248" w:lineRule="exact" w:before="57"/>
              <w:ind w:left="343" w:right="564"/>
              <w:jc w:val="center"/>
              <w:rPr>
                <w:sz w:val="22"/>
              </w:rPr>
            </w:pPr>
            <w:r>
              <w:rPr>
                <w:sz w:val="22"/>
              </w:rPr>
              <w:t>14</w:t>
            </w:r>
          </w:p>
        </w:tc>
        <w:tc>
          <w:tcPr>
            <w:tcW w:w="2192" w:type="dxa"/>
            <w:tcBorders>
              <w:bottom w:val="single" w:sz="4" w:space="0" w:color="000000"/>
            </w:tcBorders>
          </w:tcPr>
          <w:p>
            <w:pPr>
              <w:pStyle w:val="TableParagraph"/>
              <w:spacing w:line="248" w:lineRule="exact" w:before="57"/>
              <w:ind w:left="564" w:right="565"/>
              <w:jc w:val="center"/>
              <w:rPr>
                <w:sz w:val="22"/>
              </w:rPr>
            </w:pPr>
            <w:r>
              <w:rPr>
                <w:sz w:val="22"/>
              </w:rPr>
              <w:t>13,3</w:t>
            </w:r>
          </w:p>
        </w:tc>
      </w:tr>
      <w:tr>
        <w:trPr>
          <w:trHeight w:val="255" w:hRule="atLeast"/>
        </w:trPr>
        <w:tc>
          <w:tcPr>
            <w:tcW w:w="1922" w:type="dxa"/>
            <w:tcBorders>
              <w:top w:val="single" w:sz="4" w:space="0" w:color="000000"/>
            </w:tcBorders>
          </w:tcPr>
          <w:p>
            <w:pPr>
              <w:pStyle w:val="TableParagraph"/>
              <w:rPr>
                <w:sz w:val="18"/>
              </w:rPr>
            </w:pPr>
          </w:p>
        </w:tc>
        <w:tc>
          <w:tcPr>
            <w:tcW w:w="3033" w:type="dxa"/>
            <w:tcBorders>
              <w:top w:val="single" w:sz="4" w:space="0" w:color="000000"/>
            </w:tcBorders>
          </w:tcPr>
          <w:p>
            <w:pPr>
              <w:pStyle w:val="TableParagraph"/>
              <w:spacing w:line="236" w:lineRule="exact"/>
              <w:ind w:left="452"/>
              <w:rPr>
                <w:sz w:val="22"/>
              </w:rPr>
            </w:pPr>
            <w:r>
              <w:rPr>
                <w:sz w:val="22"/>
              </w:rPr>
              <w:t>İl Sağlık Müdürlüğü</w:t>
            </w:r>
          </w:p>
        </w:tc>
        <w:tc>
          <w:tcPr>
            <w:tcW w:w="1354" w:type="dxa"/>
            <w:tcBorders>
              <w:top w:val="single" w:sz="4" w:space="0" w:color="000000"/>
            </w:tcBorders>
          </w:tcPr>
          <w:p>
            <w:pPr>
              <w:pStyle w:val="TableParagraph"/>
              <w:spacing w:line="236" w:lineRule="exact"/>
              <w:ind w:left="343" w:right="564"/>
              <w:jc w:val="center"/>
              <w:rPr>
                <w:sz w:val="22"/>
              </w:rPr>
            </w:pPr>
            <w:r>
              <w:rPr>
                <w:sz w:val="22"/>
              </w:rPr>
              <w:t>11</w:t>
            </w:r>
          </w:p>
        </w:tc>
        <w:tc>
          <w:tcPr>
            <w:tcW w:w="2192" w:type="dxa"/>
            <w:tcBorders>
              <w:top w:val="single" w:sz="4" w:space="0" w:color="000000"/>
            </w:tcBorders>
          </w:tcPr>
          <w:p>
            <w:pPr>
              <w:pStyle w:val="TableParagraph"/>
              <w:spacing w:line="236" w:lineRule="exact"/>
              <w:ind w:left="564" w:right="565"/>
              <w:jc w:val="center"/>
              <w:rPr>
                <w:sz w:val="22"/>
              </w:rPr>
            </w:pPr>
            <w:r>
              <w:rPr>
                <w:sz w:val="22"/>
              </w:rPr>
              <w:t>10,5</w:t>
            </w:r>
          </w:p>
        </w:tc>
      </w:tr>
      <w:tr>
        <w:trPr>
          <w:trHeight w:val="358" w:hRule="atLeast"/>
        </w:trPr>
        <w:tc>
          <w:tcPr>
            <w:tcW w:w="1922" w:type="dxa"/>
          </w:tcPr>
          <w:p>
            <w:pPr>
              <w:pStyle w:val="TableParagraph"/>
              <w:spacing w:line="250" w:lineRule="exact"/>
              <w:ind w:left="69"/>
              <w:rPr>
                <w:b/>
                <w:sz w:val="22"/>
              </w:rPr>
            </w:pPr>
            <w:r>
              <w:rPr>
                <w:b/>
                <w:sz w:val="22"/>
              </w:rPr>
              <w:t>Çalıştığı kurum</w:t>
            </w:r>
          </w:p>
        </w:tc>
        <w:tc>
          <w:tcPr>
            <w:tcW w:w="3033" w:type="dxa"/>
          </w:tcPr>
          <w:p>
            <w:pPr>
              <w:pStyle w:val="TableParagraph"/>
              <w:spacing w:before="2"/>
              <w:ind w:left="603"/>
              <w:rPr>
                <w:sz w:val="22"/>
              </w:rPr>
            </w:pPr>
            <w:r>
              <w:rPr>
                <w:sz w:val="22"/>
              </w:rPr>
              <w:t>Devlet Hastanesi</w:t>
            </w:r>
          </w:p>
        </w:tc>
        <w:tc>
          <w:tcPr>
            <w:tcW w:w="1354" w:type="dxa"/>
          </w:tcPr>
          <w:p>
            <w:pPr>
              <w:pStyle w:val="TableParagraph"/>
              <w:spacing w:before="2"/>
              <w:ind w:left="343" w:right="564"/>
              <w:jc w:val="center"/>
              <w:rPr>
                <w:sz w:val="22"/>
              </w:rPr>
            </w:pPr>
            <w:r>
              <w:rPr>
                <w:sz w:val="22"/>
              </w:rPr>
              <w:t>11</w:t>
            </w:r>
          </w:p>
        </w:tc>
        <w:tc>
          <w:tcPr>
            <w:tcW w:w="2192" w:type="dxa"/>
          </w:tcPr>
          <w:p>
            <w:pPr>
              <w:pStyle w:val="TableParagraph"/>
              <w:spacing w:before="2"/>
              <w:ind w:left="564" w:right="565"/>
              <w:jc w:val="center"/>
              <w:rPr>
                <w:sz w:val="22"/>
              </w:rPr>
            </w:pPr>
            <w:r>
              <w:rPr>
                <w:sz w:val="22"/>
              </w:rPr>
              <w:t>10,5</w:t>
            </w:r>
          </w:p>
        </w:tc>
      </w:tr>
      <w:tr>
        <w:trPr>
          <w:trHeight w:val="364" w:hRule="atLeast"/>
        </w:trPr>
        <w:tc>
          <w:tcPr>
            <w:tcW w:w="1922" w:type="dxa"/>
            <w:tcBorders>
              <w:bottom w:val="single" w:sz="4" w:space="0" w:color="000000"/>
            </w:tcBorders>
          </w:tcPr>
          <w:p>
            <w:pPr>
              <w:pStyle w:val="TableParagraph"/>
              <w:rPr>
                <w:sz w:val="22"/>
              </w:rPr>
            </w:pPr>
          </w:p>
        </w:tc>
        <w:tc>
          <w:tcPr>
            <w:tcW w:w="3033" w:type="dxa"/>
            <w:tcBorders>
              <w:bottom w:val="single" w:sz="4" w:space="0" w:color="000000"/>
            </w:tcBorders>
          </w:tcPr>
          <w:p>
            <w:pPr>
              <w:pStyle w:val="TableParagraph"/>
              <w:spacing w:line="250" w:lineRule="exact" w:before="94"/>
              <w:ind w:left="291"/>
              <w:rPr>
                <w:sz w:val="22"/>
              </w:rPr>
            </w:pPr>
            <w:r>
              <w:rPr>
                <w:sz w:val="22"/>
              </w:rPr>
              <w:t>112 Acil Sağlık Hizmetleri</w:t>
            </w:r>
          </w:p>
        </w:tc>
        <w:tc>
          <w:tcPr>
            <w:tcW w:w="1354" w:type="dxa"/>
            <w:tcBorders>
              <w:bottom w:val="single" w:sz="4" w:space="0" w:color="000000"/>
            </w:tcBorders>
          </w:tcPr>
          <w:p>
            <w:pPr>
              <w:pStyle w:val="TableParagraph"/>
              <w:spacing w:line="250" w:lineRule="exact" w:before="94"/>
              <w:ind w:left="343" w:right="564"/>
              <w:jc w:val="center"/>
              <w:rPr>
                <w:sz w:val="22"/>
              </w:rPr>
            </w:pPr>
            <w:r>
              <w:rPr>
                <w:sz w:val="22"/>
              </w:rPr>
              <w:t>83</w:t>
            </w:r>
          </w:p>
        </w:tc>
        <w:tc>
          <w:tcPr>
            <w:tcW w:w="2192" w:type="dxa"/>
            <w:tcBorders>
              <w:bottom w:val="single" w:sz="4" w:space="0" w:color="000000"/>
            </w:tcBorders>
          </w:tcPr>
          <w:p>
            <w:pPr>
              <w:pStyle w:val="TableParagraph"/>
              <w:spacing w:line="250" w:lineRule="exact" w:before="94"/>
              <w:ind w:left="564" w:right="565"/>
              <w:jc w:val="center"/>
              <w:rPr>
                <w:sz w:val="22"/>
              </w:rPr>
            </w:pPr>
            <w:r>
              <w:rPr>
                <w:sz w:val="22"/>
              </w:rPr>
              <w:t>79,0</w:t>
            </w:r>
          </w:p>
        </w:tc>
      </w:tr>
      <w:tr>
        <w:trPr>
          <w:trHeight w:val="263" w:hRule="atLeast"/>
        </w:trPr>
        <w:tc>
          <w:tcPr>
            <w:tcW w:w="1922" w:type="dxa"/>
            <w:tcBorders>
              <w:top w:val="single" w:sz="4" w:space="0" w:color="000000"/>
              <w:bottom w:val="single" w:sz="4" w:space="0" w:color="000000"/>
            </w:tcBorders>
          </w:tcPr>
          <w:p>
            <w:pPr>
              <w:pStyle w:val="TableParagraph"/>
              <w:spacing w:line="240" w:lineRule="exact" w:before="3"/>
              <w:ind w:left="69"/>
              <w:rPr>
                <w:b/>
                <w:sz w:val="22"/>
              </w:rPr>
            </w:pPr>
            <w:r>
              <w:rPr>
                <w:b/>
                <w:sz w:val="22"/>
              </w:rPr>
              <w:t>Toplam</w:t>
            </w:r>
          </w:p>
        </w:tc>
        <w:tc>
          <w:tcPr>
            <w:tcW w:w="3033" w:type="dxa"/>
            <w:tcBorders>
              <w:top w:val="single" w:sz="4" w:space="0" w:color="000000"/>
              <w:bottom w:val="single" w:sz="4" w:space="0" w:color="000000"/>
            </w:tcBorders>
          </w:tcPr>
          <w:p>
            <w:pPr>
              <w:pStyle w:val="TableParagraph"/>
              <w:rPr>
                <w:sz w:val="18"/>
              </w:rPr>
            </w:pPr>
          </w:p>
        </w:tc>
        <w:tc>
          <w:tcPr>
            <w:tcW w:w="1354" w:type="dxa"/>
            <w:tcBorders>
              <w:top w:val="single" w:sz="4" w:space="0" w:color="000000"/>
              <w:bottom w:val="single" w:sz="4" w:space="0" w:color="000000"/>
            </w:tcBorders>
          </w:tcPr>
          <w:p>
            <w:pPr>
              <w:pStyle w:val="TableParagraph"/>
              <w:spacing w:line="244" w:lineRule="exact"/>
              <w:ind w:left="343" w:right="564"/>
              <w:jc w:val="center"/>
              <w:rPr>
                <w:sz w:val="22"/>
              </w:rPr>
            </w:pPr>
            <w:r>
              <w:rPr>
                <w:sz w:val="22"/>
              </w:rPr>
              <w:t>105</w:t>
            </w:r>
          </w:p>
        </w:tc>
        <w:tc>
          <w:tcPr>
            <w:tcW w:w="2192" w:type="dxa"/>
            <w:tcBorders>
              <w:top w:val="single" w:sz="4" w:space="0" w:color="000000"/>
              <w:bottom w:val="single" w:sz="4" w:space="0" w:color="000000"/>
            </w:tcBorders>
          </w:tcPr>
          <w:p>
            <w:pPr>
              <w:pStyle w:val="TableParagraph"/>
              <w:spacing w:line="244" w:lineRule="exact"/>
              <w:ind w:left="564" w:right="565"/>
              <w:jc w:val="center"/>
              <w:rPr>
                <w:sz w:val="22"/>
              </w:rPr>
            </w:pPr>
            <w:r>
              <w:rPr>
                <w:sz w:val="22"/>
              </w:rPr>
              <w:t>100,0</w:t>
            </w:r>
          </w:p>
        </w:tc>
      </w:tr>
    </w:tbl>
    <w:p>
      <w:pPr>
        <w:spacing w:after="0" w:line="244" w:lineRule="exact"/>
        <w:jc w:val="center"/>
        <w:rPr>
          <w:sz w:val="22"/>
        </w:rPr>
        <w:sectPr>
          <w:pgSz w:w="11910" w:h="16840"/>
          <w:pgMar w:header="0" w:footer="976" w:top="1580" w:bottom="1240" w:left="1140" w:right="520"/>
        </w:sectPr>
      </w:pPr>
    </w:p>
    <w:p>
      <w:pPr>
        <w:pStyle w:val="BodyText"/>
        <w:spacing w:before="98"/>
        <w:ind w:left="1836"/>
      </w:pPr>
      <w:r>
        <w:rPr/>
        <w:t>Demografik bilgilere ait verilerin incelenmesi;</w:t>
      </w:r>
    </w:p>
    <w:p>
      <w:pPr>
        <w:pStyle w:val="BodyText"/>
        <w:spacing w:line="360" w:lineRule="auto" w:before="136"/>
        <w:ind w:left="1128" w:right="608" w:firstLine="708"/>
        <w:jc w:val="both"/>
      </w:pPr>
      <w:r>
        <w:rPr/>
        <w:t>Yapılan çalışmada daha güvenilir sonuçlar elde etmek için demografik bilgilerdeki sorularda değişiklikler yapılmıştır. Yaş sorusunda ‘‘55+ üzeri’’ seçeneğin işaretleyen katılımcılar, ‘‘45-55’’ seçeneğini işaretleyen katılımcılar kategorisine eklenerek toplanmıştır. Öğrenim durumu sorusunda ‘‘diğer’’ seçeneğini işaretleyen katılımcılar, ‘‘lisansüstü’’ seçeneğini işaretleyen katılımcılar kategorisine eklenerek toplanmıştır. Kurumdaki görev sorusunda‘ müdür, müdür yardımcısı, şube müdürü, başhekim, başhekim yardımcısı, birim sorumlusu’ seçeneğini işaretleyen katılımcılar ‘‘birim sorumlusu’’ seçeneğini işaretleyen katılımcılar kategorisine eklenerek toplanmıştır. Meslek sorusunda ‘‘anestezi teknisyeni, çevre sağlığı teknisyeni, laboratuvar teknisyeni, ATT, paramedik, diyetisyen ve sağlık memuru’’ seçeneğini işaretleyen katılımcılar ‘‘teknisyen’’ başlığı adı altında toplanmıştır. Çalıştığınız kurum sorusunda ise ‘‘devlet hastanesi, diğer’’ seçeneğini işaretleyen katılımcılar ‘‘devlet hastanesi’’ seçeneğini işaretleyen katılımcılar kategorisine eklenerek toplanmıştır.</w:t>
      </w:r>
    </w:p>
    <w:p>
      <w:pPr>
        <w:pStyle w:val="BodyText"/>
        <w:spacing w:line="360" w:lineRule="auto" w:before="3"/>
        <w:ind w:left="1128" w:right="611" w:firstLine="708"/>
        <w:jc w:val="both"/>
      </w:pPr>
      <w:r>
        <w:rPr/>
        <w:t>Ankete katılan sağlık personellerinin büyük bir kısmı (%58,1) 25-34 yaş aralığı oluşturmaktır. 18-24 yaş aralığında olan katılımcıların oranı %25,7, 35-44 yaş</w:t>
      </w:r>
      <w:r>
        <w:rPr>
          <w:spacing w:val="-21"/>
        </w:rPr>
        <w:t> </w:t>
      </w:r>
      <w:r>
        <w:rPr/>
        <w:t>aralığında olan</w:t>
      </w:r>
      <w:r>
        <w:rPr>
          <w:spacing w:val="-17"/>
        </w:rPr>
        <w:t> </w:t>
      </w:r>
      <w:r>
        <w:rPr/>
        <w:t>katılımcıların</w:t>
      </w:r>
      <w:r>
        <w:rPr>
          <w:spacing w:val="-15"/>
        </w:rPr>
        <w:t> </w:t>
      </w:r>
      <w:r>
        <w:rPr/>
        <w:t>oranı</w:t>
      </w:r>
      <w:r>
        <w:rPr>
          <w:spacing w:val="-12"/>
        </w:rPr>
        <w:t> </w:t>
      </w:r>
      <w:r>
        <w:rPr/>
        <w:t>%15,2</w:t>
      </w:r>
      <w:r>
        <w:rPr>
          <w:spacing w:val="-16"/>
        </w:rPr>
        <w:t> </w:t>
      </w:r>
      <w:r>
        <w:rPr/>
        <w:t>ve</w:t>
      </w:r>
      <w:r>
        <w:rPr>
          <w:spacing w:val="-15"/>
        </w:rPr>
        <w:t> </w:t>
      </w:r>
      <w:r>
        <w:rPr/>
        <w:t>45-55</w:t>
      </w:r>
      <w:r>
        <w:rPr>
          <w:spacing w:val="-11"/>
        </w:rPr>
        <w:t> </w:t>
      </w:r>
      <w:r>
        <w:rPr/>
        <w:t>yaş</w:t>
      </w:r>
      <w:r>
        <w:rPr>
          <w:spacing w:val="-16"/>
        </w:rPr>
        <w:t> </w:t>
      </w:r>
      <w:r>
        <w:rPr/>
        <w:t>aralığında</w:t>
      </w:r>
      <w:r>
        <w:rPr>
          <w:spacing w:val="-14"/>
        </w:rPr>
        <w:t> </w:t>
      </w:r>
      <w:r>
        <w:rPr/>
        <w:t>olan</w:t>
      </w:r>
      <w:r>
        <w:rPr>
          <w:spacing w:val="-16"/>
        </w:rPr>
        <w:t> </w:t>
      </w:r>
      <w:r>
        <w:rPr/>
        <w:t>katılımcıların</w:t>
      </w:r>
      <w:r>
        <w:rPr>
          <w:spacing w:val="-15"/>
        </w:rPr>
        <w:t> </w:t>
      </w:r>
      <w:r>
        <w:rPr/>
        <w:t>oranı</w:t>
      </w:r>
      <w:r>
        <w:rPr>
          <w:spacing w:val="-14"/>
        </w:rPr>
        <w:t> </w:t>
      </w:r>
      <w:r>
        <w:rPr/>
        <w:t>%1,0’dir. Çalışmaya</w:t>
      </w:r>
      <w:r>
        <w:rPr>
          <w:spacing w:val="-13"/>
        </w:rPr>
        <w:t> </w:t>
      </w:r>
      <w:r>
        <w:rPr/>
        <w:t>katılan</w:t>
      </w:r>
      <w:r>
        <w:rPr>
          <w:spacing w:val="-11"/>
        </w:rPr>
        <w:t> </w:t>
      </w:r>
      <w:r>
        <w:rPr/>
        <w:t>105</w:t>
      </w:r>
      <w:r>
        <w:rPr>
          <w:spacing w:val="-11"/>
        </w:rPr>
        <w:t> </w:t>
      </w:r>
      <w:r>
        <w:rPr/>
        <w:t>kişinin</w:t>
      </w:r>
      <w:r>
        <w:rPr>
          <w:spacing w:val="-11"/>
        </w:rPr>
        <w:t> </w:t>
      </w:r>
      <w:r>
        <w:rPr/>
        <w:t>50’si</w:t>
      </w:r>
      <w:r>
        <w:rPr>
          <w:spacing w:val="-11"/>
        </w:rPr>
        <w:t> </w:t>
      </w:r>
      <w:r>
        <w:rPr/>
        <w:t>kadın</w:t>
      </w:r>
      <w:r>
        <w:rPr>
          <w:spacing w:val="-11"/>
        </w:rPr>
        <w:t> </w:t>
      </w:r>
      <w:r>
        <w:rPr/>
        <w:t>ve</w:t>
      </w:r>
      <w:r>
        <w:rPr>
          <w:spacing w:val="-12"/>
        </w:rPr>
        <w:t> </w:t>
      </w:r>
      <w:r>
        <w:rPr/>
        <w:t>örneklemin</w:t>
      </w:r>
      <w:r>
        <w:rPr>
          <w:spacing w:val="-8"/>
        </w:rPr>
        <w:t> </w:t>
      </w:r>
      <w:r>
        <w:rPr/>
        <w:t>%47,6’lık</w:t>
      </w:r>
      <w:r>
        <w:rPr>
          <w:spacing w:val="-11"/>
        </w:rPr>
        <w:t> </w:t>
      </w:r>
      <w:r>
        <w:rPr/>
        <w:t>kısmını</w:t>
      </w:r>
      <w:r>
        <w:rPr>
          <w:spacing w:val="-13"/>
        </w:rPr>
        <w:t> </w:t>
      </w:r>
      <w:r>
        <w:rPr/>
        <w:t>oluşturmakta, 55’i erkek ve örneklemin %52,4’lük kısmını oluşturmaktadır. Öğrenim durumuna bakıldığında katılımcıların eğitim durumunun %21,9 ortaöğretim düzeyinde, %44,8 ön lisans düzeyinde, %26,7 lisans düzeyinde, %6,7 yüksek lisans düzeyinde olduğu görülmektedir.</w:t>
      </w:r>
    </w:p>
    <w:p>
      <w:pPr>
        <w:pStyle w:val="BodyText"/>
        <w:spacing w:line="360" w:lineRule="auto"/>
        <w:ind w:left="1128" w:right="610" w:firstLine="708"/>
        <w:jc w:val="both"/>
      </w:pPr>
      <w:r>
        <w:rPr/>
        <w:t>Kurumdaki görevi kısmında %65,7 ile kurum çalışanı yoğunlukta olmakla birlikte, %8,6 birim çalışanı ve %25,7’lik diğer kısmı olduğu görülmektedir. Meslek kısmına bakıldığında %78,1 teknisyen, %2,9 doktor, %5,7 hemşire, %13,3 ise diğer olduğu görülmektedir. Çalıştığınız kurum kısmına bakıldığında çoğunluk 112 acil sağlık hizmetleri olmak üzere (%79,0), il sağlık müdürlüğü ve devlet hastanesinin aynı oranda olup %10,5 olduğu görülmektedir.</w:t>
      </w:r>
    </w:p>
    <w:p>
      <w:pPr>
        <w:pStyle w:val="BodyText"/>
        <w:spacing w:line="360" w:lineRule="auto"/>
        <w:ind w:left="1128" w:right="610" w:firstLine="708"/>
        <w:jc w:val="both"/>
      </w:pPr>
      <w:r>
        <w:rPr/>
        <w:t>Araştırma grubundaki kişilerin afetle ilgili bazı özellikleri Tablo 4. 5’te gösterilmiştir.</w:t>
      </w:r>
    </w:p>
    <w:p>
      <w:pPr>
        <w:spacing w:after="0" w:line="360" w:lineRule="auto"/>
        <w:jc w:val="both"/>
        <w:sectPr>
          <w:pgSz w:w="11910" w:h="16840"/>
          <w:pgMar w:header="0" w:footer="976" w:top="1580" w:bottom="1240" w:left="1140" w:right="520"/>
        </w:sectPr>
      </w:pPr>
    </w:p>
    <w:p>
      <w:pPr>
        <w:pStyle w:val="BodyText"/>
        <w:rPr>
          <w:sz w:val="20"/>
        </w:rPr>
      </w:pPr>
    </w:p>
    <w:p>
      <w:pPr>
        <w:pStyle w:val="BodyText"/>
        <w:spacing w:before="2"/>
        <w:rPr>
          <w:sz w:val="27"/>
        </w:rPr>
      </w:pPr>
    </w:p>
    <w:p>
      <w:pPr>
        <w:pStyle w:val="Heading1"/>
        <w:spacing w:before="90"/>
        <w:ind w:left="1694"/>
      </w:pPr>
      <w:r>
        <w:rPr/>
        <w:t>Tablo 4. 5. Araştırma Grubundaki Kişilerin Afetle İlgili Bazı Özellikleri</w:t>
      </w:r>
    </w:p>
    <w:p>
      <w:pPr>
        <w:pStyle w:val="BodyText"/>
        <w:spacing w:before="2"/>
        <w:rPr>
          <w:b/>
          <w:sz w:val="16"/>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869"/>
        <w:gridCol w:w="1120"/>
        <w:gridCol w:w="937"/>
        <w:gridCol w:w="1022"/>
      </w:tblGrid>
      <w:tr>
        <w:trPr>
          <w:trHeight w:val="505" w:hRule="atLeast"/>
        </w:trPr>
        <w:tc>
          <w:tcPr>
            <w:tcW w:w="4869" w:type="dxa"/>
            <w:tcBorders>
              <w:top w:val="single" w:sz="4" w:space="0" w:color="000000"/>
              <w:bottom w:val="single" w:sz="4" w:space="0" w:color="000000"/>
            </w:tcBorders>
          </w:tcPr>
          <w:p>
            <w:pPr>
              <w:pStyle w:val="TableParagraph"/>
              <w:spacing w:line="251" w:lineRule="exact"/>
              <w:ind w:left="115"/>
              <w:rPr>
                <w:b/>
                <w:sz w:val="22"/>
              </w:rPr>
            </w:pPr>
            <w:r>
              <w:rPr>
                <w:b/>
                <w:sz w:val="22"/>
              </w:rPr>
              <w:t>Özellik</w:t>
            </w:r>
          </w:p>
        </w:tc>
        <w:tc>
          <w:tcPr>
            <w:tcW w:w="1120" w:type="dxa"/>
            <w:tcBorders>
              <w:top w:val="single" w:sz="4" w:space="0" w:color="000000"/>
              <w:bottom w:val="single" w:sz="4" w:space="0" w:color="000000"/>
            </w:tcBorders>
          </w:tcPr>
          <w:p>
            <w:pPr>
              <w:pStyle w:val="TableParagraph"/>
              <w:spacing w:line="251" w:lineRule="exact"/>
              <w:ind w:left="280"/>
              <w:rPr>
                <w:b/>
                <w:sz w:val="22"/>
              </w:rPr>
            </w:pPr>
            <w:r>
              <w:rPr>
                <w:b/>
                <w:sz w:val="22"/>
              </w:rPr>
              <w:t>Cevap</w:t>
            </w:r>
          </w:p>
        </w:tc>
        <w:tc>
          <w:tcPr>
            <w:tcW w:w="937" w:type="dxa"/>
            <w:tcBorders>
              <w:top w:val="single" w:sz="4" w:space="0" w:color="000000"/>
              <w:bottom w:val="single" w:sz="4" w:space="0" w:color="000000"/>
            </w:tcBorders>
          </w:tcPr>
          <w:p>
            <w:pPr>
              <w:pStyle w:val="TableParagraph"/>
              <w:spacing w:line="251" w:lineRule="exact"/>
              <w:ind w:left="312"/>
              <w:rPr>
                <w:b/>
                <w:sz w:val="22"/>
              </w:rPr>
            </w:pPr>
            <w:r>
              <w:rPr>
                <w:b/>
                <w:sz w:val="22"/>
              </w:rPr>
              <w:t>Sayı</w:t>
            </w:r>
          </w:p>
        </w:tc>
        <w:tc>
          <w:tcPr>
            <w:tcW w:w="1022" w:type="dxa"/>
            <w:tcBorders>
              <w:top w:val="single" w:sz="4" w:space="0" w:color="000000"/>
              <w:bottom w:val="single" w:sz="4" w:space="0" w:color="000000"/>
            </w:tcBorders>
          </w:tcPr>
          <w:p>
            <w:pPr>
              <w:pStyle w:val="TableParagraph"/>
              <w:spacing w:line="254" w:lineRule="exact"/>
              <w:ind w:left="381" w:right="92" w:hanging="70"/>
              <w:rPr>
                <w:b/>
                <w:sz w:val="22"/>
              </w:rPr>
            </w:pPr>
            <w:r>
              <w:rPr>
                <w:b/>
                <w:sz w:val="22"/>
              </w:rPr>
              <w:t>Yüzde (%)</w:t>
            </w:r>
          </w:p>
        </w:tc>
      </w:tr>
      <w:tr>
        <w:trPr>
          <w:trHeight w:val="504" w:hRule="atLeast"/>
        </w:trPr>
        <w:tc>
          <w:tcPr>
            <w:tcW w:w="4869" w:type="dxa"/>
            <w:tcBorders>
              <w:top w:val="single" w:sz="4" w:space="0" w:color="000000"/>
              <w:bottom w:val="single" w:sz="4" w:space="0" w:color="000000"/>
            </w:tcBorders>
          </w:tcPr>
          <w:p>
            <w:pPr>
              <w:pStyle w:val="TableParagraph"/>
              <w:spacing w:line="245" w:lineRule="exact"/>
              <w:ind w:left="115"/>
              <w:rPr>
                <w:sz w:val="22"/>
              </w:rPr>
            </w:pPr>
            <w:r>
              <w:rPr>
                <w:sz w:val="22"/>
              </w:rPr>
              <w:t>Yaşadığınız yerde daha önce herhangi bir afet</w:t>
            </w:r>
          </w:p>
          <w:p>
            <w:pPr>
              <w:pStyle w:val="TableParagraph"/>
              <w:spacing w:line="238" w:lineRule="exact" w:before="1"/>
              <w:ind w:left="115"/>
              <w:rPr>
                <w:sz w:val="22"/>
              </w:rPr>
            </w:pPr>
            <w:r>
              <w:rPr>
                <w:sz w:val="22"/>
              </w:rPr>
              <w:t>meydana geldi mi?</w:t>
            </w:r>
          </w:p>
        </w:tc>
        <w:tc>
          <w:tcPr>
            <w:tcW w:w="1120" w:type="dxa"/>
            <w:tcBorders>
              <w:top w:val="single" w:sz="4" w:space="0" w:color="000000"/>
              <w:bottom w:val="single" w:sz="4" w:space="0" w:color="000000"/>
            </w:tcBorders>
          </w:tcPr>
          <w:p>
            <w:pPr>
              <w:pStyle w:val="TableParagraph"/>
              <w:spacing w:line="245" w:lineRule="exact"/>
              <w:ind w:left="280"/>
              <w:rPr>
                <w:sz w:val="22"/>
              </w:rPr>
            </w:pPr>
            <w:r>
              <w:rPr>
                <w:sz w:val="22"/>
              </w:rPr>
              <w:t>Evet</w:t>
            </w:r>
          </w:p>
          <w:p>
            <w:pPr>
              <w:pStyle w:val="TableParagraph"/>
              <w:spacing w:line="238" w:lineRule="exact" w:before="1"/>
              <w:ind w:left="280"/>
              <w:rPr>
                <w:sz w:val="22"/>
              </w:rPr>
            </w:pPr>
            <w:r>
              <w:rPr>
                <w:sz w:val="22"/>
              </w:rPr>
              <w:t>Hayır</w:t>
            </w:r>
          </w:p>
        </w:tc>
        <w:tc>
          <w:tcPr>
            <w:tcW w:w="937" w:type="dxa"/>
            <w:tcBorders>
              <w:top w:val="single" w:sz="4" w:space="0" w:color="000000"/>
              <w:bottom w:val="single" w:sz="4" w:space="0" w:color="000000"/>
            </w:tcBorders>
          </w:tcPr>
          <w:p>
            <w:pPr>
              <w:pStyle w:val="TableParagraph"/>
              <w:spacing w:line="245" w:lineRule="exact"/>
              <w:ind w:left="262" w:right="284"/>
              <w:jc w:val="center"/>
              <w:rPr>
                <w:sz w:val="22"/>
              </w:rPr>
            </w:pPr>
            <w:r>
              <w:rPr>
                <w:sz w:val="22"/>
              </w:rPr>
              <w:t>28</w:t>
            </w:r>
          </w:p>
          <w:p>
            <w:pPr>
              <w:pStyle w:val="TableParagraph"/>
              <w:spacing w:line="238" w:lineRule="exact" w:before="1"/>
              <w:ind w:left="193" w:right="345"/>
              <w:jc w:val="center"/>
              <w:rPr>
                <w:sz w:val="22"/>
              </w:rPr>
            </w:pPr>
            <w:r>
              <w:rPr>
                <w:sz w:val="22"/>
              </w:rPr>
              <w:t>77</w:t>
            </w:r>
          </w:p>
        </w:tc>
        <w:tc>
          <w:tcPr>
            <w:tcW w:w="1022" w:type="dxa"/>
            <w:tcBorders>
              <w:top w:val="single" w:sz="4" w:space="0" w:color="000000"/>
              <w:bottom w:val="single" w:sz="4" w:space="0" w:color="000000"/>
            </w:tcBorders>
          </w:tcPr>
          <w:p>
            <w:pPr>
              <w:pStyle w:val="TableParagraph"/>
              <w:spacing w:line="245" w:lineRule="exact"/>
              <w:ind w:left="330"/>
              <w:rPr>
                <w:sz w:val="22"/>
              </w:rPr>
            </w:pPr>
            <w:r>
              <w:rPr>
                <w:sz w:val="22"/>
              </w:rPr>
              <w:t>26,7</w:t>
            </w:r>
          </w:p>
          <w:p>
            <w:pPr>
              <w:pStyle w:val="TableParagraph"/>
              <w:spacing w:line="238" w:lineRule="exact" w:before="1"/>
              <w:ind w:left="287"/>
              <w:rPr>
                <w:sz w:val="22"/>
              </w:rPr>
            </w:pPr>
            <w:r>
              <w:rPr>
                <w:sz w:val="22"/>
              </w:rPr>
              <w:t>73,3</w:t>
            </w:r>
          </w:p>
        </w:tc>
      </w:tr>
      <w:tr>
        <w:trPr>
          <w:trHeight w:val="757" w:hRule="atLeast"/>
        </w:trPr>
        <w:tc>
          <w:tcPr>
            <w:tcW w:w="4869" w:type="dxa"/>
            <w:tcBorders>
              <w:top w:val="single" w:sz="4" w:space="0" w:color="000000"/>
              <w:bottom w:val="single" w:sz="4" w:space="0" w:color="000000"/>
            </w:tcBorders>
          </w:tcPr>
          <w:p>
            <w:pPr>
              <w:pStyle w:val="TableParagraph"/>
              <w:spacing w:line="242" w:lineRule="auto"/>
              <w:ind w:left="115" w:right="261"/>
              <w:rPr>
                <w:sz w:val="22"/>
              </w:rPr>
            </w:pPr>
            <w:r>
              <w:rPr>
                <w:sz w:val="22"/>
              </w:rPr>
              <w:t>Bir Afet ya da Olağan dışı durumda görev yaptınız mı?</w:t>
            </w:r>
          </w:p>
        </w:tc>
        <w:tc>
          <w:tcPr>
            <w:tcW w:w="1120" w:type="dxa"/>
            <w:tcBorders>
              <w:top w:val="single" w:sz="4" w:space="0" w:color="000000"/>
              <w:bottom w:val="single" w:sz="4" w:space="0" w:color="000000"/>
            </w:tcBorders>
          </w:tcPr>
          <w:p>
            <w:pPr>
              <w:pStyle w:val="TableParagraph"/>
              <w:spacing w:line="242" w:lineRule="auto"/>
              <w:ind w:left="280" w:right="319"/>
              <w:rPr>
                <w:sz w:val="22"/>
              </w:rPr>
            </w:pPr>
            <w:r>
              <w:rPr>
                <w:sz w:val="22"/>
              </w:rPr>
              <w:t>Evet Hayır</w:t>
            </w:r>
          </w:p>
        </w:tc>
        <w:tc>
          <w:tcPr>
            <w:tcW w:w="937" w:type="dxa"/>
            <w:tcBorders>
              <w:top w:val="single" w:sz="4" w:space="0" w:color="000000"/>
              <w:bottom w:val="single" w:sz="4" w:space="0" w:color="000000"/>
            </w:tcBorders>
          </w:tcPr>
          <w:p>
            <w:pPr>
              <w:pStyle w:val="TableParagraph"/>
              <w:spacing w:line="247" w:lineRule="exact"/>
              <w:ind w:left="262" w:right="275"/>
              <w:jc w:val="center"/>
              <w:rPr>
                <w:sz w:val="22"/>
              </w:rPr>
            </w:pPr>
            <w:r>
              <w:rPr>
                <w:sz w:val="22"/>
              </w:rPr>
              <w:t>23</w:t>
            </w:r>
          </w:p>
          <w:p>
            <w:pPr>
              <w:pStyle w:val="TableParagraph"/>
              <w:spacing w:before="1"/>
              <w:ind w:left="262" w:right="275"/>
              <w:jc w:val="center"/>
              <w:rPr>
                <w:sz w:val="22"/>
              </w:rPr>
            </w:pPr>
            <w:r>
              <w:rPr>
                <w:sz w:val="22"/>
              </w:rPr>
              <w:t>82</w:t>
            </w:r>
          </w:p>
        </w:tc>
        <w:tc>
          <w:tcPr>
            <w:tcW w:w="1022" w:type="dxa"/>
            <w:tcBorders>
              <w:top w:val="single" w:sz="4" w:space="0" w:color="000000"/>
              <w:bottom w:val="single" w:sz="4" w:space="0" w:color="000000"/>
            </w:tcBorders>
          </w:tcPr>
          <w:p>
            <w:pPr>
              <w:pStyle w:val="TableParagraph"/>
              <w:spacing w:line="247" w:lineRule="exact"/>
              <w:ind w:left="330"/>
              <w:rPr>
                <w:sz w:val="22"/>
              </w:rPr>
            </w:pPr>
            <w:r>
              <w:rPr>
                <w:sz w:val="22"/>
              </w:rPr>
              <w:t>21,9</w:t>
            </w:r>
          </w:p>
          <w:p>
            <w:pPr>
              <w:pStyle w:val="TableParagraph"/>
              <w:spacing w:before="1"/>
              <w:ind w:left="330"/>
              <w:rPr>
                <w:sz w:val="22"/>
              </w:rPr>
            </w:pPr>
            <w:r>
              <w:rPr>
                <w:sz w:val="22"/>
              </w:rPr>
              <w:t>78,1</w:t>
            </w:r>
          </w:p>
        </w:tc>
      </w:tr>
      <w:tr>
        <w:trPr>
          <w:trHeight w:val="760" w:hRule="atLeast"/>
        </w:trPr>
        <w:tc>
          <w:tcPr>
            <w:tcW w:w="4869" w:type="dxa"/>
            <w:tcBorders>
              <w:top w:val="single" w:sz="4" w:space="0" w:color="000000"/>
              <w:bottom w:val="single" w:sz="4" w:space="0" w:color="000000"/>
            </w:tcBorders>
          </w:tcPr>
          <w:p>
            <w:pPr>
              <w:pStyle w:val="TableParagraph"/>
              <w:spacing w:line="249" w:lineRule="exact"/>
              <w:ind w:left="115"/>
              <w:rPr>
                <w:sz w:val="22"/>
              </w:rPr>
            </w:pPr>
            <w:r>
              <w:rPr>
                <w:sz w:val="22"/>
              </w:rPr>
              <w:t>Daha önce Afetlerle ilgili bir eğitim aldınız mı?</w:t>
            </w:r>
          </w:p>
        </w:tc>
        <w:tc>
          <w:tcPr>
            <w:tcW w:w="1120" w:type="dxa"/>
            <w:tcBorders>
              <w:top w:val="single" w:sz="4" w:space="0" w:color="000000"/>
              <w:bottom w:val="single" w:sz="4" w:space="0" w:color="000000"/>
            </w:tcBorders>
          </w:tcPr>
          <w:p>
            <w:pPr>
              <w:pStyle w:val="TableParagraph"/>
              <w:ind w:left="280" w:right="319"/>
              <w:rPr>
                <w:sz w:val="22"/>
              </w:rPr>
            </w:pPr>
            <w:r>
              <w:rPr>
                <w:sz w:val="22"/>
              </w:rPr>
              <w:t>Evet Hayır</w:t>
            </w:r>
          </w:p>
        </w:tc>
        <w:tc>
          <w:tcPr>
            <w:tcW w:w="937" w:type="dxa"/>
            <w:tcBorders>
              <w:top w:val="single" w:sz="4" w:space="0" w:color="000000"/>
              <w:bottom w:val="single" w:sz="4" w:space="0" w:color="000000"/>
            </w:tcBorders>
          </w:tcPr>
          <w:p>
            <w:pPr>
              <w:pStyle w:val="TableParagraph"/>
              <w:spacing w:line="248" w:lineRule="exact"/>
              <w:ind w:left="262" w:right="275"/>
              <w:jc w:val="center"/>
              <w:rPr>
                <w:sz w:val="22"/>
              </w:rPr>
            </w:pPr>
            <w:r>
              <w:rPr>
                <w:sz w:val="22"/>
              </w:rPr>
              <w:t>59</w:t>
            </w:r>
          </w:p>
          <w:p>
            <w:pPr>
              <w:pStyle w:val="TableParagraph"/>
              <w:spacing w:line="252" w:lineRule="exact"/>
              <w:ind w:left="262" w:right="275"/>
              <w:jc w:val="center"/>
              <w:rPr>
                <w:sz w:val="22"/>
              </w:rPr>
            </w:pPr>
            <w:r>
              <w:rPr>
                <w:sz w:val="22"/>
              </w:rPr>
              <w:t>46</w:t>
            </w:r>
          </w:p>
        </w:tc>
        <w:tc>
          <w:tcPr>
            <w:tcW w:w="1022" w:type="dxa"/>
            <w:tcBorders>
              <w:top w:val="single" w:sz="4" w:space="0" w:color="000000"/>
              <w:bottom w:val="single" w:sz="4" w:space="0" w:color="000000"/>
            </w:tcBorders>
          </w:tcPr>
          <w:p>
            <w:pPr>
              <w:pStyle w:val="TableParagraph"/>
              <w:spacing w:line="248" w:lineRule="exact"/>
              <w:ind w:left="330"/>
              <w:rPr>
                <w:sz w:val="22"/>
              </w:rPr>
            </w:pPr>
            <w:r>
              <w:rPr>
                <w:sz w:val="22"/>
              </w:rPr>
              <w:t>56,2</w:t>
            </w:r>
          </w:p>
          <w:p>
            <w:pPr>
              <w:pStyle w:val="TableParagraph"/>
              <w:spacing w:line="252" w:lineRule="exact"/>
              <w:ind w:left="330"/>
              <w:rPr>
                <w:sz w:val="22"/>
              </w:rPr>
            </w:pPr>
            <w:r>
              <w:rPr>
                <w:sz w:val="22"/>
              </w:rPr>
              <w:t>43,8</w:t>
            </w:r>
          </w:p>
        </w:tc>
      </w:tr>
      <w:tr>
        <w:trPr>
          <w:trHeight w:val="506" w:hRule="atLeast"/>
        </w:trPr>
        <w:tc>
          <w:tcPr>
            <w:tcW w:w="4869" w:type="dxa"/>
            <w:tcBorders>
              <w:top w:val="single" w:sz="4" w:space="0" w:color="000000"/>
              <w:bottom w:val="single" w:sz="4" w:space="0" w:color="000000"/>
            </w:tcBorders>
          </w:tcPr>
          <w:p>
            <w:pPr>
              <w:pStyle w:val="TableParagraph"/>
              <w:spacing w:line="247" w:lineRule="exact"/>
              <w:ind w:left="115"/>
              <w:rPr>
                <w:sz w:val="22"/>
              </w:rPr>
            </w:pPr>
            <w:r>
              <w:rPr>
                <w:sz w:val="22"/>
              </w:rPr>
              <w:t>Daha önce sizi etkileyen bir Afet yaşadınız mı?</w:t>
            </w:r>
          </w:p>
        </w:tc>
        <w:tc>
          <w:tcPr>
            <w:tcW w:w="1120" w:type="dxa"/>
            <w:tcBorders>
              <w:top w:val="single" w:sz="4" w:space="0" w:color="000000"/>
              <w:bottom w:val="single" w:sz="4" w:space="0" w:color="000000"/>
            </w:tcBorders>
          </w:tcPr>
          <w:p>
            <w:pPr>
              <w:pStyle w:val="TableParagraph"/>
              <w:spacing w:line="247" w:lineRule="exact"/>
              <w:ind w:left="280"/>
              <w:rPr>
                <w:sz w:val="22"/>
              </w:rPr>
            </w:pPr>
            <w:r>
              <w:rPr>
                <w:sz w:val="22"/>
              </w:rPr>
              <w:t>Evet</w:t>
            </w:r>
          </w:p>
          <w:p>
            <w:pPr>
              <w:pStyle w:val="TableParagraph"/>
              <w:spacing w:line="240" w:lineRule="exact"/>
              <w:ind w:left="280"/>
              <w:rPr>
                <w:sz w:val="22"/>
              </w:rPr>
            </w:pPr>
            <w:r>
              <w:rPr>
                <w:sz w:val="22"/>
              </w:rPr>
              <w:t>Hayır</w:t>
            </w:r>
          </w:p>
        </w:tc>
        <w:tc>
          <w:tcPr>
            <w:tcW w:w="937" w:type="dxa"/>
            <w:tcBorders>
              <w:top w:val="single" w:sz="4" w:space="0" w:color="000000"/>
              <w:bottom w:val="single" w:sz="4" w:space="0" w:color="000000"/>
            </w:tcBorders>
          </w:tcPr>
          <w:p>
            <w:pPr>
              <w:pStyle w:val="TableParagraph"/>
              <w:spacing w:line="247" w:lineRule="exact"/>
              <w:ind w:left="262" w:right="275"/>
              <w:jc w:val="center"/>
              <w:rPr>
                <w:sz w:val="22"/>
              </w:rPr>
            </w:pPr>
            <w:r>
              <w:rPr>
                <w:sz w:val="22"/>
              </w:rPr>
              <w:t>16</w:t>
            </w:r>
          </w:p>
          <w:p>
            <w:pPr>
              <w:pStyle w:val="TableParagraph"/>
              <w:spacing w:line="240" w:lineRule="exact"/>
              <w:ind w:left="262" w:right="275"/>
              <w:jc w:val="center"/>
              <w:rPr>
                <w:sz w:val="22"/>
              </w:rPr>
            </w:pPr>
            <w:r>
              <w:rPr>
                <w:sz w:val="22"/>
              </w:rPr>
              <w:t>89</w:t>
            </w:r>
          </w:p>
        </w:tc>
        <w:tc>
          <w:tcPr>
            <w:tcW w:w="1022" w:type="dxa"/>
            <w:tcBorders>
              <w:top w:val="single" w:sz="4" w:space="0" w:color="000000"/>
              <w:bottom w:val="single" w:sz="4" w:space="0" w:color="000000"/>
            </w:tcBorders>
          </w:tcPr>
          <w:p>
            <w:pPr>
              <w:pStyle w:val="TableParagraph"/>
              <w:spacing w:line="247" w:lineRule="exact"/>
              <w:ind w:left="330"/>
              <w:rPr>
                <w:sz w:val="22"/>
              </w:rPr>
            </w:pPr>
            <w:r>
              <w:rPr>
                <w:sz w:val="22"/>
              </w:rPr>
              <w:t>15,2</w:t>
            </w:r>
          </w:p>
          <w:p>
            <w:pPr>
              <w:pStyle w:val="TableParagraph"/>
              <w:spacing w:line="240" w:lineRule="exact"/>
              <w:ind w:left="330"/>
              <w:rPr>
                <w:sz w:val="22"/>
              </w:rPr>
            </w:pPr>
            <w:r>
              <w:rPr>
                <w:sz w:val="22"/>
              </w:rPr>
              <w:t>84,8</w:t>
            </w:r>
          </w:p>
        </w:tc>
      </w:tr>
      <w:tr>
        <w:trPr>
          <w:trHeight w:val="506" w:hRule="atLeast"/>
        </w:trPr>
        <w:tc>
          <w:tcPr>
            <w:tcW w:w="4869" w:type="dxa"/>
            <w:tcBorders>
              <w:top w:val="single" w:sz="4" w:space="0" w:color="000000"/>
              <w:bottom w:val="single" w:sz="4" w:space="0" w:color="000000"/>
            </w:tcBorders>
          </w:tcPr>
          <w:p>
            <w:pPr>
              <w:pStyle w:val="TableParagraph"/>
              <w:spacing w:line="246" w:lineRule="exact"/>
              <w:ind w:left="115"/>
              <w:rPr>
                <w:sz w:val="22"/>
              </w:rPr>
            </w:pPr>
            <w:r>
              <w:rPr>
                <w:sz w:val="22"/>
              </w:rPr>
              <w:t>Afette aile fertlerinizden; akrabalarınızdan veya</w:t>
            </w:r>
          </w:p>
          <w:p>
            <w:pPr>
              <w:pStyle w:val="TableParagraph"/>
              <w:spacing w:line="240" w:lineRule="exact"/>
              <w:ind w:left="115"/>
              <w:rPr>
                <w:sz w:val="22"/>
              </w:rPr>
            </w:pPr>
            <w:r>
              <w:rPr>
                <w:sz w:val="22"/>
              </w:rPr>
              <w:t>sevdiklerinizden birini kaybettiniz mi?</w:t>
            </w:r>
          </w:p>
        </w:tc>
        <w:tc>
          <w:tcPr>
            <w:tcW w:w="1120" w:type="dxa"/>
            <w:tcBorders>
              <w:top w:val="single" w:sz="4" w:space="0" w:color="000000"/>
              <w:bottom w:val="single" w:sz="4" w:space="0" w:color="000000"/>
            </w:tcBorders>
          </w:tcPr>
          <w:p>
            <w:pPr>
              <w:pStyle w:val="TableParagraph"/>
              <w:spacing w:line="246" w:lineRule="exact"/>
              <w:ind w:left="280"/>
              <w:rPr>
                <w:sz w:val="22"/>
              </w:rPr>
            </w:pPr>
            <w:r>
              <w:rPr>
                <w:sz w:val="22"/>
              </w:rPr>
              <w:t>Evet</w:t>
            </w:r>
          </w:p>
          <w:p>
            <w:pPr>
              <w:pStyle w:val="TableParagraph"/>
              <w:spacing w:line="240" w:lineRule="exact"/>
              <w:ind w:left="280"/>
              <w:rPr>
                <w:sz w:val="22"/>
              </w:rPr>
            </w:pPr>
            <w:r>
              <w:rPr>
                <w:sz w:val="22"/>
              </w:rPr>
              <w:t>Hayır</w:t>
            </w:r>
          </w:p>
        </w:tc>
        <w:tc>
          <w:tcPr>
            <w:tcW w:w="937" w:type="dxa"/>
            <w:tcBorders>
              <w:top w:val="single" w:sz="4" w:space="0" w:color="000000"/>
              <w:bottom w:val="single" w:sz="4" w:space="0" w:color="000000"/>
            </w:tcBorders>
          </w:tcPr>
          <w:p>
            <w:pPr>
              <w:pStyle w:val="TableParagraph"/>
              <w:spacing w:line="246" w:lineRule="exact"/>
              <w:ind w:left="95"/>
              <w:jc w:val="center"/>
              <w:rPr>
                <w:sz w:val="22"/>
              </w:rPr>
            </w:pPr>
            <w:r>
              <w:rPr>
                <w:w w:val="100"/>
                <w:sz w:val="22"/>
              </w:rPr>
              <w:t>4</w:t>
            </w:r>
          </w:p>
          <w:p>
            <w:pPr>
              <w:pStyle w:val="TableParagraph"/>
              <w:spacing w:line="240" w:lineRule="exact"/>
              <w:ind w:left="240"/>
              <w:rPr>
                <w:sz w:val="22"/>
              </w:rPr>
            </w:pPr>
            <w:r>
              <w:rPr>
                <w:sz w:val="22"/>
              </w:rPr>
              <w:t>101</w:t>
            </w:r>
          </w:p>
        </w:tc>
        <w:tc>
          <w:tcPr>
            <w:tcW w:w="1022" w:type="dxa"/>
            <w:tcBorders>
              <w:top w:val="single" w:sz="4" w:space="0" w:color="000000"/>
              <w:bottom w:val="single" w:sz="4" w:space="0" w:color="000000"/>
            </w:tcBorders>
          </w:tcPr>
          <w:p>
            <w:pPr>
              <w:pStyle w:val="TableParagraph"/>
              <w:spacing w:line="246" w:lineRule="exact"/>
              <w:ind w:left="311" w:right="180"/>
              <w:jc w:val="center"/>
              <w:rPr>
                <w:sz w:val="22"/>
              </w:rPr>
            </w:pPr>
            <w:r>
              <w:rPr>
                <w:sz w:val="22"/>
              </w:rPr>
              <w:t>3,8</w:t>
            </w:r>
          </w:p>
          <w:p>
            <w:pPr>
              <w:pStyle w:val="TableParagraph"/>
              <w:spacing w:line="240" w:lineRule="exact"/>
              <w:ind w:left="311" w:right="285"/>
              <w:jc w:val="center"/>
              <w:rPr>
                <w:sz w:val="22"/>
              </w:rPr>
            </w:pPr>
            <w:r>
              <w:rPr>
                <w:sz w:val="22"/>
              </w:rPr>
              <w:t>96,2</w:t>
            </w:r>
          </w:p>
        </w:tc>
      </w:tr>
      <w:tr>
        <w:trPr>
          <w:trHeight w:val="505" w:hRule="atLeast"/>
        </w:trPr>
        <w:tc>
          <w:tcPr>
            <w:tcW w:w="4869" w:type="dxa"/>
            <w:tcBorders>
              <w:top w:val="single" w:sz="4" w:space="0" w:color="000000"/>
              <w:bottom w:val="single" w:sz="4" w:space="0" w:color="000000"/>
            </w:tcBorders>
          </w:tcPr>
          <w:p>
            <w:pPr>
              <w:pStyle w:val="TableParagraph"/>
              <w:spacing w:line="247" w:lineRule="exact"/>
              <w:ind w:left="115"/>
              <w:rPr>
                <w:sz w:val="22"/>
              </w:rPr>
            </w:pPr>
            <w:r>
              <w:rPr>
                <w:sz w:val="22"/>
              </w:rPr>
              <w:t>Afetlerle ilgili herhangi bir tatbikata katıldınız mı?</w:t>
            </w:r>
          </w:p>
        </w:tc>
        <w:tc>
          <w:tcPr>
            <w:tcW w:w="1120" w:type="dxa"/>
            <w:tcBorders>
              <w:top w:val="single" w:sz="4" w:space="0" w:color="000000"/>
              <w:bottom w:val="single" w:sz="4" w:space="0" w:color="000000"/>
            </w:tcBorders>
          </w:tcPr>
          <w:p>
            <w:pPr>
              <w:pStyle w:val="TableParagraph"/>
              <w:spacing w:line="246" w:lineRule="exact"/>
              <w:ind w:left="280"/>
              <w:rPr>
                <w:sz w:val="22"/>
              </w:rPr>
            </w:pPr>
            <w:r>
              <w:rPr>
                <w:sz w:val="22"/>
              </w:rPr>
              <w:t>Evet</w:t>
            </w:r>
          </w:p>
          <w:p>
            <w:pPr>
              <w:pStyle w:val="TableParagraph"/>
              <w:spacing w:line="240" w:lineRule="exact"/>
              <w:ind w:left="280"/>
              <w:rPr>
                <w:sz w:val="22"/>
              </w:rPr>
            </w:pPr>
            <w:r>
              <w:rPr>
                <w:sz w:val="22"/>
              </w:rPr>
              <w:t>Hayır</w:t>
            </w:r>
          </w:p>
        </w:tc>
        <w:tc>
          <w:tcPr>
            <w:tcW w:w="937" w:type="dxa"/>
            <w:tcBorders>
              <w:top w:val="single" w:sz="4" w:space="0" w:color="000000"/>
              <w:bottom w:val="single" w:sz="4" w:space="0" w:color="000000"/>
            </w:tcBorders>
          </w:tcPr>
          <w:p>
            <w:pPr>
              <w:pStyle w:val="TableParagraph"/>
              <w:spacing w:line="246" w:lineRule="exact"/>
              <w:ind w:left="262" w:right="275"/>
              <w:jc w:val="center"/>
              <w:rPr>
                <w:sz w:val="22"/>
              </w:rPr>
            </w:pPr>
            <w:r>
              <w:rPr>
                <w:sz w:val="22"/>
              </w:rPr>
              <w:t>38</w:t>
            </w:r>
          </w:p>
          <w:p>
            <w:pPr>
              <w:pStyle w:val="TableParagraph"/>
              <w:spacing w:line="240" w:lineRule="exact"/>
              <w:ind w:left="193" w:right="345"/>
              <w:jc w:val="center"/>
              <w:rPr>
                <w:sz w:val="22"/>
              </w:rPr>
            </w:pPr>
            <w:r>
              <w:rPr>
                <w:sz w:val="22"/>
              </w:rPr>
              <w:t>67</w:t>
            </w:r>
          </w:p>
        </w:tc>
        <w:tc>
          <w:tcPr>
            <w:tcW w:w="1022" w:type="dxa"/>
            <w:tcBorders>
              <w:top w:val="single" w:sz="4" w:space="0" w:color="000000"/>
              <w:bottom w:val="single" w:sz="4" w:space="0" w:color="000000"/>
            </w:tcBorders>
          </w:tcPr>
          <w:p>
            <w:pPr>
              <w:pStyle w:val="TableParagraph"/>
              <w:spacing w:line="246" w:lineRule="exact"/>
              <w:ind w:left="330"/>
              <w:rPr>
                <w:sz w:val="22"/>
              </w:rPr>
            </w:pPr>
            <w:r>
              <w:rPr>
                <w:sz w:val="22"/>
              </w:rPr>
              <w:t>36,2</w:t>
            </w:r>
          </w:p>
          <w:p>
            <w:pPr>
              <w:pStyle w:val="TableParagraph"/>
              <w:spacing w:line="240" w:lineRule="exact"/>
              <w:ind w:left="261"/>
              <w:rPr>
                <w:sz w:val="22"/>
              </w:rPr>
            </w:pPr>
            <w:r>
              <w:rPr>
                <w:sz w:val="22"/>
              </w:rPr>
              <w:t>63,8</w:t>
            </w:r>
          </w:p>
        </w:tc>
      </w:tr>
      <w:tr>
        <w:trPr>
          <w:trHeight w:val="251" w:hRule="atLeast"/>
        </w:trPr>
        <w:tc>
          <w:tcPr>
            <w:tcW w:w="4869" w:type="dxa"/>
            <w:tcBorders>
              <w:top w:val="single" w:sz="4" w:space="0" w:color="000000"/>
              <w:bottom w:val="single" w:sz="4" w:space="0" w:color="000000"/>
            </w:tcBorders>
          </w:tcPr>
          <w:p>
            <w:pPr>
              <w:pStyle w:val="TableParagraph"/>
              <w:spacing w:line="232" w:lineRule="exact"/>
              <w:ind w:left="115"/>
              <w:rPr>
                <w:b/>
                <w:sz w:val="22"/>
              </w:rPr>
            </w:pPr>
            <w:r>
              <w:rPr>
                <w:b/>
                <w:sz w:val="22"/>
              </w:rPr>
              <w:t>Toplam</w:t>
            </w:r>
          </w:p>
        </w:tc>
        <w:tc>
          <w:tcPr>
            <w:tcW w:w="1120" w:type="dxa"/>
            <w:tcBorders>
              <w:top w:val="single" w:sz="4" w:space="0" w:color="000000"/>
              <w:bottom w:val="single" w:sz="4" w:space="0" w:color="000000"/>
            </w:tcBorders>
          </w:tcPr>
          <w:p>
            <w:pPr>
              <w:pStyle w:val="TableParagraph"/>
              <w:rPr>
                <w:sz w:val="18"/>
              </w:rPr>
            </w:pPr>
          </w:p>
        </w:tc>
        <w:tc>
          <w:tcPr>
            <w:tcW w:w="937" w:type="dxa"/>
            <w:tcBorders>
              <w:top w:val="single" w:sz="4" w:space="0" w:color="000000"/>
              <w:bottom w:val="single" w:sz="4" w:space="0" w:color="000000"/>
            </w:tcBorders>
          </w:tcPr>
          <w:p>
            <w:pPr>
              <w:pStyle w:val="TableParagraph"/>
              <w:spacing w:line="232" w:lineRule="exact"/>
              <w:ind w:left="240"/>
              <w:rPr>
                <w:b/>
                <w:sz w:val="22"/>
              </w:rPr>
            </w:pPr>
            <w:r>
              <w:rPr>
                <w:b/>
                <w:sz w:val="22"/>
              </w:rPr>
              <w:t>105</w:t>
            </w:r>
          </w:p>
        </w:tc>
        <w:tc>
          <w:tcPr>
            <w:tcW w:w="1022" w:type="dxa"/>
            <w:tcBorders>
              <w:top w:val="single" w:sz="4" w:space="0" w:color="000000"/>
              <w:bottom w:val="single" w:sz="4" w:space="0" w:color="000000"/>
            </w:tcBorders>
          </w:tcPr>
          <w:p>
            <w:pPr>
              <w:pStyle w:val="TableParagraph"/>
              <w:spacing w:line="232" w:lineRule="exact"/>
              <w:ind w:left="220"/>
              <w:rPr>
                <w:b/>
                <w:sz w:val="22"/>
              </w:rPr>
            </w:pPr>
            <w:r>
              <w:rPr>
                <w:b/>
                <w:sz w:val="22"/>
              </w:rPr>
              <w:t>100,0</w:t>
            </w:r>
          </w:p>
        </w:tc>
      </w:tr>
    </w:tbl>
    <w:p>
      <w:pPr>
        <w:pStyle w:val="BodyText"/>
        <w:spacing w:before="7"/>
        <w:rPr>
          <w:b/>
          <w:sz w:val="35"/>
        </w:rPr>
      </w:pPr>
    </w:p>
    <w:p>
      <w:pPr>
        <w:pStyle w:val="BodyText"/>
        <w:spacing w:line="360" w:lineRule="auto"/>
        <w:ind w:left="1128" w:right="607" w:firstLine="708"/>
        <w:jc w:val="both"/>
      </w:pPr>
      <w:r>
        <w:rPr/>
        <w:t>‘‘Yaşadığınız</w:t>
      </w:r>
      <w:r>
        <w:rPr>
          <w:spacing w:val="-8"/>
        </w:rPr>
        <w:t> </w:t>
      </w:r>
      <w:r>
        <w:rPr/>
        <w:t>yerde</w:t>
      </w:r>
      <w:r>
        <w:rPr>
          <w:spacing w:val="-13"/>
        </w:rPr>
        <w:t> </w:t>
      </w:r>
      <w:r>
        <w:rPr/>
        <w:t>daha</w:t>
      </w:r>
      <w:r>
        <w:rPr>
          <w:spacing w:val="-10"/>
        </w:rPr>
        <w:t> </w:t>
      </w:r>
      <w:r>
        <w:rPr/>
        <w:t>önce</w:t>
      </w:r>
      <w:r>
        <w:rPr>
          <w:spacing w:val="-12"/>
        </w:rPr>
        <w:t> </w:t>
      </w:r>
      <w:r>
        <w:rPr/>
        <w:t>bir</w:t>
      </w:r>
      <w:r>
        <w:rPr>
          <w:spacing w:val="-11"/>
        </w:rPr>
        <w:t> </w:t>
      </w:r>
      <w:r>
        <w:rPr/>
        <w:t>afet</w:t>
      </w:r>
      <w:r>
        <w:rPr>
          <w:spacing w:val="-11"/>
        </w:rPr>
        <w:t> </w:t>
      </w:r>
      <w:r>
        <w:rPr/>
        <w:t>meydana</w:t>
      </w:r>
      <w:r>
        <w:rPr>
          <w:spacing w:val="-11"/>
        </w:rPr>
        <w:t> </w:t>
      </w:r>
      <w:r>
        <w:rPr/>
        <w:t>geldi</w:t>
      </w:r>
      <w:r>
        <w:rPr>
          <w:spacing w:val="-11"/>
        </w:rPr>
        <w:t> </w:t>
      </w:r>
      <w:r>
        <w:rPr/>
        <w:t>mi?’’</w:t>
      </w:r>
      <w:r>
        <w:rPr>
          <w:spacing w:val="-12"/>
        </w:rPr>
        <w:t> </w:t>
      </w:r>
      <w:r>
        <w:rPr/>
        <w:t>sorusuna</w:t>
      </w:r>
      <w:r>
        <w:rPr>
          <w:spacing w:val="-12"/>
        </w:rPr>
        <w:t> </w:t>
      </w:r>
      <w:r>
        <w:rPr/>
        <w:t>bakıldığında yaşadığı yerde daha önce afet meydana gelmediğini belirten katılımcı oranı %73,3’iken, yaşadığı</w:t>
      </w:r>
      <w:r>
        <w:rPr>
          <w:spacing w:val="-9"/>
        </w:rPr>
        <w:t> </w:t>
      </w:r>
      <w:r>
        <w:rPr/>
        <w:t>yerde</w:t>
      </w:r>
      <w:r>
        <w:rPr>
          <w:spacing w:val="-18"/>
        </w:rPr>
        <w:t> </w:t>
      </w:r>
      <w:r>
        <w:rPr/>
        <w:t>daha</w:t>
      </w:r>
      <w:r>
        <w:rPr>
          <w:spacing w:val="-15"/>
        </w:rPr>
        <w:t> </w:t>
      </w:r>
      <w:r>
        <w:rPr/>
        <w:t>önce</w:t>
      </w:r>
      <w:r>
        <w:rPr>
          <w:spacing w:val="-13"/>
        </w:rPr>
        <w:t> </w:t>
      </w:r>
      <w:r>
        <w:rPr/>
        <w:t>afet</w:t>
      </w:r>
      <w:r>
        <w:rPr>
          <w:spacing w:val="-15"/>
        </w:rPr>
        <w:t> </w:t>
      </w:r>
      <w:r>
        <w:rPr/>
        <w:t>meydana</w:t>
      </w:r>
      <w:r>
        <w:rPr>
          <w:spacing w:val="-13"/>
        </w:rPr>
        <w:t> </w:t>
      </w:r>
      <w:r>
        <w:rPr/>
        <w:t>geldiğini</w:t>
      </w:r>
      <w:r>
        <w:rPr>
          <w:spacing w:val="-16"/>
        </w:rPr>
        <w:t> </w:t>
      </w:r>
      <w:r>
        <w:rPr/>
        <w:t>belirten</w:t>
      </w:r>
      <w:r>
        <w:rPr>
          <w:spacing w:val="-16"/>
        </w:rPr>
        <w:t> </w:t>
      </w:r>
      <w:r>
        <w:rPr/>
        <w:t>katılımcı</w:t>
      </w:r>
      <w:r>
        <w:rPr>
          <w:spacing w:val="-17"/>
        </w:rPr>
        <w:t> </w:t>
      </w:r>
      <w:r>
        <w:rPr/>
        <w:t>oranının</w:t>
      </w:r>
      <w:r>
        <w:rPr>
          <w:spacing w:val="-13"/>
        </w:rPr>
        <w:t> </w:t>
      </w:r>
      <w:r>
        <w:rPr/>
        <w:t>%26,7</w:t>
      </w:r>
      <w:r>
        <w:rPr>
          <w:spacing w:val="-17"/>
        </w:rPr>
        <w:t> </w:t>
      </w:r>
      <w:r>
        <w:rPr/>
        <w:t>olduğu görülmektedir. ‘‘Bir Afet </w:t>
      </w:r>
      <w:r>
        <w:rPr>
          <w:spacing w:val="-3"/>
        </w:rPr>
        <w:t>ya </w:t>
      </w:r>
      <w:r>
        <w:rPr/>
        <w:t>da Olağan dışı durumda görev yaptınız mı?’’ sorusuna bakıldığında</w:t>
      </w:r>
      <w:r>
        <w:rPr>
          <w:spacing w:val="40"/>
        </w:rPr>
        <w:t> </w:t>
      </w:r>
      <w:r>
        <w:rPr/>
        <w:t>çoğunluk</w:t>
      </w:r>
      <w:r>
        <w:rPr>
          <w:spacing w:val="40"/>
        </w:rPr>
        <w:t> </w:t>
      </w:r>
      <w:r>
        <w:rPr/>
        <w:t>afet</w:t>
      </w:r>
      <w:r>
        <w:rPr>
          <w:spacing w:val="43"/>
        </w:rPr>
        <w:t> </w:t>
      </w:r>
      <w:r>
        <w:rPr>
          <w:spacing w:val="-3"/>
        </w:rPr>
        <w:t>ya</w:t>
      </w:r>
      <w:r>
        <w:rPr>
          <w:spacing w:val="38"/>
        </w:rPr>
        <w:t> </w:t>
      </w:r>
      <w:r>
        <w:rPr/>
        <w:t>da</w:t>
      </w:r>
      <w:r>
        <w:rPr>
          <w:spacing w:val="37"/>
        </w:rPr>
        <w:t> </w:t>
      </w:r>
      <w:r>
        <w:rPr/>
        <w:t>olağan</w:t>
      </w:r>
      <w:r>
        <w:rPr>
          <w:spacing w:val="40"/>
        </w:rPr>
        <w:t> </w:t>
      </w:r>
      <w:r>
        <w:rPr/>
        <w:t>dışı</w:t>
      </w:r>
      <w:r>
        <w:rPr>
          <w:spacing w:val="40"/>
        </w:rPr>
        <w:t> </w:t>
      </w:r>
      <w:r>
        <w:rPr/>
        <w:t>durumda</w:t>
      </w:r>
      <w:r>
        <w:rPr>
          <w:spacing w:val="42"/>
        </w:rPr>
        <w:t> </w:t>
      </w:r>
      <w:r>
        <w:rPr/>
        <w:t>görev</w:t>
      </w:r>
      <w:r>
        <w:rPr>
          <w:spacing w:val="45"/>
        </w:rPr>
        <w:t> </w:t>
      </w:r>
      <w:r>
        <w:rPr/>
        <w:t>yapmadığını</w:t>
      </w:r>
      <w:r>
        <w:rPr>
          <w:spacing w:val="39"/>
        </w:rPr>
        <w:t> </w:t>
      </w:r>
      <w:r>
        <w:rPr/>
        <w:t>belirtirken</w:t>
      </w:r>
    </w:p>
    <w:p>
      <w:pPr>
        <w:pStyle w:val="BodyText"/>
        <w:spacing w:line="360" w:lineRule="auto"/>
        <w:ind w:left="1128" w:right="608"/>
        <w:jc w:val="both"/>
      </w:pPr>
      <w:r>
        <w:rPr/>
        <w:t>%78,1, katılımcıların %21,9’unun afet ya da olağan dışı durumda görev yaptığı görülmektedir. ‘‘Daha önce Afetlerle ilgili bir eğitim aldınız mı?’’ sorusunun cevabında eğitim alanların oranı %56,2’iken, eğitim almayanların oranının %43,8 olduğu görülmektedir. Bu oranlardan anlaşılacağı gibi kurum tarafından yüksek oranda eğitim verildiği saptanmıştır. ‘‘Daha önce sizi etkileyen bir Afet yaşadınız mı?’’ sorusunun cevabı olarak daha önce afetten etkilenmediğini belirten katılımcılar %84,8, daha önce afetten etkilendiğini belirten katılımcılar %15,2’dir. ‘‘Afette aile fertlerinizden; akrabalarınızdan veya sevdiklerinizden birini kaybettiniz mi?’’ sorusuna bakıldığında herhangi birini kaybetmediğini belirten katılımcı oranının %96,2, kaybettiğini belirten katılımcı oranının %3,8 olduğu görülmektedir. ‘‘Afetle ilgili herhangi bir tatbikata katıldınız mı?’’ sorusunda tatbikata katılmadığını belirtenlerin oranının %63,8, tatbikata katıldığını belirtenlerin oranının %36,2 olduğu görülmektedir. Çalışmada kullanılan anketin sorularına verilen yanıtların incelenmesi;</w:t>
      </w:r>
    </w:p>
    <w:p>
      <w:pPr>
        <w:spacing w:after="0" w:line="360" w:lineRule="auto"/>
        <w:jc w:val="both"/>
        <w:sectPr>
          <w:pgSz w:w="11910" w:h="16840"/>
          <w:pgMar w:header="0" w:footer="976" w:top="1580" w:bottom="1240" w:left="1140" w:right="520"/>
        </w:sectPr>
      </w:pPr>
    </w:p>
    <w:p>
      <w:pPr>
        <w:pStyle w:val="BodyText"/>
        <w:spacing w:line="360" w:lineRule="auto" w:before="98"/>
        <w:ind w:left="1128" w:right="522" w:firstLine="708"/>
      </w:pPr>
      <w:r>
        <w:rPr/>
        <w:t>Araştırma grubundaki kişilerin afet planları ile ilgili anket sorularının incelenmesi Tablo 4. 6’da gösterilmiştir.</w:t>
      </w:r>
    </w:p>
    <w:p>
      <w:pPr>
        <w:pStyle w:val="Heading1"/>
        <w:spacing w:line="276" w:lineRule="auto" w:before="177" w:after="5"/>
        <w:ind w:left="4150" w:right="1131" w:hanging="2492"/>
      </w:pPr>
      <w:r>
        <w:rPr/>
        <w:t>Tablo 4. 6. Araştırma Grubundaki Kişilerin Afet Planları İle İlgili Anket Sorularının İncelenmesi</w:t>
      </w:r>
    </w:p>
    <w:tbl>
      <w:tblPr>
        <w:tblW w:w="0" w:type="auto"/>
        <w:jc w:val="left"/>
        <w:tblInd w:w="8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12"/>
        <w:gridCol w:w="786"/>
        <w:gridCol w:w="1289"/>
        <w:gridCol w:w="1415"/>
        <w:gridCol w:w="1166"/>
        <w:gridCol w:w="1239"/>
        <w:gridCol w:w="1330"/>
      </w:tblGrid>
      <w:tr>
        <w:trPr>
          <w:trHeight w:val="534" w:hRule="atLeast"/>
        </w:trPr>
        <w:tc>
          <w:tcPr>
            <w:tcW w:w="1712" w:type="dxa"/>
            <w:tcBorders>
              <w:top w:val="single" w:sz="4" w:space="0" w:color="000000"/>
              <w:bottom w:val="single" w:sz="4" w:space="0" w:color="000000"/>
            </w:tcBorders>
          </w:tcPr>
          <w:p>
            <w:pPr>
              <w:pStyle w:val="TableParagraph"/>
              <w:spacing w:before="59"/>
              <w:ind w:left="118"/>
              <w:rPr>
                <w:b/>
                <w:sz w:val="18"/>
              </w:rPr>
            </w:pPr>
            <w:r>
              <w:rPr>
                <w:b/>
                <w:sz w:val="18"/>
              </w:rPr>
              <w:t>Soru</w:t>
            </w:r>
          </w:p>
        </w:tc>
        <w:tc>
          <w:tcPr>
            <w:tcW w:w="786" w:type="dxa"/>
            <w:tcBorders>
              <w:top w:val="single" w:sz="4" w:space="0" w:color="000000"/>
              <w:bottom w:val="single" w:sz="4" w:space="0" w:color="000000"/>
            </w:tcBorders>
          </w:tcPr>
          <w:p>
            <w:pPr>
              <w:pStyle w:val="TableParagraph"/>
              <w:rPr>
                <w:sz w:val="18"/>
              </w:rPr>
            </w:pPr>
          </w:p>
        </w:tc>
        <w:tc>
          <w:tcPr>
            <w:tcW w:w="1289" w:type="dxa"/>
            <w:tcBorders>
              <w:top w:val="single" w:sz="4" w:space="0" w:color="000000"/>
              <w:bottom w:val="single" w:sz="4" w:space="0" w:color="000000"/>
            </w:tcBorders>
          </w:tcPr>
          <w:p>
            <w:pPr>
              <w:pStyle w:val="TableParagraph"/>
              <w:spacing w:before="59"/>
              <w:ind w:left="33" w:right="136"/>
              <w:rPr>
                <w:b/>
                <w:sz w:val="18"/>
              </w:rPr>
            </w:pPr>
            <w:r>
              <w:rPr>
                <w:b/>
                <w:sz w:val="18"/>
              </w:rPr>
              <w:t>Kesinlikle Katılmıyorum</w:t>
            </w:r>
          </w:p>
        </w:tc>
        <w:tc>
          <w:tcPr>
            <w:tcW w:w="1415" w:type="dxa"/>
            <w:tcBorders>
              <w:top w:val="single" w:sz="4" w:space="0" w:color="000000"/>
              <w:bottom w:val="single" w:sz="4" w:space="0" w:color="000000"/>
            </w:tcBorders>
          </w:tcPr>
          <w:p>
            <w:pPr>
              <w:pStyle w:val="TableParagraph"/>
              <w:spacing w:before="59"/>
              <w:ind w:left="160"/>
              <w:rPr>
                <w:b/>
                <w:sz w:val="18"/>
              </w:rPr>
            </w:pPr>
            <w:r>
              <w:rPr>
                <w:b/>
                <w:sz w:val="18"/>
              </w:rPr>
              <w:t>Katılmıyorum</w:t>
            </w:r>
          </w:p>
        </w:tc>
        <w:tc>
          <w:tcPr>
            <w:tcW w:w="1166" w:type="dxa"/>
            <w:tcBorders>
              <w:top w:val="single" w:sz="4" w:space="0" w:color="000000"/>
              <w:bottom w:val="single" w:sz="4" w:space="0" w:color="000000"/>
            </w:tcBorders>
          </w:tcPr>
          <w:p>
            <w:pPr>
              <w:pStyle w:val="TableParagraph"/>
              <w:spacing w:before="59"/>
              <w:ind w:left="161"/>
              <w:rPr>
                <w:b/>
                <w:sz w:val="18"/>
              </w:rPr>
            </w:pPr>
            <w:r>
              <w:rPr>
                <w:b/>
                <w:sz w:val="18"/>
              </w:rPr>
              <w:t>Kararsızım</w:t>
            </w:r>
          </w:p>
        </w:tc>
        <w:tc>
          <w:tcPr>
            <w:tcW w:w="1239" w:type="dxa"/>
            <w:tcBorders>
              <w:top w:val="single" w:sz="4" w:space="0" w:color="000000"/>
              <w:bottom w:val="single" w:sz="4" w:space="0" w:color="000000"/>
            </w:tcBorders>
          </w:tcPr>
          <w:p>
            <w:pPr>
              <w:pStyle w:val="TableParagraph"/>
              <w:spacing w:before="59"/>
              <w:ind w:left="130"/>
              <w:rPr>
                <w:b/>
                <w:sz w:val="18"/>
              </w:rPr>
            </w:pPr>
            <w:r>
              <w:rPr>
                <w:b/>
                <w:sz w:val="18"/>
              </w:rPr>
              <w:t>Katılıyorum</w:t>
            </w:r>
          </w:p>
        </w:tc>
        <w:tc>
          <w:tcPr>
            <w:tcW w:w="1330" w:type="dxa"/>
            <w:tcBorders>
              <w:top w:val="single" w:sz="4" w:space="0" w:color="000000"/>
              <w:bottom w:val="single" w:sz="4" w:space="0" w:color="000000"/>
            </w:tcBorders>
          </w:tcPr>
          <w:p>
            <w:pPr>
              <w:pStyle w:val="TableParagraph"/>
              <w:spacing w:before="59"/>
              <w:ind w:left="166" w:right="194"/>
              <w:rPr>
                <w:b/>
                <w:sz w:val="18"/>
              </w:rPr>
            </w:pPr>
            <w:r>
              <w:rPr>
                <w:b/>
                <w:sz w:val="18"/>
              </w:rPr>
              <w:t>Kesinlikle Katılıyorum</w:t>
            </w:r>
          </w:p>
        </w:tc>
      </w:tr>
      <w:tr>
        <w:trPr>
          <w:trHeight w:val="260" w:hRule="atLeast"/>
        </w:trPr>
        <w:tc>
          <w:tcPr>
            <w:tcW w:w="1712" w:type="dxa"/>
            <w:tcBorders>
              <w:top w:val="single" w:sz="4" w:space="0" w:color="000000"/>
            </w:tcBorders>
          </w:tcPr>
          <w:p>
            <w:pPr>
              <w:pStyle w:val="TableParagraph"/>
              <w:tabs>
                <w:tab w:pos="771" w:val="left" w:leader="none"/>
                <w:tab w:pos="1284" w:val="left" w:leader="none"/>
              </w:tabs>
              <w:spacing w:line="186" w:lineRule="exact" w:before="55"/>
              <w:ind w:left="118"/>
              <w:rPr>
                <w:sz w:val="18"/>
              </w:rPr>
            </w:pPr>
            <w:r>
              <w:rPr>
                <w:b/>
                <w:sz w:val="18"/>
              </w:rPr>
              <w:t>Soru</w:t>
              <w:tab/>
              <w:t>15</w:t>
            </w:r>
            <w:r>
              <w:rPr>
                <w:sz w:val="18"/>
              </w:rPr>
              <w:t>.</w:t>
              <w:tab/>
              <w:t>Afet</w:t>
            </w:r>
          </w:p>
        </w:tc>
        <w:tc>
          <w:tcPr>
            <w:tcW w:w="786" w:type="dxa"/>
            <w:vMerge w:val="restart"/>
            <w:tcBorders>
              <w:top w:val="single" w:sz="4" w:space="0" w:color="000000"/>
              <w:bottom w:val="single" w:sz="4" w:space="0" w:color="000000"/>
            </w:tcBorders>
          </w:tcPr>
          <w:p>
            <w:pPr>
              <w:pStyle w:val="TableParagraph"/>
              <w:spacing w:before="55"/>
              <w:ind w:left="106" w:firstLine="40"/>
              <w:rPr>
                <w:sz w:val="18"/>
              </w:rPr>
            </w:pPr>
            <w:r>
              <w:rPr>
                <w:sz w:val="18"/>
              </w:rPr>
              <w:t>Sayı</w:t>
            </w:r>
          </w:p>
          <w:p>
            <w:pPr>
              <w:pStyle w:val="TableParagraph"/>
              <w:spacing w:before="59"/>
              <w:ind w:left="197" w:right="19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8"/>
              </w:rPr>
            </w:pPr>
          </w:p>
          <w:p>
            <w:pPr>
              <w:pStyle w:val="TableParagraph"/>
              <w:ind w:left="106" w:firstLine="40"/>
              <w:rPr>
                <w:sz w:val="18"/>
              </w:rPr>
            </w:pPr>
            <w:r>
              <w:rPr>
                <w:sz w:val="18"/>
              </w:rPr>
              <w:t>Sayı</w:t>
            </w:r>
          </w:p>
          <w:p>
            <w:pPr>
              <w:pStyle w:val="TableParagraph"/>
              <w:spacing w:before="59"/>
              <w:ind w:left="197" w:right="19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106" w:firstLine="40"/>
              <w:rPr>
                <w:sz w:val="18"/>
              </w:rPr>
            </w:pPr>
            <w:r>
              <w:rPr>
                <w:sz w:val="18"/>
              </w:rPr>
              <w:t>Sayı</w:t>
            </w:r>
          </w:p>
          <w:p>
            <w:pPr>
              <w:pStyle w:val="TableParagraph"/>
              <w:spacing w:before="62"/>
              <w:ind w:left="197" w:right="19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106" w:firstLine="40"/>
              <w:rPr>
                <w:sz w:val="18"/>
              </w:rPr>
            </w:pPr>
            <w:r>
              <w:rPr>
                <w:sz w:val="18"/>
              </w:rPr>
              <w:t>Sayı</w:t>
            </w:r>
          </w:p>
          <w:p>
            <w:pPr>
              <w:pStyle w:val="TableParagraph"/>
              <w:spacing w:before="60"/>
              <w:ind w:left="197" w:right="19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spacing w:before="170"/>
              <w:ind w:left="106" w:firstLine="40"/>
              <w:rPr>
                <w:sz w:val="18"/>
              </w:rPr>
            </w:pPr>
            <w:r>
              <w:rPr>
                <w:sz w:val="18"/>
              </w:rPr>
              <w:t>Sayı</w:t>
            </w:r>
          </w:p>
          <w:p>
            <w:pPr>
              <w:pStyle w:val="TableParagraph"/>
              <w:spacing w:before="62"/>
              <w:ind w:left="197" w:right="19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7"/>
              <w:rPr>
                <w:b/>
                <w:sz w:val="24"/>
              </w:rPr>
            </w:pPr>
          </w:p>
          <w:p>
            <w:pPr>
              <w:pStyle w:val="TableParagraph"/>
              <w:ind w:left="106" w:firstLine="40"/>
              <w:rPr>
                <w:sz w:val="18"/>
              </w:rPr>
            </w:pPr>
            <w:r>
              <w:rPr>
                <w:sz w:val="18"/>
              </w:rPr>
              <w:t>Sayı</w:t>
            </w:r>
          </w:p>
          <w:p>
            <w:pPr>
              <w:pStyle w:val="TableParagraph"/>
              <w:spacing w:before="59"/>
              <w:ind w:left="197" w:right="191" w:hanging="92"/>
              <w:rPr>
                <w:sz w:val="18"/>
              </w:rPr>
            </w:pPr>
            <w:r>
              <w:rPr>
                <w:sz w:val="18"/>
              </w:rPr>
              <w:t>Yüzde (%)</w:t>
            </w:r>
          </w:p>
        </w:tc>
        <w:tc>
          <w:tcPr>
            <w:tcW w:w="1289" w:type="dxa"/>
            <w:vMerge w:val="restart"/>
            <w:tcBorders>
              <w:top w:val="single" w:sz="4" w:space="0" w:color="000000"/>
              <w:bottom w:val="single" w:sz="4" w:space="0" w:color="000000"/>
            </w:tcBorders>
          </w:tcPr>
          <w:p>
            <w:pPr>
              <w:pStyle w:val="TableParagraph"/>
              <w:spacing w:before="55"/>
              <w:ind w:left="213"/>
              <w:rPr>
                <w:sz w:val="18"/>
              </w:rPr>
            </w:pPr>
            <w:r>
              <w:rPr>
                <w:sz w:val="18"/>
              </w:rPr>
              <w:t>10</w:t>
            </w:r>
          </w:p>
          <w:p>
            <w:pPr>
              <w:pStyle w:val="TableParagraph"/>
              <w:spacing w:before="59"/>
              <w:ind w:left="302"/>
              <w:rPr>
                <w:sz w:val="18"/>
              </w:rPr>
            </w:pPr>
            <w:r>
              <w:rPr>
                <w:sz w:val="18"/>
              </w:rPr>
              <w:t>9,5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1"/>
              </w:rPr>
            </w:pPr>
          </w:p>
          <w:p>
            <w:pPr>
              <w:pStyle w:val="TableParagraph"/>
              <w:spacing w:before="1"/>
              <w:ind w:left="213"/>
              <w:rPr>
                <w:sz w:val="18"/>
              </w:rPr>
            </w:pPr>
            <w:r>
              <w:rPr>
                <w:sz w:val="18"/>
              </w:rPr>
              <w:t>14</w:t>
            </w:r>
          </w:p>
          <w:p>
            <w:pPr>
              <w:pStyle w:val="TableParagraph"/>
              <w:spacing w:before="59"/>
              <w:ind w:left="210"/>
              <w:rPr>
                <w:sz w:val="18"/>
              </w:rPr>
            </w:pPr>
            <w:r>
              <w:rPr>
                <w:sz w:val="18"/>
              </w:rPr>
              <w:t>13,3</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1"/>
              </w:rPr>
            </w:pPr>
          </w:p>
          <w:p>
            <w:pPr>
              <w:pStyle w:val="TableParagraph"/>
              <w:ind w:left="213"/>
              <w:rPr>
                <w:sz w:val="18"/>
              </w:rPr>
            </w:pPr>
            <w:r>
              <w:rPr>
                <w:sz w:val="18"/>
              </w:rPr>
              <w:t>11</w:t>
            </w:r>
          </w:p>
          <w:p>
            <w:pPr>
              <w:pStyle w:val="TableParagraph"/>
              <w:spacing w:before="62"/>
              <w:ind w:left="210"/>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1"/>
              </w:rPr>
            </w:pPr>
          </w:p>
          <w:p>
            <w:pPr>
              <w:pStyle w:val="TableParagraph"/>
              <w:ind w:left="213"/>
              <w:rPr>
                <w:sz w:val="18"/>
              </w:rPr>
            </w:pPr>
            <w:r>
              <w:rPr>
                <w:sz w:val="18"/>
              </w:rPr>
              <w:t>14</w:t>
            </w:r>
          </w:p>
          <w:p>
            <w:pPr>
              <w:pStyle w:val="TableParagraph"/>
              <w:spacing w:before="59"/>
              <w:ind w:left="210"/>
              <w:rPr>
                <w:sz w:val="18"/>
              </w:rPr>
            </w:pPr>
            <w:r>
              <w:rPr>
                <w:sz w:val="18"/>
              </w:rPr>
              <w:t>13,3</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18"/>
              </w:rPr>
            </w:pPr>
          </w:p>
          <w:p>
            <w:pPr>
              <w:pStyle w:val="TableParagraph"/>
              <w:ind w:left="302"/>
              <w:rPr>
                <w:sz w:val="18"/>
              </w:rPr>
            </w:pPr>
            <w:r>
              <w:rPr>
                <w:sz w:val="18"/>
              </w:rPr>
              <w:t>9</w:t>
            </w:r>
          </w:p>
          <w:p>
            <w:pPr>
              <w:pStyle w:val="TableParagraph"/>
              <w:spacing w:before="62"/>
              <w:ind w:left="302"/>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ind w:left="213"/>
              <w:rPr>
                <w:sz w:val="18"/>
              </w:rPr>
            </w:pPr>
            <w:r>
              <w:rPr>
                <w:sz w:val="18"/>
              </w:rPr>
              <w:t>11</w:t>
            </w:r>
          </w:p>
          <w:p>
            <w:pPr>
              <w:pStyle w:val="TableParagraph"/>
              <w:spacing w:before="62"/>
              <w:ind w:left="210"/>
              <w:rPr>
                <w:sz w:val="18"/>
              </w:rPr>
            </w:pPr>
            <w:r>
              <w:rPr>
                <w:sz w:val="18"/>
              </w:rPr>
              <w:t>10,5</w:t>
            </w:r>
          </w:p>
        </w:tc>
        <w:tc>
          <w:tcPr>
            <w:tcW w:w="1415" w:type="dxa"/>
            <w:vMerge w:val="restart"/>
            <w:tcBorders>
              <w:top w:val="single" w:sz="4" w:space="0" w:color="000000"/>
              <w:bottom w:val="single" w:sz="4" w:space="0" w:color="000000"/>
            </w:tcBorders>
          </w:tcPr>
          <w:p>
            <w:pPr>
              <w:pStyle w:val="TableParagraph"/>
              <w:spacing w:before="55"/>
              <w:ind w:left="340"/>
              <w:rPr>
                <w:sz w:val="18"/>
              </w:rPr>
            </w:pPr>
            <w:r>
              <w:rPr>
                <w:sz w:val="18"/>
              </w:rPr>
              <w:t>20</w:t>
            </w:r>
          </w:p>
          <w:p>
            <w:pPr>
              <w:pStyle w:val="TableParagraph"/>
              <w:spacing w:before="59"/>
              <w:ind w:left="337"/>
              <w:rPr>
                <w:sz w:val="18"/>
              </w:rPr>
            </w:pPr>
            <w:r>
              <w:rPr>
                <w:sz w:val="18"/>
              </w:rPr>
              <w:t>19,0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1"/>
              </w:rPr>
            </w:pPr>
          </w:p>
          <w:p>
            <w:pPr>
              <w:pStyle w:val="TableParagraph"/>
              <w:spacing w:before="1"/>
              <w:ind w:left="340"/>
              <w:rPr>
                <w:sz w:val="18"/>
              </w:rPr>
            </w:pPr>
            <w:r>
              <w:rPr>
                <w:sz w:val="18"/>
              </w:rPr>
              <w:t>26</w:t>
            </w:r>
          </w:p>
          <w:p>
            <w:pPr>
              <w:pStyle w:val="TableParagraph"/>
              <w:spacing w:before="59"/>
              <w:ind w:left="337"/>
              <w:rPr>
                <w:sz w:val="18"/>
              </w:rPr>
            </w:pPr>
            <w:r>
              <w:rPr>
                <w:sz w:val="18"/>
              </w:rPr>
              <w:t>24,8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1"/>
              </w:rPr>
            </w:pPr>
          </w:p>
          <w:p>
            <w:pPr>
              <w:pStyle w:val="TableParagraph"/>
              <w:ind w:left="340"/>
              <w:rPr>
                <w:sz w:val="18"/>
              </w:rPr>
            </w:pPr>
            <w:r>
              <w:rPr>
                <w:sz w:val="18"/>
              </w:rPr>
              <w:t>26</w:t>
            </w:r>
          </w:p>
          <w:p>
            <w:pPr>
              <w:pStyle w:val="TableParagraph"/>
              <w:spacing w:before="62"/>
              <w:ind w:left="337"/>
              <w:rPr>
                <w:sz w:val="18"/>
              </w:rPr>
            </w:pPr>
            <w:r>
              <w:rPr>
                <w:sz w:val="18"/>
              </w:rPr>
              <w:t>24,8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1"/>
              </w:rPr>
            </w:pPr>
          </w:p>
          <w:p>
            <w:pPr>
              <w:pStyle w:val="TableParagraph"/>
              <w:ind w:left="340"/>
              <w:rPr>
                <w:sz w:val="18"/>
              </w:rPr>
            </w:pPr>
            <w:r>
              <w:rPr>
                <w:sz w:val="18"/>
              </w:rPr>
              <w:t>22</w:t>
            </w:r>
          </w:p>
          <w:p>
            <w:pPr>
              <w:pStyle w:val="TableParagraph"/>
              <w:spacing w:before="59"/>
              <w:ind w:left="337"/>
              <w:rPr>
                <w:sz w:val="18"/>
              </w:rPr>
            </w:pPr>
            <w:r>
              <w:rPr>
                <w:sz w:val="18"/>
              </w:rPr>
              <w:t>21,0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18"/>
              </w:rPr>
            </w:pPr>
          </w:p>
          <w:p>
            <w:pPr>
              <w:pStyle w:val="TableParagraph"/>
              <w:ind w:left="340"/>
              <w:rPr>
                <w:sz w:val="18"/>
              </w:rPr>
            </w:pPr>
            <w:r>
              <w:rPr>
                <w:sz w:val="18"/>
              </w:rPr>
              <w:t>24</w:t>
            </w:r>
          </w:p>
          <w:p>
            <w:pPr>
              <w:pStyle w:val="TableParagraph"/>
              <w:spacing w:before="62"/>
              <w:ind w:left="337"/>
              <w:rPr>
                <w:sz w:val="18"/>
              </w:rPr>
            </w:pPr>
            <w:r>
              <w:rPr>
                <w:sz w:val="18"/>
              </w:rPr>
              <w:t>22,9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ind w:left="340"/>
              <w:rPr>
                <w:sz w:val="18"/>
              </w:rPr>
            </w:pPr>
            <w:r>
              <w:rPr>
                <w:sz w:val="18"/>
              </w:rPr>
              <w:t>14</w:t>
            </w:r>
          </w:p>
          <w:p>
            <w:pPr>
              <w:pStyle w:val="TableParagraph"/>
              <w:spacing w:before="62"/>
              <w:ind w:left="337"/>
              <w:rPr>
                <w:sz w:val="18"/>
              </w:rPr>
            </w:pPr>
            <w:r>
              <w:rPr>
                <w:sz w:val="18"/>
              </w:rPr>
              <w:t>13,3</w:t>
            </w:r>
          </w:p>
        </w:tc>
        <w:tc>
          <w:tcPr>
            <w:tcW w:w="1166" w:type="dxa"/>
            <w:vMerge w:val="restart"/>
            <w:tcBorders>
              <w:top w:val="single" w:sz="4" w:space="0" w:color="000000"/>
              <w:bottom w:val="single" w:sz="4" w:space="0" w:color="000000"/>
            </w:tcBorders>
          </w:tcPr>
          <w:p>
            <w:pPr>
              <w:pStyle w:val="TableParagraph"/>
              <w:spacing w:before="55"/>
              <w:ind w:left="341"/>
              <w:rPr>
                <w:sz w:val="18"/>
              </w:rPr>
            </w:pPr>
            <w:r>
              <w:rPr>
                <w:sz w:val="18"/>
              </w:rPr>
              <w:t>45</w:t>
            </w:r>
          </w:p>
          <w:p>
            <w:pPr>
              <w:pStyle w:val="TableParagraph"/>
              <w:spacing w:before="59"/>
              <w:ind w:left="339"/>
              <w:rPr>
                <w:sz w:val="18"/>
              </w:rPr>
            </w:pPr>
            <w:r>
              <w:rPr>
                <w:sz w:val="18"/>
              </w:rPr>
              <w:t>42,9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1"/>
              </w:rPr>
            </w:pPr>
          </w:p>
          <w:p>
            <w:pPr>
              <w:pStyle w:val="TableParagraph"/>
              <w:spacing w:before="1"/>
              <w:ind w:left="341"/>
              <w:rPr>
                <w:sz w:val="18"/>
              </w:rPr>
            </w:pPr>
            <w:r>
              <w:rPr>
                <w:sz w:val="18"/>
              </w:rPr>
              <w:t>32</w:t>
            </w:r>
          </w:p>
          <w:p>
            <w:pPr>
              <w:pStyle w:val="TableParagraph"/>
              <w:spacing w:before="59"/>
              <w:ind w:left="339"/>
              <w:rPr>
                <w:sz w:val="18"/>
              </w:rPr>
            </w:pPr>
            <w:r>
              <w:rPr>
                <w:sz w:val="18"/>
              </w:rPr>
              <w:t>30,5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1"/>
              </w:rPr>
            </w:pPr>
          </w:p>
          <w:p>
            <w:pPr>
              <w:pStyle w:val="TableParagraph"/>
              <w:ind w:left="341"/>
              <w:rPr>
                <w:sz w:val="18"/>
              </w:rPr>
            </w:pPr>
            <w:r>
              <w:rPr>
                <w:sz w:val="18"/>
              </w:rPr>
              <w:t>34</w:t>
            </w:r>
          </w:p>
          <w:p>
            <w:pPr>
              <w:pStyle w:val="TableParagraph"/>
              <w:spacing w:before="62"/>
              <w:ind w:left="339"/>
              <w:rPr>
                <w:sz w:val="18"/>
              </w:rPr>
            </w:pPr>
            <w:r>
              <w:rPr>
                <w:sz w:val="18"/>
              </w:rPr>
              <w:t>32,4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1"/>
              </w:rPr>
            </w:pPr>
          </w:p>
          <w:p>
            <w:pPr>
              <w:pStyle w:val="TableParagraph"/>
              <w:ind w:left="341"/>
              <w:rPr>
                <w:sz w:val="18"/>
              </w:rPr>
            </w:pPr>
            <w:r>
              <w:rPr>
                <w:sz w:val="18"/>
              </w:rPr>
              <w:t>45</w:t>
            </w:r>
          </w:p>
          <w:p>
            <w:pPr>
              <w:pStyle w:val="TableParagraph"/>
              <w:spacing w:before="59"/>
              <w:ind w:left="339"/>
              <w:rPr>
                <w:sz w:val="18"/>
              </w:rPr>
            </w:pPr>
            <w:r>
              <w:rPr>
                <w:sz w:val="18"/>
              </w:rPr>
              <w:t>42,9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18"/>
              </w:rPr>
            </w:pPr>
          </w:p>
          <w:p>
            <w:pPr>
              <w:pStyle w:val="TableParagraph"/>
              <w:ind w:left="341"/>
              <w:rPr>
                <w:sz w:val="18"/>
              </w:rPr>
            </w:pPr>
            <w:r>
              <w:rPr>
                <w:sz w:val="18"/>
              </w:rPr>
              <w:t>39</w:t>
            </w:r>
          </w:p>
          <w:p>
            <w:pPr>
              <w:pStyle w:val="TableParagraph"/>
              <w:spacing w:before="62"/>
              <w:ind w:left="339"/>
              <w:rPr>
                <w:sz w:val="18"/>
              </w:rPr>
            </w:pPr>
            <w:r>
              <w:rPr>
                <w:sz w:val="18"/>
              </w:rPr>
              <w:t>37,1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ind w:left="341"/>
              <w:rPr>
                <w:sz w:val="18"/>
              </w:rPr>
            </w:pPr>
            <w:r>
              <w:rPr>
                <w:sz w:val="18"/>
              </w:rPr>
              <w:t>39</w:t>
            </w:r>
          </w:p>
          <w:p>
            <w:pPr>
              <w:pStyle w:val="TableParagraph"/>
              <w:spacing w:before="62"/>
              <w:ind w:left="339"/>
              <w:rPr>
                <w:sz w:val="18"/>
              </w:rPr>
            </w:pPr>
            <w:r>
              <w:rPr>
                <w:sz w:val="18"/>
              </w:rPr>
              <w:t>37,1</w:t>
            </w:r>
          </w:p>
        </w:tc>
        <w:tc>
          <w:tcPr>
            <w:tcW w:w="1239" w:type="dxa"/>
            <w:vMerge w:val="restart"/>
            <w:tcBorders>
              <w:top w:val="single" w:sz="4" w:space="0" w:color="000000"/>
              <w:bottom w:val="single" w:sz="4" w:space="0" w:color="000000"/>
            </w:tcBorders>
          </w:tcPr>
          <w:p>
            <w:pPr>
              <w:pStyle w:val="TableParagraph"/>
              <w:spacing w:before="55"/>
              <w:ind w:left="310"/>
              <w:rPr>
                <w:sz w:val="18"/>
              </w:rPr>
            </w:pPr>
            <w:r>
              <w:rPr>
                <w:sz w:val="18"/>
              </w:rPr>
              <w:t>24</w:t>
            </w:r>
          </w:p>
          <w:p>
            <w:pPr>
              <w:pStyle w:val="TableParagraph"/>
              <w:spacing w:before="59"/>
              <w:ind w:left="308"/>
              <w:rPr>
                <w:sz w:val="18"/>
              </w:rPr>
            </w:pPr>
            <w:r>
              <w:rPr>
                <w:sz w:val="18"/>
              </w:rPr>
              <w:t>22,9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1"/>
              </w:rPr>
            </w:pPr>
          </w:p>
          <w:p>
            <w:pPr>
              <w:pStyle w:val="TableParagraph"/>
              <w:spacing w:before="1"/>
              <w:ind w:left="310"/>
              <w:rPr>
                <w:sz w:val="18"/>
              </w:rPr>
            </w:pPr>
            <w:r>
              <w:rPr>
                <w:sz w:val="18"/>
              </w:rPr>
              <w:t>27</w:t>
            </w:r>
          </w:p>
          <w:p>
            <w:pPr>
              <w:pStyle w:val="TableParagraph"/>
              <w:spacing w:before="59"/>
              <w:ind w:left="308"/>
              <w:rPr>
                <w:sz w:val="18"/>
              </w:rPr>
            </w:pPr>
            <w:r>
              <w:rPr>
                <w:sz w:val="18"/>
              </w:rPr>
              <w:t>25,7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1"/>
              </w:rPr>
            </w:pPr>
          </w:p>
          <w:p>
            <w:pPr>
              <w:pStyle w:val="TableParagraph"/>
              <w:ind w:left="310"/>
              <w:rPr>
                <w:sz w:val="18"/>
              </w:rPr>
            </w:pPr>
            <w:r>
              <w:rPr>
                <w:sz w:val="18"/>
              </w:rPr>
              <w:t>27</w:t>
            </w:r>
          </w:p>
          <w:p>
            <w:pPr>
              <w:pStyle w:val="TableParagraph"/>
              <w:spacing w:before="62"/>
              <w:ind w:left="308"/>
              <w:rPr>
                <w:sz w:val="18"/>
              </w:rPr>
            </w:pPr>
            <w:r>
              <w:rPr>
                <w:sz w:val="18"/>
              </w:rPr>
              <w:t>25,7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1"/>
              </w:rPr>
            </w:pPr>
          </w:p>
          <w:p>
            <w:pPr>
              <w:pStyle w:val="TableParagraph"/>
              <w:ind w:left="310"/>
              <w:rPr>
                <w:sz w:val="18"/>
              </w:rPr>
            </w:pPr>
            <w:r>
              <w:rPr>
                <w:sz w:val="18"/>
              </w:rPr>
              <w:t>20</w:t>
            </w:r>
          </w:p>
          <w:p>
            <w:pPr>
              <w:pStyle w:val="TableParagraph"/>
              <w:spacing w:before="59"/>
              <w:ind w:left="308"/>
              <w:rPr>
                <w:sz w:val="18"/>
              </w:rPr>
            </w:pPr>
            <w:r>
              <w:rPr>
                <w:sz w:val="18"/>
              </w:rPr>
              <w:t>19,0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18"/>
              </w:rPr>
            </w:pPr>
          </w:p>
          <w:p>
            <w:pPr>
              <w:pStyle w:val="TableParagraph"/>
              <w:ind w:left="310"/>
              <w:rPr>
                <w:sz w:val="18"/>
              </w:rPr>
            </w:pPr>
            <w:r>
              <w:rPr>
                <w:sz w:val="18"/>
              </w:rPr>
              <w:t>26</w:t>
            </w:r>
          </w:p>
          <w:p>
            <w:pPr>
              <w:pStyle w:val="TableParagraph"/>
              <w:spacing w:before="62"/>
              <w:ind w:left="308"/>
              <w:rPr>
                <w:sz w:val="18"/>
              </w:rPr>
            </w:pPr>
            <w:r>
              <w:rPr>
                <w:sz w:val="18"/>
              </w:rPr>
              <w:t>24,8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ind w:left="310"/>
              <w:rPr>
                <w:sz w:val="18"/>
              </w:rPr>
            </w:pPr>
            <w:r>
              <w:rPr>
                <w:sz w:val="18"/>
              </w:rPr>
              <w:t>29</w:t>
            </w:r>
          </w:p>
          <w:p>
            <w:pPr>
              <w:pStyle w:val="TableParagraph"/>
              <w:spacing w:before="62"/>
              <w:ind w:left="308"/>
              <w:rPr>
                <w:sz w:val="18"/>
              </w:rPr>
            </w:pPr>
            <w:r>
              <w:rPr>
                <w:sz w:val="18"/>
              </w:rPr>
              <w:t>27,6</w:t>
            </w:r>
          </w:p>
        </w:tc>
        <w:tc>
          <w:tcPr>
            <w:tcW w:w="1330" w:type="dxa"/>
            <w:vMerge w:val="restart"/>
            <w:tcBorders>
              <w:top w:val="single" w:sz="4" w:space="0" w:color="000000"/>
              <w:bottom w:val="single" w:sz="4" w:space="0" w:color="000000"/>
            </w:tcBorders>
          </w:tcPr>
          <w:p>
            <w:pPr>
              <w:pStyle w:val="TableParagraph"/>
              <w:spacing w:before="55"/>
              <w:ind w:left="435"/>
              <w:rPr>
                <w:sz w:val="18"/>
              </w:rPr>
            </w:pPr>
            <w:r>
              <w:rPr>
                <w:sz w:val="18"/>
              </w:rPr>
              <w:t>6</w:t>
            </w:r>
          </w:p>
          <w:p>
            <w:pPr>
              <w:pStyle w:val="TableParagraph"/>
              <w:spacing w:before="59"/>
              <w:ind w:left="435"/>
              <w:rPr>
                <w:sz w:val="18"/>
              </w:rPr>
            </w:pPr>
            <w:r>
              <w:rPr>
                <w:sz w:val="18"/>
              </w:rPr>
              <w:t>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1"/>
              </w:rPr>
            </w:pPr>
          </w:p>
          <w:p>
            <w:pPr>
              <w:pStyle w:val="TableParagraph"/>
              <w:spacing w:before="1"/>
              <w:ind w:left="435"/>
              <w:rPr>
                <w:sz w:val="18"/>
              </w:rPr>
            </w:pPr>
            <w:r>
              <w:rPr>
                <w:sz w:val="18"/>
              </w:rPr>
              <w:t>6</w:t>
            </w:r>
          </w:p>
          <w:p>
            <w:pPr>
              <w:pStyle w:val="TableParagraph"/>
              <w:spacing w:before="59"/>
              <w:ind w:left="435"/>
              <w:rPr>
                <w:sz w:val="18"/>
              </w:rPr>
            </w:pPr>
            <w:r>
              <w:rPr>
                <w:sz w:val="18"/>
              </w:rPr>
              <w:t>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1"/>
              </w:rPr>
            </w:pPr>
          </w:p>
          <w:p>
            <w:pPr>
              <w:pStyle w:val="TableParagraph"/>
              <w:ind w:left="435"/>
              <w:rPr>
                <w:sz w:val="18"/>
              </w:rPr>
            </w:pPr>
            <w:r>
              <w:rPr>
                <w:sz w:val="18"/>
              </w:rPr>
              <w:t>7</w:t>
            </w:r>
          </w:p>
          <w:p>
            <w:pPr>
              <w:pStyle w:val="TableParagraph"/>
              <w:spacing w:before="62"/>
              <w:ind w:left="435"/>
              <w:rPr>
                <w:sz w:val="18"/>
              </w:rPr>
            </w:pPr>
            <w:r>
              <w:rPr>
                <w:sz w:val="18"/>
              </w:rPr>
              <w:t>6,7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1"/>
              </w:rPr>
            </w:pPr>
          </w:p>
          <w:p>
            <w:pPr>
              <w:pStyle w:val="TableParagraph"/>
              <w:ind w:left="435"/>
              <w:rPr>
                <w:sz w:val="18"/>
              </w:rPr>
            </w:pPr>
            <w:r>
              <w:rPr>
                <w:sz w:val="18"/>
              </w:rPr>
              <w:t>4</w:t>
            </w:r>
          </w:p>
          <w:p>
            <w:pPr>
              <w:pStyle w:val="TableParagraph"/>
              <w:spacing w:before="59"/>
              <w:ind w:left="435"/>
              <w:rPr>
                <w:sz w:val="18"/>
              </w:rPr>
            </w:pPr>
            <w:r>
              <w:rPr>
                <w:sz w:val="18"/>
              </w:rPr>
              <w:t>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18"/>
              </w:rPr>
            </w:pPr>
          </w:p>
          <w:p>
            <w:pPr>
              <w:pStyle w:val="TableParagraph"/>
              <w:ind w:left="435"/>
              <w:rPr>
                <w:sz w:val="18"/>
              </w:rPr>
            </w:pPr>
            <w:r>
              <w:rPr>
                <w:sz w:val="18"/>
              </w:rPr>
              <w:t>7</w:t>
            </w:r>
          </w:p>
          <w:p>
            <w:pPr>
              <w:pStyle w:val="TableParagraph"/>
              <w:spacing w:before="62"/>
              <w:ind w:left="435"/>
              <w:rPr>
                <w:sz w:val="18"/>
              </w:rPr>
            </w:pPr>
            <w:r>
              <w:rPr>
                <w:sz w:val="18"/>
              </w:rPr>
              <w:t>6,7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ind w:left="346"/>
              <w:rPr>
                <w:sz w:val="18"/>
              </w:rPr>
            </w:pPr>
            <w:r>
              <w:rPr>
                <w:sz w:val="18"/>
              </w:rPr>
              <w:t>12</w:t>
            </w:r>
          </w:p>
          <w:p>
            <w:pPr>
              <w:pStyle w:val="TableParagraph"/>
              <w:spacing w:before="62"/>
              <w:ind w:left="344"/>
              <w:rPr>
                <w:sz w:val="18"/>
              </w:rPr>
            </w:pPr>
            <w:r>
              <w:rPr>
                <w:sz w:val="18"/>
              </w:rPr>
              <w:t>11,4</w:t>
            </w:r>
          </w:p>
        </w:tc>
      </w:tr>
      <w:tr>
        <w:trPr>
          <w:trHeight w:val="196" w:hRule="atLeast"/>
        </w:trPr>
        <w:tc>
          <w:tcPr>
            <w:tcW w:w="1712" w:type="dxa"/>
          </w:tcPr>
          <w:p>
            <w:pPr>
              <w:pStyle w:val="TableParagraph"/>
              <w:tabs>
                <w:tab w:pos="1253" w:val="left" w:leader="none"/>
              </w:tabs>
              <w:spacing w:line="176" w:lineRule="exact"/>
              <w:ind w:left="118"/>
              <w:rPr>
                <w:sz w:val="18"/>
              </w:rPr>
            </w:pPr>
            <w:r>
              <w:rPr>
                <w:sz w:val="18"/>
              </w:rPr>
              <w:t>planımız</w:t>
              <w:tab/>
              <w:t>afete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müdahalede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kurumumuzdan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beklenen hizmetleri</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332" w:val="left" w:leader="none"/>
              </w:tabs>
              <w:spacing w:line="177" w:lineRule="exact"/>
              <w:ind w:left="118"/>
              <w:rPr>
                <w:sz w:val="18"/>
              </w:rPr>
            </w:pPr>
            <w:r>
              <w:rPr>
                <w:sz w:val="18"/>
              </w:rPr>
              <w:t>vermek</w:t>
              <w:tab/>
              <w:t>için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30" w:hRule="atLeast"/>
        </w:trPr>
        <w:tc>
          <w:tcPr>
            <w:tcW w:w="1712" w:type="dxa"/>
          </w:tcPr>
          <w:p>
            <w:pPr>
              <w:pStyle w:val="TableParagraph"/>
              <w:spacing w:line="198" w:lineRule="exact"/>
              <w:ind w:left="118"/>
              <w:rPr>
                <w:sz w:val="18"/>
              </w:rPr>
            </w:pPr>
            <w:r>
              <w:rPr>
                <w:sz w:val="18"/>
              </w:rPr>
              <w:t>yeterlidir.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7" w:hRule="atLeast"/>
        </w:trPr>
        <w:tc>
          <w:tcPr>
            <w:tcW w:w="1712" w:type="dxa"/>
          </w:tcPr>
          <w:p>
            <w:pPr>
              <w:pStyle w:val="TableParagraph"/>
              <w:spacing w:line="183" w:lineRule="exact" w:before="24"/>
              <w:ind w:left="118"/>
              <w:rPr>
                <w:b/>
                <w:sz w:val="18"/>
              </w:rPr>
            </w:pPr>
            <w:r>
              <w:rPr>
                <w:b/>
                <w:sz w:val="18"/>
              </w:rPr>
              <w:t>Soru16.</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4" w:hRule="atLeast"/>
        </w:trPr>
        <w:tc>
          <w:tcPr>
            <w:tcW w:w="1712" w:type="dxa"/>
          </w:tcPr>
          <w:p>
            <w:pPr>
              <w:pStyle w:val="TableParagraph"/>
              <w:spacing w:line="174" w:lineRule="exact"/>
              <w:ind w:left="118"/>
              <w:rPr>
                <w:sz w:val="18"/>
              </w:rPr>
            </w:pPr>
            <w:r>
              <w:rPr>
                <w:sz w:val="18"/>
              </w:rPr>
              <w:t>Kurumumuzun afet</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planı personel ve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yöneticiler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tarafından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433" w:val="left" w:leader="none"/>
              </w:tabs>
              <w:spacing w:line="176" w:lineRule="exact"/>
              <w:ind w:left="118"/>
              <w:rPr>
                <w:sz w:val="18"/>
              </w:rPr>
            </w:pPr>
            <w:r>
              <w:rPr>
                <w:sz w:val="18"/>
              </w:rPr>
              <w:t>bilinmektedir</w:t>
              <w:tab/>
              <w:t>ve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6" w:hRule="atLeast"/>
        </w:trPr>
        <w:tc>
          <w:tcPr>
            <w:tcW w:w="1712" w:type="dxa"/>
          </w:tcPr>
          <w:p>
            <w:pPr>
              <w:pStyle w:val="TableParagraph"/>
              <w:spacing w:line="198" w:lineRule="exact"/>
              <w:ind w:left="118"/>
              <w:rPr>
                <w:sz w:val="18"/>
              </w:rPr>
            </w:pPr>
            <w:r>
              <w:rPr>
                <w:sz w:val="18"/>
              </w:rPr>
              <w:t>desteklenmektedir.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7" w:hRule="atLeast"/>
        </w:trPr>
        <w:tc>
          <w:tcPr>
            <w:tcW w:w="1712" w:type="dxa"/>
          </w:tcPr>
          <w:p>
            <w:pPr>
              <w:pStyle w:val="TableParagraph"/>
              <w:tabs>
                <w:tab w:pos="771" w:val="left" w:leader="none"/>
                <w:tab w:pos="1285" w:val="left" w:leader="none"/>
              </w:tabs>
              <w:spacing w:line="187" w:lineRule="exact" w:before="21"/>
              <w:ind w:left="118"/>
              <w:rPr>
                <w:sz w:val="18"/>
              </w:rPr>
            </w:pPr>
            <w:r>
              <w:rPr>
                <w:b/>
                <w:sz w:val="18"/>
              </w:rPr>
              <w:t>Soru</w:t>
              <w:tab/>
              <w:t>17.</w:t>
              <w:tab/>
            </w:r>
            <w:r>
              <w:rPr>
                <w:sz w:val="18"/>
              </w:rPr>
              <w:t>Afet</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1195" w:val="left" w:leader="none"/>
              </w:tabs>
              <w:spacing w:line="178" w:lineRule="exact"/>
              <w:ind w:left="118"/>
              <w:rPr>
                <w:sz w:val="18"/>
              </w:rPr>
            </w:pPr>
            <w:r>
              <w:rPr>
                <w:sz w:val="18"/>
              </w:rPr>
              <w:t>planında</w:t>
              <w:tab/>
              <w:t>görev</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854" w:val="left" w:leader="none"/>
              </w:tabs>
              <w:spacing w:line="176" w:lineRule="exact"/>
              <w:ind w:left="118"/>
              <w:rPr>
                <w:sz w:val="18"/>
              </w:rPr>
            </w:pPr>
            <w:r>
              <w:rPr>
                <w:sz w:val="18"/>
              </w:rPr>
              <w:t>yapan</w:t>
              <w:tab/>
              <w:t>personelin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görevini tam olarak</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bilmektedir.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1154" w:val="left" w:leader="none"/>
              </w:tabs>
              <w:spacing w:line="178" w:lineRule="exact"/>
              <w:ind w:left="118"/>
              <w:rPr>
                <w:sz w:val="18"/>
              </w:rPr>
            </w:pPr>
            <w:r>
              <w:rPr>
                <w:sz w:val="18"/>
              </w:rPr>
              <w:t>Görevini</w:t>
              <w:tab/>
              <w:t>yerine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1226" w:val="left" w:leader="none"/>
              </w:tabs>
              <w:spacing w:line="178" w:lineRule="exact"/>
              <w:ind w:left="118"/>
              <w:rPr>
                <w:sz w:val="18"/>
              </w:rPr>
            </w:pPr>
            <w:r>
              <w:rPr>
                <w:sz w:val="18"/>
              </w:rPr>
              <w:t>getirecek</w:t>
              <w:tab/>
              <w:t>bilgi,</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beceri ve kabiliyete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15" w:hRule="atLeast"/>
        </w:trPr>
        <w:tc>
          <w:tcPr>
            <w:tcW w:w="1712" w:type="dxa"/>
          </w:tcPr>
          <w:p>
            <w:pPr>
              <w:pStyle w:val="TableParagraph"/>
              <w:spacing w:line="196" w:lineRule="exact"/>
              <w:ind w:left="118"/>
              <w:rPr>
                <w:sz w:val="18"/>
              </w:rPr>
            </w:pPr>
            <w:r>
              <w:rPr>
                <w:sz w:val="18"/>
              </w:rPr>
              <w:t>sahiptir.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38" w:hRule="atLeast"/>
        </w:trPr>
        <w:tc>
          <w:tcPr>
            <w:tcW w:w="1712" w:type="dxa"/>
          </w:tcPr>
          <w:p>
            <w:pPr>
              <w:pStyle w:val="TableParagraph"/>
              <w:spacing w:line="219" w:lineRule="exact"/>
              <w:ind w:left="118"/>
              <w:rPr>
                <w:sz w:val="18"/>
              </w:rPr>
            </w:pPr>
            <w:r>
              <w:rPr>
                <w:b/>
                <w:sz w:val="18"/>
              </w:rPr>
              <w:t>Soru18</w:t>
            </w:r>
            <w:r>
              <w:rPr>
                <w:rFonts w:ascii="Trebuchet MS"/>
                <w:b/>
                <w:sz w:val="22"/>
              </w:rPr>
              <w:t>.</w:t>
            </w:r>
            <w:r>
              <w:rPr>
                <w:sz w:val="18"/>
              </w:rPr>
              <w:t>Kurumumu</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9" w:hRule="atLeast"/>
        </w:trPr>
        <w:tc>
          <w:tcPr>
            <w:tcW w:w="1712" w:type="dxa"/>
          </w:tcPr>
          <w:p>
            <w:pPr>
              <w:pStyle w:val="TableParagraph"/>
              <w:spacing w:line="179" w:lineRule="exact"/>
              <w:ind w:left="118"/>
              <w:rPr>
                <w:sz w:val="18"/>
              </w:rPr>
            </w:pPr>
            <w:r>
              <w:rPr>
                <w:sz w:val="18"/>
              </w:rPr>
              <w:t>zun Afet Planı bir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783" w:val="left" w:leader="none"/>
              </w:tabs>
              <w:spacing w:line="178" w:lineRule="exact"/>
              <w:ind w:left="118"/>
              <w:rPr>
                <w:sz w:val="18"/>
              </w:rPr>
            </w:pPr>
            <w:r>
              <w:rPr>
                <w:sz w:val="18"/>
              </w:rPr>
              <w:t>afet</w:t>
              <w:tab/>
              <w:t>durumunda</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kolayca</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401" w:val="left" w:leader="none"/>
              </w:tabs>
              <w:spacing w:line="176" w:lineRule="exact"/>
              <w:ind w:left="118"/>
              <w:rPr>
                <w:sz w:val="18"/>
              </w:rPr>
            </w:pPr>
            <w:r>
              <w:rPr>
                <w:sz w:val="18"/>
              </w:rPr>
              <w:t>ulaşılabilecek</w:t>
              <w:tab/>
              <w:t>bir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1203" w:val="left" w:leader="none"/>
              </w:tabs>
              <w:spacing w:line="178" w:lineRule="exact"/>
              <w:ind w:left="118"/>
              <w:rPr>
                <w:sz w:val="18"/>
              </w:rPr>
            </w:pPr>
            <w:r>
              <w:rPr>
                <w:sz w:val="18"/>
              </w:rPr>
              <w:t>kaç</w:t>
              <w:tab/>
              <w:t>yerde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7" w:hRule="atLeast"/>
        </w:trPr>
        <w:tc>
          <w:tcPr>
            <w:tcW w:w="1712" w:type="dxa"/>
          </w:tcPr>
          <w:p>
            <w:pPr>
              <w:pStyle w:val="TableParagraph"/>
              <w:spacing w:line="199" w:lineRule="exact"/>
              <w:ind w:left="118"/>
              <w:rPr>
                <w:sz w:val="18"/>
              </w:rPr>
            </w:pPr>
            <w:r>
              <w:rPr>
                <w:sz w:val="18"/>
              </w:rPr>
              <w:t>yedeklenmiştir.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6" w:hRule="atLeast"/>
        </w:trPr>
        <w:tc>
          <w:tcPr>
            <w:tcW w:w="1712" w:type="dxa"/>
          </w:tcPr>
          <w:p>
            <w:pPr>
              <w:pStyle w:val="TableParagraph"/>
              <w:tabs>
                <w:tab w:pos="1256" w:val="left" w:leader="none"/>
              </w:tabs>
              <w:spacing w:line="186" w:lineRule="exact" w:before="21"/>
              <w:ind w:left="118"/>
              <w:rPr>
                <w:sz w:val="18"/>
              </w:rPr>
            </w:pPr>
            <w:r>
              <w:rPr>
                <w:b/>
                <w:sz w:val="18"/>
              </w:rPr>
              <w:t>Soru</w:t>
            </w:r>
            <w:r>
              <w:rPr>
                <w:b/>
                <w:spacing w:val="-2"/>
                <w:sz w:val="18"/>
              </w:rPr>
              <w:t> </w:t>
            </w:r>
            <w:r>
              <w:rPr>
                <w:b/>
                <w:sz w:val="18"/>
              </w:rPr>
              <w:t>19.</w:t>
            </w:r>
            <w:r>
              <w:rPr>
                <w:sz w:val="18"/>
              </w:rPr>
              <w:t>Bir</w:t>
              <w:tab/>
              <w:t>afete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262" w:val="left" w:leader="none"/>
              </w:tabs>
              <w:spacing w:line="176" w:lineRule="exact"/>
              <w:ind w:left="118"/>
              <w:rPr>
                <w:sz w:val="18"/>
              </w:rPr>
            </w:pPr>
            <w:r>
              <w:rPr>
                <w:sz w:val="18"/>
              </w:rPr>
              <w:t>müdahale</w:t>
              <w:tab/>
              <w:t>eden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1174" w:val="left" w:leader="none"/>
              </w:tabs>
              <w:spacing w:line="178" w:lineRule="exact"/>
              <w:ind w:left="118"/>
              <w:rPr>
                <w:sz w:val="18"/>
              </w:rPr>
            </w:pPr>
            <w:r>
              <w:rPr>
                <w:sz w:val="18"/>
              </w:rPr>
              <w:t>görev</w:t>
              <w:tab/>
              <w:t>yapan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personelin sayıca az</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ve yetersiz kaldığı</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durumlarda,</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kurumumuzun afet</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tabs>
                <w:tab w:pos="994" w:val="left" w:leader="none"/>
              </w:tabs>
              <w:spacing w:line="178" w:lineRule="exact"/>
              <w:ind w:left="118"/>
              <w:rPr>
                <w:sz w:val="18"/>
              </w:rPr>
            </w:pPr>
            <w:r>
              <w:rPr>
                <w:sz w:val="18"/>
              </w:rPr>
              <w:t>planında</w:t>
              <w:tab/>
              <w:t>personel</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265" w:val="left" w:leader="none"/>
              </w:tabs>
              <w:spacing w:line="176" w:lineRule="exact"/>
              <w:ind w:left="118"/>
              <w:rPr>
                <w:sz w:val="18"/>
              </w:rPr>
            </w:pPr>
            <w:r>
              <w:rPr>
                <w:sz w:val="18"/>
              </w:rPr>
              <w:t>ihtiyacının</w:t>
              <w:tab/>
              <w:t>nasıl</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7" w:lineRule="exact"/>
              <w:ind w:left="118"/>
              <w:rPr>
                <w:sz w:val="18"/>
              </w:rPr>
            </w:pPr>
            <w:r>
              <w:rPr>
                <w:sz w:val="18"/>
              </w:rPr>
              <w:t>karşılanacağı etkin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095" w:val="left" w:leader="none"/>
              </w:tabs>
              <w:spacing w:line="177" w:lineRule="exact"/>
              <w:ind w:left="118"/>
              <w:rPr>
                <w:sz w:val="18"/>
              </w:rPr>
            </w:pPr>
            <w:r>
              <w:rPr>
                <w:sz w:val="18"/>
              </w:rPr>
              <w:t>bir</w:t>
              <w:tab/>
              <w:t>şekilde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30" w:hRule="atLeast"/>
        </w:trPr>
        <w:tc>
          <w:tcPr>
            <w:tcW w:w="1712" w:type="dxa"/>
          </w:tcPr>
          <w:p>
            <w:pPr>
              <w:pStyle w:val="TableParagraph"/>
              <w:spacing w:line="198" w:lineRule="exact"/>
              <w:ind w:left="118"/>
              <w:rPr>
                <w:sz w:val="18"/>
              </w:rPr>
            </w:pPr>
            <w:r>
              <w:rPr>
                <w:sz w:val="18"/>
              </w:rPr>
              <w:t>planlanmıştır.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27" w:hRule="atLeast"/>
        </w:trPr>
        <w:tc>
          <w:tcPr>
            <w:tcW w:w="1712" w:type="dxa"/>
          </w:tcPr>
          <w:p>
            <w:pPr>
              <w:pStyle w:val="TableParagraph"/>
              <w:spacing w:line="183" w:lineRule="exact" w:before="24"/>
              <w:ind w:left="118"/>
              <w:rPr>
                <w:b/>
                <w:sz w:val="18"/>
              </w:rPr>
            </w:pPr>
            <w:r>
              <w:rPr>
                <w:b/>
                <w:sz w:val="18"/>
              </w:rPr>
              <w:t>Soru 20.</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3" w:hRule="atLeast"/>
        </w:trPr>
        <w:tc>
          <w:tcPr>
            <w:tcW w:w="1712" w:type="dxa"/>
          </w:tcPr>
          <w:p>
            <w:pPr>
              <w:pStyle w:val="TableParagraph"/>
              <w:tabs>
                <w:tab w:pos="1433" w:val="left" w:leader="none"/>
              </w:tabs>
              <w:spacing w:line="174" w:lineRule="exact"/>
              <w:ind w:left="118"/>
              <w:rPr>
                <w:sz w:val="18"/>
              </w:rPr>
            </w:pPr>
            <w:r>
              <w:rPr>
                <w:sz w:val="18"/>
              </w:rPr>
              <w:t>Kurumumuzun</w:t>
              <w:tab/>
              <w:t>ve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025" w:val="left" w:leader="none"/>
              </w:tabs>
              <w:spacing w:line="176" w:lineRule="exact"/>
              <w:ind w:left="118"/>
              <w:rPr>
                <w:sz w:val="18"/>
              </w:rPr>
            </w:pPr>
            <w:r>
              <w:rPr>
                <w:sz w:val="18"/>
              </w:rPr>
              <w:t>ilde</w:t>
              <w:tab/>
              <w:t>bulunan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kurumların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kapasitelerinin</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tabs>
                <w:tab w:pos="1073" w:val="left" w:leader="none"/>
              </w:tabs>
              <w:spacing w:line="176" w:lineRule="exact"/>
              <w:ind w:left="118"/>
              <w:rPr>
                <w:sz w:val="18"/>
              </w:rPr>
            </w:pPr>
            <w:r>
              <w:rPr>
                <w:sz w:val="18"/>
              </w:rPr>
              <w:t>dolması</w:t>
              <w:tab/>
              <w:t>halinde</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6" w:hRule="atLeast"/>
        </w:trPr>
        <w:tc>
          <w:tcPr>
            <w:tcW w:w="1712" w:type="dxa"/>
          </w:tcPr>
          <w:p>
            <w:pPr>
              <w:pStyle w:val="TableParagraph"/>
              <w:spacing w:line="176" w:lineRule="exact"/>
              <w:ind w:left="118"/>
              <w:rPr>
                <w:sz w:val="18"/>
              </w:rPr>
            </w:pPr>
            <w:r>
              <w:rPr>
                <w:sz w:val="18"/>
              </w:rPr>
              <w:t>yaralılarının tedavi</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ve sevki ile ilgili</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197" w:hRule="atLeast"/>
        </w:trPr>
        <w:tc>
          <w:tcPr>
            <w:tcW w:w="1712" w:type="dxa"/>
          </w:tcPr>
          <w:p>
            <w:pPr>
              <w:pStyle w:val="TableParagraph"/>
              <w:spacing w:line="178" w:lineRule="exact"/>
              <w:ind w:left="118"/>
              <w:rPr>
                <w:sz w:val="18"/>
              </w:rPr>
            </w:pPr>
            <w:r>
              <w:rPr>
                <w:sz w:val="18"/>
              </w:rPr>
              <w:t>prosedürler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r>
        <w:trPr>
          <w:trHeight w:val="261" w:hRule="atLeast"/>
        </w:trPr>
        <w:tc>
          <w:tcPr>
            <w:tcW w:w="1712" w:type="dxa"/>
            <w:tcBorders>
              <w:bottom w:val="single" w:sz="4" w:space="0" w:color="000000"/>
            </w:tcBorders>
          </w:tcPr>
          <w:p>
            <w:pPr>
              <w:pStyle w:val="TableParagraph"/>
              <w:spacing w:line="198" w:lineRule="exact"/>
              <w:ind w:left="118"/>
              <w:rPr>
                <w:sz w:val="18"/>
              </w:rPr>
            </w:pPr>
            <w:r>
              <w:rPr>
                <w:sz w:val="18"/>
              </w:rPr>
              <w:t>oluşturulmuştur.</w:t>
            </w:r>
          </w:p>
        </w:tc>
        <w:tc>
          <w:tcPr>
            <w:tcW w:w="786" w:type="dxa"/>
            <w:vMerge/>
            <w:tcBorders>
              <w:top w:val="nil"/>
              <w:bottom w:val="single" w:sz="4" w:space="0" w:color="000000"/>
            </w:tcBorders>
          </w:tcPr>
          <w:p>
            <w:pPr>
              <w:rPr>
                <w:sz w:val="2"/>
                <w:szCs w:val="2"/>
              </w:rPr>
            </w:pPr>
          </w:p>
        </w:tc>
        <w:tc>
          <w:tcPr>
            <w:tcW w:w="1289" w:type="dxa"/>
            <w:vMerge/>
            <w:tcBorders>
              <w:top w:val="nil"/>
              <w:bottom w:val="single" w:sz="4" w:space="0" w:color="000000"/>
            </w:tcBorders>
          </w:tcPr>
          <w:p>
            <w:pPr>
              <w:rPr>
                <w:sz w:val="2"/>
                <w:szCs w:val="2"/>
              </w:rPr>
            </w:pPr>
          </w:p>
        </w:tc>
        <w:tc>
          <w:tcPr>
            <w:tcW w:w="1415" w:type="dxa"/>
            <w:vMerge/>
            <w:tcBorders>
              <w:top w:val="nil"/>
              <w:bottom w:val="single" w:sz="4" w:space="0" w:color="000000"/>
            </w:tcBorders>
          </w:tcPr>
          <w:p>
            <w:pPr>
              <w:rPr>
                <w:sz w:val="2"/>
                <w:szCs w:val="2"/>
              </w:rPr>
            </w:pPr>
          </w:p>
        </w:tc>
        <w:tc>
          <w:tcPr>
            <w:tcW w:w="1166" w:type="dxa"/>
            <w:vMerge/>
            <w:tcBorders>
              <w:top w:val="nil"/>
              <w:bottom w:val="single" w:sz="4" w:space="0" w:color="000000"/>
            </w:tcBorders>
          </w:tcPr>
          <w:p>
            <w:pPr>
              <w:rPr>
                <w:sz w:val="2"/>
                <w:szCs w:val="2"/>
              </w:rPr>
            </w:pPr>
          </w:p>
        </w:tc>
        <w:tc>
          <w:tcPr>
            <w:tcW w:w="1239" w:type="dxa"/>
            <w:vMerge/>
            <w:tcBorders>
              <w:top w:val="nil"/>
              <w:bottom w:val="single" w:sz="4" w:space="0" w:color="000000"/>
            </w:tcBorders>
          </w:tcPr>
          <w:p>
            <w:pPr>
              <w:rPr>
                <w:sz w:val="2"/>
                <w:szCs w:val="2"/>
              </w:rPr>
            </w:pPr>
          </w:p>
        </w:tc>
        <w:tc>
          <w:tcPr>
            <w:tcW w:w="1330" w:type="dxa"/>
            <w:vMerge/>
            <w:tcBorders>
              <w:top w:val="nil"/>
              <w:bottom w:val="single" w:sz="4" w:space="0" w:color="000000"/>
            </w:tcBorders>
          </w:tcPr>
          <w:p>
            <w:pPr>
              <w:rPr>
                <w:sz w:val="2"/>
                <w:szCs w:val="2"/>
              </w:rPr>
            </w:pPr>
          </w:p>
        </w:tc>
      </w:tr>
    </w:tbl>
    <w:p>
      <w:pPr>
        <w:spacing w:after="0"/>
        <w:rPr>
          <w:sz w:val="2"/>
          <w:szCs w:val="2"/>
        </w:rPr>
        <w:sectPr>
          <w:pgSz w:w="11910" w:h="16840"/>
          <w:pgMar w:header="0" w:footer="976" w:top="1580" w:bottom="1240" w:left="1140" w:right="520"/>
        </w:sectPr>
      </w:pPr>
    </w:p>
    <w:p>
      <w:pPr>
        <w:pStyle w:val="BodyText"/>
        <w:spacing w:before="11"/>
        <w:rPr>
          <w:b/>
          <w:sz w:val="8"/>
        </w:rPr>
      </w:pPr>
    </w:p>
    <w:tbl>
      <w:tblPr>
        <w:tblW w:w="0" w:type="auto"/>
        <w:jc w:val="left"/>
        <w:tblInd w:w="8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08"/>
        <w:gridCol w:w="787"/>
        <w:gridCol w:w="1075"/>
        <w:gridCol w:w="1416"/>
        <w:gridCol w:w="1276"/>
        <w:gridCol w:w="1251"/>
        <w:gridCol w:w="1426"/>
      </w:tblGrid>
      <w:tr>
        <w:trPr>
          <w:trHeight w:val="1922" w:hRule="atLeast"/>
        </w:trPr>
        <w:tc>
          <w:tcPr>
            <w:tcW w:w="1708" w:type="dxa"/>
            <w:tcBorders>
              <w:top w:val="single" w:sz="4" w:space="0" w:color="000000"/>
              <w:bottom w:val="single" w:sz="4" w:space="0" w:color="000000"/>
            </w:tcBorders>
          </w:tcPr>
          <w:p>
            <w:pPr>
              <w:pStyle w:val="TableParagraph"/>
              <w:tabs>
                <w:tab w:pos="1372" w:val="left" w:leader="none"/>
              </w:tabs>
              <w:spacing w:line="204" w:lineRule="exact"/>
              <w:ind w:left="115"/>
              <w:rPr>
                <w:b/>
                <w:sz w:val="18"/>
              </w:rPr>
            </w:pPr>
            <w:r>
              <w:rPr>
                <w:b/>
                <w:sz w:val="18"/>
              </w:rPr>
              <w:t>Soru</w:t>
              <w:tab/>
              <w:t>21.</w:t>
            </w:r>
          </w:p>
          <w:p>
            <w:pPr>
              <w:pStyle w:val="TableParagraph"/>
              <w:tabs>
                <w:tab w:pos="901" w:val="left" w:leader="none"/>
                <w:tab w:pos="1331" w:val="left" w:leader="none"/>
              </w:tabs>
              <w:ind w:left="115" w:right="104"/>
              <w:rPr>
                <w:sz w:val="18"/>
              </w:rPr>
            </w:pPr>
            <w:r>
              <w:rPr>
                <w:sz w:val="18"/>
              </w:rPr>
              <w:t>Kurumumuzun Afet Planında afet zarara azaltımı</w:t>
              <w:tab/>
            </w:r>
            <w:r>
              <w:rPr>
                <w:spacing w:val="-1"/>
                <w:sz w:val="18"/>
              </w:rPr>
              <w:t>yaklaşımı </w:t>
            </w:r>
            <w:r>
              <w:rPr>
                <w:sz w:val="18"/>
              </w:rPr>
              <w:t>benimsenmiş, plan hazırlanırken</w:t>
              <w:tab/>
              <w:t>risk azaltımı ile ilgili çalışmalar yapılmıştır.</w:t>
            </w:r>
          </w:p>
        </w:tc>
        <w:tc>
          <w:tcPr>
            <w:tcW w:w="787" w:type="dxa"/>
            <w:tcBorders>
              <w:top w:val="single" w:sz="4" w:space="0" w:color="000000"/>
              <w:bottom w:val="single" w:sz="4" w:space="0" w:color="000000"/>
            </w:tcBorders>
          </w:tcPr>
          <w:p>
            <w:pPr>
              <w:pStyle w:val="TableParagraph"/>
              <w:spacing w:line="202" w:lineRule="exact"/>
              <w:ind w:left="147"/>
              <w:rPr>
                <w:sz w:val="18"/>
              </w:rPr>
            </w:pPr>
            <w:r>
              <w:rPr>
                <w:sz w:val="18"/>
              </w:rPr>
              <w:t>Sayı</w:t>
            </w:r>
          </w:p>
          <w:p>
            <w:pPr>
              <w:pStyle w:val="TableParagraph"/>
              <w:spacing w:before="59"/>
              <w:ind w:left="198" w:right="191" w:hanging="92"/>
              <w:rPr>
                <w:sz w:val="18"/>
              </w:rPr>
            </w:pPr>
            <w:r>
              <w:rPr>
                <w:sz w:val="18"/>
              </w:rPr>
              <w:t>Yüzde (%)</w:t>
            </w:r>
          </w:p>
        </w:tc>
        <w:tc>
          <w:tcPr>
            <w:tcW w:w="1075" w:type="dxa"/>
            <w:tcBorders>
              <w:top w:val="single" w:sz="4" w:space="0" w:color="000000"/>
              <w:bottom w:val="single" w:sz="4" w:space="0" w:color="000000"/>
            </w:tcBorders>
          </w:tcPr>
          <w:p>
            <w:pPr>
              <w:pStyle w:val="TableParagraph"/>
              <w:spacing w:line="202" w:lineRule="exact"/>
              <w:ind w:left="212"/>
              <w:rPr>
                <w:sz w:val="18"/>
              </w:rPr>
            </w:pPr>
            <w:r>
              <w:rPr>
                <w:sz w:val="18"/>
              </w:rPr>
              <w:t>11</w:t>
            </w:r>
          </w:p>
          <w:p>
            <w:pPr>
              <w:pStyle w:val="TableParagraph"/>
              <w:spacing w:before="59"/>
              <w:ind w:left="210"/>
              <w:rPr>
                <w:sz w:val="18"/>
              </w:rPr>
            </w:pPr>
            <w:r>
              <w:rPr>
                <w:sz w:val="18"/>
              </w:rPr>
              <w:t>10,5</w:t>
            </w:r>
          </w:p>
        </w:tc>
        <w:tc>
          <w:tcPr>
            <w:tcW w:w="1416" w:type="dxa"/>
            <w:tcBorders>
              <w:top w:val="single" w:sz="4" w:space="0" w:color="000000"/>
              <w:bottom w:val="single" w:sz="4" w:space="0" w:color="000000"/>
            </w:tcBorders>
          </w:tcPr>
          <w:p>
            <w:pPr>
              <w:pStyle w:val="TableParagraph"/>
              <w:spacing w:line="202" w:lineRule="exact"/>
              <w:ind w:left="405" w:right="529"/>
              <w:jc w:val="center"/>
              <w:rPr>
                <w:sz w:val="18"/>
              </w:rPr>
            </w:pPr>
            <w:r>
              <w:rPr>
                <w:sz w:val="18"/>
              </w:rPr>
              <w:t>16</w:t>
            </w:r>
          </w:p>
          <w:p>
            <w:pPr>
              <w:pStyle w:val="TableParagraph"/>
              <w:spacing w:before="59"/>
              <w:ind w:left="531" w:right="529"/>
              <w:jc w:val="center"/>
              <w:rPr>
                <w:sz w:val="18"/>
              </w:rPr>
            </w:pPr>
            <w:r>
              <w:rPr>
                <w:sz w:val="18"/>
              </w:rPr>
              <w:t>15,2</w:t>
            </w:r>
          </w:p>
        </w:tc>
        <w:tc>
          <w:tcPr>
            <w:tcW w:w="1276" w:type="dxa"/>
            <w:tcBorders>
              <w:top w:val="single" w:sz="4" w:space="0" w:color="000000"/>
              <w:bottom w:val="single" w:sz="4" w:space="0" w:color="000000"/>
            </w:tcBorders>
          </w:tcPr>
          <w:p>
            <w:pPr>
              <w:pStyle w:val="TableParagraph"/>
              <w:spacing w:line="202" w:lineRule="exact"/>
              <w:ind w:left="403" w:right="389"/>
              <w:jc w:val="center"/>
              <w:rPr>
                <w:sz w:val="18"/>
              </w:rPr>
            </w:pPr>
            <w:r>
              <w:rPr>
                <w:sz w:val="18"/>
              </w:rPr>
              <w:t>41</w:t>
            </w:r>
          </w:p>
          <w:p>
            <w:pPr>
              <w:pStyle w:val="TableParagraph"/>
              <w:spacing w:before="59"/>
              <w:ind w:left="460" w:right="318"/>
              <w:jc w:val="center"/>
              <w:rPr>
                <w:sz w:val="18"/>
              </w:rPr>
            </w:pPr>
            <w:r>
              <w:rPr>
                <w:sz w:val="18"/>
              </w:rPr>
              <w:t>39,0</w:t>
            </w:r>
          </w:p>
        </w:tc>
        <w:tc>
          <w:tcPr>
            <w:tcW w:w="1251" w:type="dxa"/>
            <w:tcBorders>
              <w:top w:val="single" w:sz="4" w:space="0" w:color="000000"/>
              <w:bottom w:val="single" w:sz="4" w:space="0" w:color="000000"/>
            </w:tcBorders>
          </w:tcPr>
          <w:p>
            <w:pPr>
              <w:pStyle w:val="TableParagraph"/>
              <w:spacing w:line="202" w:lineRule="exact"/>
              <w:ind w:left="413"/>
              <w:rPr>
                <w:sz w:val="18"/>
              </w:rPr>
            </w:pPr>
            <w:r>
              <w:rPr>
                <w:sz w:val="18"/>
              </w:rPr>
              <w:t>28</w:t>
            </w:r>
          </w:p>
          <w:p>
            <w:pPr>
              <w:pStyle w:val="TableParagraph"/>
              <w:spacing w:before="59"/>
              <w:ind w:left="410"/>
              <w:rPr>
                <w:sz w:val="18"/>
              </w:rPr>
            </w:pPr>
            <w:r>
              <w:rPr>
                <w:sz w:val="18"/>
              </w:rPr>
              <w:t>26,7</w:t>
            </w:r>
          </w:p>
        </w:tc>
        <w:tc>
          <w:tcPr>
            <w:tcW w:w="1426" w:type="dxa"/>
            <w:tcBorders>
              <w:top w:val="single" w:sz="4" w:space="0" w:color="000000"/>
              <w:bottom w:val="single" w:sz="4" w:space="0" w:color="000000"/>
            </w:tcBorders>
          </w:tcPr>
          <w:p>
            <w:pPr>
              <w:pStyle w:val="TableParagraph"/>
              <w:spacing w:line="202" w:lineRule="exact"/>
              <w:ind w:right="281"/>
              <w:jc w:val="center"/>
              <w:rPr>
                <w:sz w:val="18"/>
              </w:rPr>
            </w:pPr>
            <w:r>
              <w:rPr>
                <w:sz w:val="18"/>
              </w:rPr>
              <w:t>9</w:t>
            </w:r>
          </w:p>
          <w:p>
            <w:pPr>
              <w:pStyle w:val="TableParagraph"/>
              <w:spacing w:before="59"/>
              <w:ind w:left="508" w:right="653"/>
              <w:jc w:val="center"/>
              <w:rPr>
                <w:sz w:val="18"/>
              </w:rPr>
            </w:pPr>
            <w:r>
              <w:rPr>
                <w:sz w:val="18"/>
              </w:rPr>
              <w:t>8,6</w:t>
            </w:r>
          </w:p>
        </w:tc>
      </w:tr>
    </w:tbl>
    <w:p>
      <w:pPr>
        <w:pStyle w:val="BodyText"/>
        <w:rPr>
          <w:b/>
          <w:sz w:val="20"/>
        </w:rPr>
      </w:pPr>
    </w:p>
    <w:p>
      <w:pPr>
        <w:pStyle w:val="BodyText"/>
        <w:spacing w:line="360" w:lineRule="auto" w:before="222"/>
        <w:ind w:left="1128" w:right="611" w:firstLine="768"/>
        <w:jc w:val="both"/>
      </w:pPr>
      <w:r>
        <w:rPr/>
        <w:t>‘‘Afet planımız afete müdahalede kurumumuzdan beklenen hizmetleri vermek için yeterlidir (soru 15)’’ sorusuna, kesinlikle katılmıyorum şıkkının işaretlenme oranı</w:t>
      </w:r>
    </w:p>
    <w:p>
      <w:pPr>
        <w:pStyle w:val="BodyText"/>
        <w:spacing w:line="360" w:lineRule="auto" w:before="1"/>
        <w:ind w:left="1128" w:right="609"/>
        <w:jc w:val="both"/>
      </w:pPr>
      <w:r>
        <w:rPr/>
        <w:t>%9,5, katılmıyorum şıkkının işaretlenme oranı %19,0, kararsızım şıkkının işaretlenme oranı %42,9, katılıyorum şıkkının işaretlenme oranı %22,9, kesinlikle katılıyorum şıkkının işaretlenme oranı %5,7’dir.</w:t>
      </w:r>
    </w:p>
    <w:p>
      <w:pPr>
        <w:pStyle w:val="BodyText"/>
        <w:spacing w:line="360" w:lineRule="auto"/>
        <w:ind w:left="1128" w:right="608" w:firstLine="708"/>
        <w:jc w:val="both"/>
      </w:pPr>
      <w:r>
        <w:rPr/>
        <w:t>‘‘Kurumumuzun afet planı personel ve yöneticiler tarafından bilinmektedir ve desteklenmektedir (soru 16)’’ sorusuna, kesinlikle katılmıyorum şıkkının işaretlenme oranı %13,3, katılmıyorum şıkkının işaretlenme oranı %24,8, kararsızım şıkkının işaretlenme oranı %30,5, katılıyorum şıkkının işaretlenme oranı %25,7, kesinlikle katılıyorum şıkkının işaretlenme oranı %5,7’dir.</w:t>
      </w:r>
    </w:p>
    <w:p>
      <w:pPr>
        <w:pStyle w:val="BodyText"/>
        <w:spacing w:line="360" w:lineRule="auto"/>
        <w:ind w:left="1128" w:right="608" w:firstLine="708"/>
        <w:jc w:val="both"/>
      </w:pPr>
      <w:r>
        <w:rPr/>
        <w:t>‘‘Afet</w:t>
      </w:r>
      <w:r>
        <w:rPr>
          <w:spacing w:val="-10"/>
        </w:rPr>
        <w:t> </w:t>
      </w:r>
      <w:r>
        <w:rPr/>
        <w:t>planında</w:t>
      </w:r>
      <w:r>
        <w:rPr>
          <w:spacing w:val="-6"/>
        </w:rPr>
        <w:t> </w:t>
      </w:r>
      <w:r>
        <w:rPr/>
        <w:t>görev</w:t>
      </w:r>
      <w:r>
        <w:rPr>
          <w:spacing w:val="-4"/>
        </w:rPr>
        <w:t> </w:t>
      </w:r>
      <w:r>
        <w:rPr/>
        <w:t>yapan</w:t>
      </w:r>
      <w:r>
        <w:rPr>
          <w:spacing w:val="-10"/>
        </w:rPr>
        <w:t> </w:t>
      </w:r>
      <w:r>
        <w:rPr/>
        <w:t>personelin</w:t>
      </w:r>
      <w:r>
        <w:rPr>
          <w:spacing w:val="-7"/>
        </w:rPr>
        <w:t> </w:t>
      </w:r>
      <w:r>
        <w:rPr/>
        <w:t>görevini</w:t>
      </w:r>
      <w:r>
        <w:rPr>
          <w:spacing w:val="-9"/>
        </w:rPr>
        <w:t> </w:t>
      </w:r>
      <w:r>
        <w:rPr/>
        <w:t>tam</w:t>
      </w:r>
      <w:r>
        <w:rPr>
          <w:spacing w:val="-11"/>
        </w:rPr>
        <w:t> </w:t>
      </w:r>
      <w:r>
        <w:rPr/>
        <w:t>olarak</w:t>
      </w:r>
      <w:r>
        <w:rPr>
          <w:spacing w:val="-8"/>
        </w:rPr>
        <w:t> </w:t>
      </w:r>
      <w:r>
        <w:rPr/>
        <w:t>bilmektedir.</w:t>
      </w:r>
      <w:r>
        <w:rPr>
          <w:spacing w:val="-8"/>
        </w:rPr>
        <w:t> </w:t>
      </w:r>
      <w:r>
        <w:rPr/>
        <w:t>Görevini yerine getirecek bilgi, beceri ve kabiliyete sahiptir (soru 17)’’ sorusuna, kesinlikle katılmıyorum şıkkının işaretlenme oranı %10,5, katılmıyorum şıkkının işaretlenme</w:t>
      </w:r>
      <w:r>
        <w:rPr>
          <w:spacing w:val="-37"/>
        </w:rPr>
        <w:t> </w:t>
      </w:r>
      <w:r>
        <w:rPr/>
        <w:t>oranı</w:t>
      </w:r>
    </w:p>
    <w:p>
      <w:pPr>
        <w:pStyle w:val="BodyText"/>
        <w:spacing w:line="360" w:lineRule="auto"/>
        <w:ind w:left="1128" w:right="612"/>
        <w:jc w:val="both"/>
      </w:pPr>
      <w:r>
        <w:rPr/>
        <w:t>%24,8, kararsızım şıkkının işaretlenme oranı %32,4, katılıyorum şıkkının işaretlenme oranı %25,7, kesinlikle katılıyorum şıkkının işaretlenme oranı %6,7’dir.</w:t>
      </w:r>
    </w:p>
    <w:p>
      <w:pPr>
        <w:pStyle w:val="BodyText"/>
        <w:spacing w:line="360" w:lineRule="auto"/>
        <w:ind w:left="1128" w:right="608" w:firstLine="708"/>
        <w:jc w:val="both"/>
      </w:pPr>
      <w:r>
        <w:rPr/>
        <w:t>‘‘Kurumumuzun Afet Planı bir afet durumunda kolayca ulaşılabilecek bir kaç yerde yedeklenmiştir (soru 18)’’ sorusuna, kesinlikle katılmıyorum şıkkının işaretlenme oranı %13,3, katılmıyorum şıkkının işaretlenme oranı %21,0, kararsızım şıkkının işaretlenme oranı %42,9, katılıyorum şıkkının işaretlenme oranı %19,0, kesinlikle katılıyorum şıkkının işaretlenme oranı %3,8’dir.</w:t>
      </w:r>
    </w:p>
    <w:p>
      <w:pPr>
        <w:pStyle w:val="BodyText"/>
        <w:spacing w:line="360" w:lineRule="auto" w:before="2"/>
        <w:ind w:left="1128" w:right="608" w:firstLine="708"/>
        <w:jc w:val="both"/>
      </w:pPr>
      <w:r>
        <w:rPr/>
        <w:t>‘‘Bir afete müdahale eden görev yapan personelin sayıca az ve yetersiz kaldığı durumlarda,</w:t>
      </w:r>
      <w:r>
        <w:rPr>
          <w:spacing w:val="-13"/>
        </w:rPr>
        <w:t> </w:t>
      </w:r>
      <w:r>
        <w:rPr/>
        <w:t>kurumumuzun</w:t>
      </w:r>
      <w:r>
        <w:rPr>
          <w:spacing w:val="-12"/>
        </w:rPr>
        <w:t> </w:t>
      </w:r>
      <w:r>
        <w:rPr/>
        <w:t>afet</w:t>
      </w:r>
      <w:r>
        <w:rPr>
          <w:spacing w:val="-12"/>
        </w:rPr>
        <w:t> </w:t>
      </w:r>
      <w:r>
        <w:rPr/>
        <w:t>planında</w:t>
      </w:r>
      <w:r>
        <w:rPr>
          <w:spacing w:val="-13"/>
        </w:rPr>
        <w:t> </w:t>
      </w:r>
      <w:r>
        <w:rPr/>
        <w:t>personel</w:t>
      </w:r>
      <w:r>
        <w:rPr>
          <w:spacing w:val="-10"/>
        </w:rPr>
        <w:t> </w:t>
      </w:r>
      <w:r>
        <w:rPr/>
        <w:t>ihtiyacının</w:t>
      </w:r>
      <w:r>
        <w:rPr>
          <w:spacing w:val="-12"/>
        </w:rPr>
        <w:t> </w:t>
      </w:r>
      <w:r>
        <w:rPr/>
        <w:t>nasıl</w:t>
      </w:r>
      <w:r>
        <w:rPr>
          <w:spacing w:val="-11"/>
        </w:rPr>
        <w:t> </w:t>
      </w:r>
      <w:r>
        <w:rPr/>
        <w:t>karşılanacağı</w:t>
      </w:r>
      <w:r>
        <w:rPr>
          <w:spacing w:val="-8"/>
        </w:rPr>
        <w:t> </w:t>
      </w:r>
      <w:r>
        <w:rPr/>
        <w:t>etkin</w:t>
      </w:r>
      <w:r>
        <w:rPr>
          <w:spacing w:val="-13"/>
        </w:rPr>
        <w:t> </w:t>
      </w:r>
      <w:r>
        <w:rPr/>
        <w:t>bir şekilde planlanmıştır (soru 19)’’ sorusuna, kesinlikle katılmıyorum şıkkının işaretlenme oranı %8,6, katılmıyorum şıkkının işaretlenme oranı %22,9, kararsızım şıkkının işaretlenme oranı %37,1, katılıyorum şıkkının işaretlenme oranı %24,8, kesinlikle katılıyorum şıkkının işaretlenme oranı</w:t>
      </w:r>
      <w:r>
        <w:rPr>
          <w:spacing w:val="-1"/>
        </w:rPr>
        <w:t> </w:t>
      </w:r>
      <w:r>
        <w:rPr/>
        <w:t>%6,7’dir.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firstLine="708"/>
        <w:jc w:val="both"/>
      </w:pPr>
      <w:r>
        <w:rPr/>
        <w:t>‘‘Kurumumuzun ve ilde bulunan kurumların kapasitelerinin dolması halinde yaralılarının tedavi ve sevki ile ilgili prosedürler oluşturulmuştur (soru 20)’’ sorusuna, kesinlikle katılmıyorum şıkkının işaretlenme oranı %10,5, katılmıyorum şıkkının işaretlenme oranı %13,3, kararsızım şıkkının işaretlenme oranı %37,1, katılıyorum şıkkının işaretlenme oranı %27,6, kesinlikle katılıyorum şıkkının işaretlenme oranı</w:t>
      </w:r>
    </w:p>
    <w:p>
      <w:pPr>
        <w:pStyle w:val="BodyText"/>
        <w:spacing w:line="275" w:lineRule="exact"/>
        <w:ind w:left="1128"/>
      </w:pPr>
      <w:r>
        <w:rPr/>
        <w:t>%11,4’tür.</w:t>
      </w:r>
    </w:p>
    <w:p>
      <w:pPr>
        <w:pStyle w:val="BodyText"/>
        <w:spacing w:line="360" w:lineRule="auto" w:before="139"/>
        <w:ind w:left="1128" w:right="608" w:firstLine="708"/>
        <w:jc w:val="both"/>
      </w:pPr>
      <w:r>
        <w:rPr/>
        <w:t>‘‘Kurumumuzun Afet Planında afet zarara azaltımı yaklaşımı benimsenmiş, plan hazırlanırken</w:t>
      </w:r>
      <w:r>
        <w:rPr>
          <w:spacing w:val="-6"/>
        </w:rPr>
        <w:t> </w:t>
      </w:r>
      <w:r>
        <w:rPr/>
        <w:t>risk</w:t>
      </w:r>
      <w:r>
        <w:rPr>
          <w:spacing w:val="-5"/>
        </w:rPr>
        <w:t> </w:t>
      </w:r>
      <w:r>
        <w:rPr/>
        <w:t>azaltımı</w:t>
      </w:r>
      <w:r>
        <w:rPr>
          <w:spacing w:val="-5"/>
        </w:rPr>
        <w:t> </w:t>
      </w:r>
      <w:r>
        <w:rPr/>
        <w:t>ile</w:t>
      </w:r>
      <w:r>
        <w:rPr>
          <w:spacing w:val="-6"/>
        </w:rPr>
        <w:t> </w:t>
      </w:r>
      <w:r>
        <w:rPr/>
        <w:t>ilgili</w:t>
      </w:r>
      <w:r>
        <w:rPr>
          <w:spacing w:val="-7"/>
        </w:rPr>
        <w:t> </w:t>
      </w:r>
      <w:r>
        <w:rPr/>
        <w:t>çalışmalar</w:t>
      </w:r>
      <w:r>
        <w:rPr>
          <w:spacing w:val="-3"/>
        </w:rPr>
        <w:t> </w:t>
      </w:r>
      <w:r>
        <w:rPr/>
        <w:t>yapılmıştır</w:t>
      </w:r>
      <w:r>
        <w:rPr>
          <w:spacing w:val="-6"/>
        </w:rPr>
        <w:t> </w:t>
      </w:r>
      <w:r>
        <w:rPr/>
        <w:t>(soru</w:t>
      </w:r>
      <w:r>
        <w:rPr>
          <w:spacing w:val="-5"/>
        </w:rPr>
        <w:t> </w:t>
      </w:r>
      <w:r>
        <w:rPr/>
        <w:t>21)’’</w:t>
      </w:r>
      <w:r>
        <w:rPr>
          <w:spacing w:val="-6"/>
        </w:rPr>
        <w:t> </w:t>
      </w:r>
      <w:r>
        <w:rPr/>
        <w:t>sorusuna,</w:t>
      </w:r>
      <w:r>
        <w:rPr>
          <w:spacing w:val="-5"/>
        </w:rPr>
        <w:t> </w:t>
      </w:r>
      <w:r>
        <w:rPr/>
        <w:t>kesinlikle katılmıyorum şıkkının işaretlenme oranı %10,5, katılmıyorum şıkkının işaretlenme</w:t>
      </w:r>
      <w:r>
        <w:rPr>
          <w:spacing w:val="-36"/>
        </w:rPr>
        <w:t> </w:t>
      </w:r>
      <w:r>
        <w:rPr/>
        <w:t>oranı</w:t>
      </w:r>
    </w:p>
    <w:p>
      <w:pPr>
        <w:pStyle w:val="BodyText"/>
        <w:spacing w:line="360" w:lineRule="auto"/>
        <w:ind w:left="1128" w:right="613"/>
      </w:pPr>
      <w:r>
        <w:rPr/>
        <w:t>%15,2, kararsızım şıkkının işaretlenme oranı %39,0, katılıyorum şıkkının işaretlenme oranı %26,7, kesinlikle katılıyorum şıkkının işaretlenme oranı %8,6’dır.</w:t>
      </w:r>
    </w:p>
    <w:p>
      <w:pPr>
        <w:pStyle w:val="BodyText"/>
        <w:spacing w:line="360" w:lineRule="auto"/>
        <w:ind w:left="1128" w:right="610" w:firstLine="708"/>
        <w:jc w:val="both"/>
      </w:pPr>
      <w:r>
        <w:rPr/>
        <w:t>Araştırma</w:t>
      </w:r>
      <w:r>
        <w:rPr>
          <w:spacing w:val="-16"/>
        </w:rPr>
        <w:t> </w:t>
      </w:r>
      <w:r>
        <w:rPr/>
        <w:t>grubundaki</w:t>
      </w:r>
      <w:r>
        <w:rPr>
          <w:spacing w:val="-15"/>
        </w:rPr>
        <w:t> </w:t>
      </w:r>
      <w:r>
        <w:rPr/>
        <w:t>kişilerin</w:t>
      </w:r>
      <w:r>
        <w:rPr>
          <w:spacing w:val="-16"/>
        </w:rPr>
        <w:t> </w:t>
      </w:r>
      <w:r>
        <w:rPr/>
        <w:t>afet</w:t>
      </w:r>
      <w:r>
        <w:rPr>
          <w:spacing w:val="-14"/>
        </w:rPr>
        <w:t> </w:t>
      </w:r>
      <w:r>
        <w:rPr/>
        <w:t>eğitim</w:t>
      </w:r>
      <w:r>
        <w:rPr>
          <w:spacing w:val="-15"/>
        </w:rPr>
        <w:t> </w:t>
      </w:r>
      <w:r>
        <w:rPr/>
        <w:t>ve</w:t>
      </w:r>
      <w:r>
        <w:rPr>
          <w:spacing w:val="-17"/>
        </w:rPr>
        <w:t> </w:t>
      </w:r>
      <w:r>
        <w:rPr/>
        <w:t>tatbikatları</w:t>
      </w:r>
      <w:r>
        <w:rPr>
          <w:spacing w:val="-17"/>
        </w:rPr>
        <w:t> </w:t>
      </w:r>
      <w:r>
        <w:rPr/>
        <w:t>ile</w:t>
      </w:r>
      <w:r>
        <w:rPr>
          <w:spacing w:val="-17"/>
        </w:rPr>
        <w:t> </w:t>
      </w:r>
      <w:r>
        <w:rPr/>
        <w:t>ilgili</w:t>
      </w:r>
      <w:r>
        <w:rPr>
          <w:spacing w:val="-14"/>
        </w:rPr>
        <w:t> </w:t>
      </w:r>
      <w:r>
        <w:rPr/>
        <w:t>anket</w:t>
      </w:r>
      <w:r>
        <w:rPr>
          <w:spacing w:val="-16"/>
        </w:rPr>
        <w:t> </w:t>
      </w:r>
      <w:r>
        <w:rPr/>
        <w:t>sorularının incelenmesi Tablo 4. 7’de</w:t>
      </w:r>
      <w:r>
        <w:rPr>
          <w:spacing w:val="-3"/>
        </w:rPr>
        <w:t> </w:t>
      </w:r>
      <w:r>
        <w:rPr/>
        <w:t>gösterilmiştir.</w:t>
      </w:r>
    </w:p>
    <w:p>
      <w:pPr>
        <w:pStyle w:val="BodyText"/>
        <w:spacing w:before="9"/>
        <w:rPr>
          <w:sz w:val="20"/>
        </w:rPr>
      </w:pPr>
    </w:p>
    <w:p>
      <w:pPr>
        <w:pStyle w:val="Heading1"/>
        <w:spacing w:line="256" w:lineRule="auto" w:before="1"/>
        <w:ind w:left="3807" w:right="742" w:hanging="2540"/>
      </w:pPr>
      <w:r>
        <w:rPr/>
        <w:t>Tablo 4. 7. Araştırma Grubundaki Kişilerin Afet Eğitim ve Tatbikatları İle İlgili Anket Sorularının İncelenmesi</w:t>
      </w:r>
    </w:p>
    <w:p>
      <w:pPr>
        <w:pStyle w:val="BodyText"/>
        <w:spacing w:before="9" w:after="1"/>
        <w:rPr>
          <w:b/>
          <w:sz w:val="14"/>
        </w:rPr>
      </w:pPr>
    </w:p>
    <w:tbl>
      <w:tblPr>
        <w:tblW w:w="0" w:type="auto"/>
        <w:jc w:val="left"/>
        <w:tblInd w:w="1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808"/>
        <w:gridCol w:w="739"/>
        <w:gridCol w:w="1172"/>
        <w:gridCol w:w="1220"/>
        <w:gridCol w:w="1051"/>
        <w:gridCol w:w="1135"/>
        <w:gridCol w:w="1122"/>
      </w:tblGrid>
      <w:tr>
        <w:trPr>
          <w:trHeight w:val="366" w:hRule="atLeast"/>
        </w:trPr>
        <w:tc>
          <w:tcPr>
            <w:tcW w:w="1808" w:type="dxa"/>
            <w:tcBorders>
              <w:top w:val="single" w:sz="4" w:space="0" w:color="000000"/>
              <w:bottom w:val="single" w:sz="4" w:space="0" w:color="000000"/>
            </w:tcBorders>
          </w:tcPr>
          <w:p>
            <w:pPr>
              <w:pStyle w:val="TableParagraph"/>
              <w:spacing w:line="181" w:lineRule="exact"/>
              <w:ind w:left="117"/>
              <w:rPr>
                <w:b/>
                <w:sz w:val="16"/>
              </w:rPr>
            </w:pPr>
            <w:r>
              <w:rPr>
                <w:b/>
                <w:sz w:val="16"/>
              </w:rPr>
              <w:t>Soru</w:t>
            </w:r>
          </w:p>
        </w:tc>
        <w:tc>
          <w:tcPr>
            <w:tcW w:w="739" w:type="dxa"/>
            <w:tcBorders>
              <w:top w:val="single" w:sz="4" w:space="0" w:color="000000"/>
              <w:bottom w:val="single" w:sz="4" w:space="0" w:color="000000"/>
            </w:tcBorders>
          </w:tcPr>
          <w:p>
            <w:pPr>
              <w:pStyle w:val="TableParagraph"/>
              <w:rPr>
                <w:sz w:val="20"/>
              </w:rPr>
            </w:pPr>
          </w:p>
        </w:tc>
        <w:tc>
          <w:tcPr>
            <w:tcW w:w="1172" w:type="dxa"/>
            <w:tcBorders>
              <w:top w:val="single" w:sz="4" w:space="0" w:color="000000"/>
              <w:bottom w:val="single" w:sz="4" w:space="0" w:color="000000"/>
            </w:tcBorders>
          </w:tcPr>
          <w:p>
            <w:pPr>
              <w:pStyle w:val="TableParagraph"/>
              <w:spacing w:line="182" w:lineRule="exact"/>
              <w:ind w:left="59" w:right="115"/>
              <w:rPr>
                <w:b/>
                <w:sz w:val="16"/>
              </w:rPr>
            </w:pPr>
            <w:r>
              <w:rPr>
                <w:b/>
                <w:sz w:val="16"/>
              </w:rPr>
              <w:t>Kesinlikle Katılmıyorum</w:t>
            </w:r>
          </w:p>
        </w:tc>
        <w:tc>
          <w:tcPr>
            <w:tcW w:w="1220" w:type="dxa"/>
            <w:tcBorders>
              <w:top w:val="single" w:sz="4" w:space="0" w:color="000000"/>
              <w:bottom w:val="single" w:sz="4" w:space="0" w:color="000000"/>
            </w:tcBorders>
          </w:tcPr>
          <w:p>
            <w:pPr>
              <w:pStyle w:val="TableParagraph"/>
              <w:spacing w:line="181" w:lineRule="exact"/>
              <w:ind w:left="133"/>
              <w:rPr>
                <w:b/>
                <w:sz w:val="16"/>
              </w:rPr>
            </w:pPr>
            <w:r>
              <w:rPr>
                <w:b/>
                <w:sz w:val="16"/>
              </w:rPr>
              <w:t>Katılmıyorum</w:t>
            </w:r>
          </w:p>
        </w:tc>
        <w:tc>
          <w:tcPr>
            <w:tcW w:w="1051" w:type="dxa"/>
            <w:tcBorders>
              <w:top w:val="single" w:sz="4" w:space="0" w:color="000000"/>
              <w:bottom w:val="single" w:sz="4" w:space="0" w:color="000000"/>
            </w:tcBorders>
          </w:tcPr>
          <w:p>
            <w:pPr>
              <w:pStyle w:val="TableParagraph"/>
              <w:spacing w:line="181" w:lineRule="exact"/>
              <w:ind w:left="108"/>
              <w:rPr>
                <w:b/>
                <w:sz w:val="16"/>
              </w:rPr>
            </w:pPr>
            <w:r>
              <w:rPr>
                <w:b/>
                <w:sz w:val="16"/>
              </w:rPr>
              <w:t>Kararsızım</w:t>
            </w:r>
          </w:p>
        </w:tc>
        <w:tc>
          <w:tcPr>
            <w:tcW w:w="1135" w:type="dxa"/>
            <w:tcBorders>
              <w:top w:val="single" w:sz="4" w:space="0" w:color="000000"/>
              <w:bottom w:val="single" w:sz="4" w:space="0" w:color="000000"/>
            </w:tcBorders>
          </w:tcPr>
          <w:p>
            <w:pPr>
              <w:pStyle w:val="TableParagraph"/>
              <w:spacing w:line="181" w:lineRule="exact"/>
              <w:ind w:left="161"/>
              <w:rPr>
                <w:b/>
                <w:sz w:val="16"/>
              </w:rPr>
            </w:pPr>
            <w:r>
              <w:rPr>
                <w:b/>
                <w:sz w:val="16"/>
              </w:rPr>
              <w:t>Katılıyorum</w:t>
            </w:r>
          </w:p>
        </w:tc>
        <w:tc>
          <w:tcPr>
            <w:tcW w:w="1122" w:type="dxa"/>
            <w:tcBorders>
              <w:top w:val="single" w:sz="4" w:space="0" w:color="000000"/>
              <w:bottom w:val="single" w:sz="4" w:space="0" w:color="000000"/>
            </w:tcBorders>
          </w:tcPr>
          <w:p>
            <w:pPr>
              <w:pStyle w:val="TableParagraph"/>
              <w:spacing w:line="182" w:lineRule="exact"/>
              <w:ind w:left="131" w:right="126"/>
              <w:rPr>
                <w:b/>
                <w:sz w:val="16"/>
              </w:rPr>
            </w:pPr>
            <w:r>
              <w:rPr>
                <w:b/>
                <w:sz w:val="16"/>
              </w:rPr>
              <w:t>Kesinlikle Katılıyorum</w:t>
            </w:r>
          </w:p>
        </w:tc>
      </w:tr>
      <w:tr>
        <w:trPr>
          <w:trHeight w:val="192" w:hRule="atLeast"/>
        </w:trPr>
        <w:tc>
          <w:tcPr>
            <w:tcW w:w="1808" w:type="dxa"/>
            <w:tcBorders>
              <w:top w:val="single" w:sz="4" w:space="0" w:color="000000"/>
            </w:tcBorders>
          </w:tcPr>
          <w:p>
            <w:pPr>
              <w:pStyle w:val="TableParagraph"/>
              <w:spacing w:line="173" w:lineRule="exact"/>
              <w:ind w:left="117"/>
              <w:rPr>
                <w:sz w:val="16"/>
              </w:rPr>
            </w:pPr>
            <w:r>
              <w:rPr>
                <w:b/>
                <w:sz w:val="16"/>
              </w:rPr>
              <w:t>Soru 22. </w:t>
            </w:r>
            <w:r>
              <w:rPr>
                <w:sz w:val="16"/>
              </w:rPr>
              <w:t>Kurumumda</w:t>
            </w:r>
          </w:p>
        </w:tc>
        <w:tc>
          <w:tcPr>
            <w:tcW w:w="739" w:type="dxa"/>
            <w:vMerge w:val="restart"/>
            <w:tcBorders>
              <w:top w:val="single" w:sz="4" w:space="0" w:color="000000"/>
              <w:bottom w:val="single" w:sz="4" w:space="0" w:color="000000"/>
            </w:tcBorders>
          </w:tcPr>
          <w:p>
            <w:pPr>
              <w:pStyle w:val="TableParagraph"/>
              <w:spacing w:line="181" w:lineRule="exact"/>
              <w:ind w:left="181"/>
              <w:rPr>
                <w:sz w:val="16"/>
              </w:rPr>
            </w:pPr>
            <w:r>
              <w:rPr>
                <w:sz w:val="16"/>
              </w:rPr>
              <w:t>Sayı</w:t>
            </w:r>
          </w:p>
          <w:p>
            <w:pPr>
              <w:pStyle w:val="TableParagraph"/>
              <w:spacing w:before="10"/>
              <w:rPr>
                <w:b/>
                <w:sz w:val="19"/>
              </w:rPr>
            </w:pPr>
          </w:p>
          <w:p>
            <w:pPr>
              <w:pStyle w:val="TableParagraph"/>
              <w:spacing w:line="276" w:lineRule="auto"/>
              <w:ind w:left="227" w:right="194" w:hanging="120"/>
              <w:rPr>
                <w:sz w:val="16"/>
              </w:rPr>
            </w:pPr>
            <w:r>
              <w:rPr>
                <w:sz w:val="16"/>
              </w:rPr>
              <w:t>Yüzde (%)</w:t>
            </w:r>
          </w:p>
          <w:p>
            <w:pPr>
              <w:pStyle w:val="TableParagraph"/>
              <w:spacing w:before="3"/>
              <w:rPr>
                <w:b/>
                <w:sz w:val="17"/>
              </w:rPr>
            </w:pPr>
          </w:p>
          <w:p>
            <w:pPr>
              <w:pStyle w:val="TableParagraph"/>
              <w:ind w:left="107" w:firstLine="36"/>
              <w:rPr>
                <w:sz w:val="16"/>
              </w:rPr>
            </w:pPr>
            <w:r>
              <w:rPr>
                <w:sz w:val="16"/>
              </w:rPr>
              <w:t>Sayı</w:t>
            </w:r>
          </w:p>
          <w:p>
            <w:pPr>
              <w:pStyle w:val="TableParagraph"/>
              <w:spacing w:before="11"/>
              <w:rPr>
                <w:b/>
                <w:sz w:val="19"/>
              </w:rPr>
            </w:pPr>
          </w:p>
          <w:p>
            <w:pPr>
              <w:pStyle w:val="TableParagraph"/>
              <w:spacing w:line="276" w:lineRule="auto"/>
              <w:ind w:left="227" w:right="194" w:hanging="120"/>
              <w:rPr>
                <w:sz w:val="16"/>
              </w:rPr>
            </w:pPr>
            <w:r>
              <w:rPr>
                <w:sz w:val="16"/>
              </w:rPr>
              <w:t>Yüzde (%)</w:t>
            </w:r>
          </w:p>
          <w:p>
            <w:pPr>
              <w:pStyle w:val="TableParagraph"/>
              <w:rPr>
                <w:b/>
                <w:sz w:val="18"/>
              </w:rPr>
            </w:pPr>
          </w:p>
          <w:p>
            <w:pPr>
              <w:pStyle w:val="TableParagraph"/>
              <w:rPr>
                <w:b/>
                <w:sz w:val="18"/>
              </w:rPr>
            </w:pPr>
          </w:p>
          <w:p>
            <w:pPr>
              <w:pStyle w:val="TableParagraph"/>
              <w:spacing w:before="1"/>
              <w:rPr>
                <w:b/>
                <w:sz w:val="17"/>
              </w:rPr>
            </w:pPr>
          </w:p>
          <w:p>
            <w:pPr>
              <w:pStyle w:val="TableParagraph"/>
              <w:spacing w:before="1"/>
              <w:ind w:left="107" w:firstLine="36"/>
              <w:rPr>
                <w:sz w:val="16"/>
              </w:rPr>
            </w:pPr>
            <w:r>
              <w:rPr>
                <w:sz w:val="16"/>
              </w:rPr>
              <w:t>Sayı</w:t>
            </w:r>
          </w:p>
          <w:p>
            <w:pPr>
              <w:pStyle w:val="TableParagraph"/>
              <w:spacing w:before="10"/>
              <w:rPr>
                <w:b/>
                <w:sz w:val="19"/>
              </w:rPr>
            </w:pPr>
          </w:p>
          <w:p>
            <w:pPr>
              <w:pStyle w:val="TableParagraph"/>
              <w:spacing w:line="276" w:lineRule="auto"/>
              <w:ind w:left="227" w:right="194" w:hanging="120"/>
              <w:rPr>
                <w:sz w:val="16"/>
              </w:rPr>
            </w:pPr>
            <w:r>
              <w:rPr>
                <w:sz w:val="16"/>
              </w:rPr>
              <w:t>Yüzde (%)</w:t>
            </w:r>
          </w:p>
          <w:p>
            <w:pPr>
              <w:pStyle w:val="TableParagraph"/>
              <w:rPr>
                <w:b/>
                <w:sz w:val="18"/>
              </w:rPr>
            </w:pPr>
          </w:p>
          <w:p>
            <w:pPr>
              <w:pStyle w:val="TableParagraph"/>
              <w:rPr>
                <w:b/>
                <w:sz w:val="18"/>
              </w:rPr>
            </w:pPr>
          </w:p>
          <w:p>
            <w:pPr>
              <w:pStyle w:val="TableParagraph"/>
              <w:spacing w:before="2"/>
              <w:rPr>
                <w:b/>
                <w:sz w:val="17"/>
              </w:rPr>
            </w:pPr>
          </w:p>
          <w:p>
            <w:pPr>
              <w:pStyle w:val="TableParagraph"/>
              <w:ind w:left="107" w:firstLine="36"/>
              <w:rPr>
                <w:sz w:val="16"/>
              </w:rPr>
            </w:pPr>
            <w:r>
              <w:rPr>
                <w:sz w:val="16"/>
              </w:rPr>
              <w:t>Sayı</w:t>
            </w:r>
          </w:p>
          <w:p>
            <w:pPr>
              <w:pStyle w:val="TableParagraph"/>
              <w:spacing w:before="8"/>
              <w:rPr>
                <w:b/>
                <w:sz w:val="19"/>
              </w:rPr>
            </w:pPr>
          </w:p>
          <w:p>
            <w:pPr>
              <w:pStyle w:val="TableParagraph"/>
              <w:spacing w:line="276" w:lineRule="auto"/>
              <w:ind w:left="227" w:right="194" w:hanging="120"/>
              <w:rPr>
                <w:sz w:val="16"/>
              </w:rPr>
            </w:pPr>
            <w:r>
              <w:rPr>
                <w:sz w:val="16"/>
              </w:rPr>
              <w:t>Yüzde (%)</w:t>
            </w:r>
          </w:p>
          <w:p>
            <w:pPr>
              <w:pStyle w:val="TableParagraph"/>
              <w:rPr>
                <w:b/>
                <w:sz w:val="18"/>
              </w:rPr>
            </w:pPr>
          </w:p>
          <w:p>
            <w:pPr>
              <w:pStyle w:val="TableParagraph"/>
              <w:rPr>
                <w:b/>
                <w:sz w:val="18"/>
              </w:rPr>
            </w:pPr>
          </w:p>
          <w:p>
            <w:pPr>
              <w:pStyle w:val="TableParagraph"/>
              <w:spacing w:before="10"/>
              <w:rPr>
                <w:b/>
                <w:sz w:val="20"/>
              </w:rPr>
            </w:pPr>
          </w:p>
          <w:p>
            <w:pPr>
              <w:pStyle w:val="TableParagraph"/>
              <w:spacing w:before="1"/>
              <w:ind w:left="107" w:firstLine="36"/>
              <w:rPr>
                <w:sz w:val="16"/>
              </w:rPr>
            </w:pPr>
            <w:r>
              <w:rPr>
                <w:sz w:val="16"/>
              </w:rPr>
              <w:t>Sayı</w:t>
            </w:r>
          </w:p>
          <w:p>
            <w:pPr>
              <w:pStyle w:val="TableParagraph"/>
              <w:spacing w:before="7"/>
              <w:rPr>
                <w:b/>
                <w:sz w:val="19"/>
              </w:rPr>
            </w:pPr>
          </w:p>
          <w:p>
            <w:pPr>
              <w:pStyle w:val="TableParagraph"/>
              <w:spacing w:line="276" w:lineRule="auto" w:before="1"/>
              <w:ind w:left="227" w:right="194" w:hanging="120"/>
              <w:rPr>
                <w:sz w:val="16"/>
              </w:rPr>
            </w:pPr>
            <w:r>
              <w:rPr>
                <w:sz w:val="16"/>
              </w:rPr>
              <w:t>Yüzde (%)</w:t>
            </w:r>
          </w:p>
        </w:tc>
        <w:tc>
          <w:tcPr>
            <w:tcW w:w="1172" w:type="dxa"/>
            <w:vMerge w:val="restart"/>
            <w:tcBorders>
              <w:top w:val="single" w:sz="4" w:space="0" w:color="000000"/>
              <w:bottom w:val="single" w:sz="4" w:space="0" w:color="000000"/>
            </w:tcBorders>
          </w:tcPr>
          <w:p>
            <w:pPr>
              <w:pStyle w:val="TableParagraph"/>
              <w:spacing w:line="181" w:lineRule="exact"/>
              <w:ind w:left="294"/>
              <w:rPr>
                <w:sz w:val="16"/>
              </w:rPr>
            </w:pPr>
            <w:r>
              <w:rPr>
                <w:w w:val="100"/>
                <w:sz w:val="16"/>
              </w:rPr>
              <w:t>9</w:t>
            </w:r>
          </w:p>
          <w:p>
            <w:pPr>
              <w:pStyle w:val="TableParagraph"/>
              <w:spacing w:before="10"/>
              <w:rPr>
                <w:b/>
                <w:sz w:val="19"/>
              </w:rPr>
            </w:pPr>
          </w:p>
          <w:p>
            <w:pPr>
              <w:pStyle w:val="TableParagraph"/>
              <w:ind w:left="292"/>
              <w:rPr>
                <w:sz w:val="16"/>
              </w:rPr>
            </w:pPr>
            <w:r>
              <w:rPr>
                <w:sz w:val="16"/>
              </w:rPr>
              <w:t>8,6</w:t>
            </w:r>
          </w:p>
          <w:p>
            <w:pPr>
              <w:pStyle w:val="TableParagraph"/>
              <w:rPr>
                <w:b/>
                <w:sz w:val="18"/>
              </w:rPr>
            </w:pPr>
          </w:p>
          <w:p>
            <w:pPr>
              <w:pStyle w:val="TableParagraph"/>
              <w:rPr>
                <w:b/>
                <w:sz w:val="18"/>
              </w:rPr>
            </w:pPr>
          </w:p>
          <w:p>
            <w:pPr>
              <w:pStyle w:val="TableParagraph"/>
              <w:spacing w:before="7"/>
              <w:rPr>
                <w:b/>
                <w:sz w:val="19"/>
              </w:rPr>
            </w:pPr>
          </w:p>
          <w:p>
            <w:pPr>
              <w:pStyle w:val="TableParagraph"/>
              <w:ind w:left="213"/>
              <w:rPr>
                <w:sz w:val="16"/>
              </w:rPr>
            </w:pPr>
            <w:r>
              <w:rPr>
                <w:sz w:val="16"/>
              </w:rPr>
              <w:t>20</w:t>
            </w:r>
          </w:p>
          <w:p>
            <w:pPr>
              <w:pStyle w:val="TableParagraph"/>
              <w:spacing w:before="8"/>
              <w:rPr>
                <w:b/>
                <w:sz w:val="19"/>
              </w:rPr>
            </w:pPr>
          </w:p>
          <w:p>
            <w:pPr>
              <w:pStyle w:val="TableParagraph"/>
              <w:ind w:left="213"/>
              <w:rPr>
                <w:sz w:val="16"/>
              </w:rPr>
            </w:pPr>
            <w:r>
              <w:rPr>
                <w:sz w:val="16"/>
              </w:rPr>
              <w:t>19,0</w:t>
            </w:r>
          </w:p>
          <w:p>
            <w:pPr>
              <w:pStyle w:val="TableParagraph"/>
              <w:rPr>
                <w:b/>
                <w:sz w:val="18"/>
              </w:rPr>
            </w:pPr>
          </w:p>
          <w:p>
            <w:pPr>
              <w:pStyle w:val="TableParagraph"/>
              <w:rPr>
                <w:b/>
                <w:sz w:val="18"/>
              </w:rPr>
            </w:pPr>
          </w:p>
          <w:p>
            <w:pPr>
              <w:pStyle w:val="TableParagraph"/>
              <w:spacing w:before="7"/>
              <w:rPr>
                <w:b/>
                <w:sz w:val="19"/>
              </w:rPr>
            </w:pPr>
          </w:p>
          <w:p>
            <w:pPr>
              <w:pStyle w:val="TableParagraph"/>
              <w:ind w:left="213"/>
              <w:rPr>
                <w:sz w:val="16"/>
              </w:rPr>
            </w:pPr>
            <w:r>
              <w:rPr>
                <w:sz w:val="16"/>
              </w:rPr>
              <w:t>17</w:t>
            </w:r>
          </w:p>
          <w:p>
            <w:pPr>
              <w:pStyle w:val="TableParagraph"/>
              <w:spacing w:before="10"/>
              <w:rPr>
                <w:b/>
                <w:sz w:val="19"/>
              </w:rPr>
            </w:pPr>
          </w:p>
          <w:p>
            <w:pPr>
              <w:pStyle w:val="TableParagraph"/>
              <w:ind w:left="213"/>
              <w:rPr>
                <w:sz w:val="16"/>
              </w:rPr>
            </w:pPr>
            <w:r>
              <w:rPr>
                <w:sz w:val="16"/>
              </w:rPr>
              <w:t>16,2</w:t>
            </w:r>
          </w:p>
          <w:p>
            <w:pPr>
              <w:pStyle w:val="TableParagraph"/>
              <w:rPr>
                <w:b/>
                <w:sz w:val="18"/>
              </w:rPr>
            </w:pPr>
          </w:p>
          <w:p>
            <w:pPr>
              <w:pStyle w:val="TableParagraph"/>
              <w:rPr>
                <w:b/>
                <w:sz w:val="18"/>
              </w:rPr>
            </w:pPr>
          </w:p>
          <w:p>
            <w:pPr>
              <w:pStyle w:val="TableParagraph"/>
              <w:rPr>
                <w:b/>
                <w:sz w:val="18"/>
              </w:rPr>
            </w:pPr>
          </w:p>
          <w:p>
            <w:pPr>
              <w:pStyle w:val="TableParagraph"/>
              <w:rPr>
                <w:b/>
                <w:sz w:val="18"/>
              </w:rPr>
            </w:pPr>
          </w:p>
          <w:p>
            <w:pPr>
              <w:pStyle w:val="TableParagraph"/>
              <w:spacing w:before="4"/>
              <w:rPr>
                <w:b/>
                <w:sz w:val="19"/>
              </w:rPr>
            </w:pPr>
          </w:p>
          <w:p>
            <w:pPr>
              <w:pStyle w:val="TableParagraph"/>
              <w:ind w:left="213"/>
              <w:rPr>
                <w:sz w:val="16"/>
              </w:rPr>
            </w:pPr>
            <w:r>
              <w:rPr>
                <w:sz w:val="16"/>
              </w:rPr>
              <w:t>10</w:t>
            </w:r>
          </w:p>
          <w:p>
            <w:pPr>
              <w:pStyle w:val="TableParagraph"/>
              <w:spacing w:before="10"/>
              <w:rPr>
                <w:b/>
                <w:sz w:val="19"/>
              </w:rPr>
            </w:pPr>
          </w:p>
          <w:p>
            <w:pPr>
              <w:pStyle w:val="TableParagraph"/>
              <w:ind w:left="292"/>
              <w:rPr>
                <w:sz w:val="16"/>
              </w:rPr>
            </w:pPr>
            <w:r>
              <w:rPr>
                <w:sz w:val="16"/>
              </w:rPr>
              <w:t>9,5</w:t>
            </w:r>
          </w:p>
          <w:p>
            <w:pPr>
              <w:pStyle w:val="TableParagraph"/>
              <w:rPr>
                <w:b/>
                <w:sz w:val="18"/>
              </w:rPr>
            </w:pPr>
          </w:p>
          <w:p>
            <w:pPr>
              <w:pStyle w:val="TableParagraph"/>
              <w:rPr>
                <w:b/>
                <w:sz w:val="18"/>
              </w:rPr>
            </w:pPr>
          </w:p>
          <w:p>
            <w:pPr>
              <w:pStyle w:val="TableParagraph"/>
              <w:rPr>
                <w:b/>
                <w:sz w:val="18"/>
              </w:rPr>
            </w:pPr>
          </w:p>
          <w:p>
            <w:pPr>
              <w:pStyle w:val="TableParagraph"/>
              <w:spacing w:before="4"/>
              <w:rPr>
                <w:b/>
                <w:sz w:val="14"/>
              </w:rPr>
            </w:pPr>
          </w:p>
          <w:p>
            <w:pPr>
              <w:pStyle w:val="TableParagraph"/>
              <w:ind w:left="294"/>
              <w:rPr>
                <w:sz w:val="16"/>
              </w:rPr>
            </w:pPr>
            <w:r>
              <w:rPr>
                <w:w w:val="100"/>
                <w:sz w:val="16"/>
              </w:rPr>
              <w:t>8</w:t>
            </w:r>
          </w:p>
          <w:p>
            <w:pPr>
              <w:pStyle w:val="TableParagraph"/>
              <w:spacing w:before="8"/>
              <w:rPr>
                <w:b/>
                <w:sz w:val="19"/>
              </w:rPr>
            </w:pPr>
          </w:p>
          <w:p>
            <w:pPr>
              <w:pStyle w:val="TableParagraph"/>
              <w:ind w:left="292"/>
              <w:rPr>
                <w:sz w:val="16"/>
              </w:rPr>
            </w:pPr>
            <w:r>
              <w:rPr>
                <w:sz w:val="16"/>
              </w:rPr>
              <w:t>7,6</w:t>
            </w:r>
          </w:p>
        </w:tc>
        <w:tc>
          <w:tcPr>
            <w:tcW w:w="1220" w:type="dxa"/>
            <w:vMerge w:val="restart"/>
            <w:tcBorders>
              <w:top w:val="single" w:sz="4" w:space="0" w:color="000000"/>
              <w:bottom w:val="single" w:sz="4" w:space="0" w:color="000000"/>
            </w:tcBorders>
          </w:tcPr>
          <w:p>
            <w:pPr>
              <w:pStyle w:val="TableParagraph"/>
              <w:spacing w:line="181" w:lineRule="exact"/>
              <w:ind w:left="332"/>
              <w:rPr>
                <w:sz w:val="16"/>
              </w:rPr>
            </w:pPr>
            <w:r>
              <w:rPr>
                <w:sz w:val="16"/>
              </w:rPr>
              <w:t>16</w:t>
            </w:r>
          </w:p>
          <w:p>
            <w:pPr>
              <w:pStyle w:val="TableParagraph"/>
              <w:spacing w:before="10"/>
              <w:rPr>
                <w:b/>
                <w:sz w:val="19"/>
              </w:rPr>
            </w:pPr>
          </w:p>
          <w:p>
            <w:pPr>
              <w:pStyle w:val="TableParagraph"/>
              <w:ind w:left="332"/>
              <w:rPr>
                <w:sz w:val="16"/>
              </w:rPr>
            </w:pPr>
            <w:r>
              <w:rPr>
                <w:sz w:val="16"/>
              </w:rPr>
              <w:t>15,2</w:t>
            </w:r>
          </w:p>
          <w:p>
            <w:pPr>
              <w:pStyle w:val="TableParagraph"/>
              <w:rPr>
                <w:b/>
                <w:sz w:val="18"/>
              </w:rPr>
            </w:pPr>
          </w:p>
          <w:p>
            <w:pPr>
              <w:pStyle w:val="TableParagraph"/>
              <w:rPr>
                <w:b/>
                <w:sz w:val="18"/>
              </w:rPr>
            </w:pPr>
          </w:p>
          <w:p>
            <w:pPr>
              <w:pStyle w:val="TableParagraph"/>
              <w:spacing w:before="7"/>
              <w:rPr>
                <w:b/>
                <w:sz w:val="19"/>
              </w:rPr>
            </w:pPr>
          </w:p>
          <w:p>
            <w:pPr>
              <w:pStyle w:val="TableParagraph"/>
              <w:ind w:left="332"/>
              <w:rPr>
                <w:sz w:val="16"/>
              </w:rPr>
            </w:pPr>
            <w:r>
              <w:rPr>
                <w:sz w:val="16"/>
              </w:rPr>
              <w:t>29</w:t>
            </w:r>
          </w:p>
          <w:p>
            <w:pPr>
              <w:pStyle w:val="TableParagraph"/>
              <w:spacing w:before="8"/>
              <w:rPr>
                <w:b/>
                <w:sz w:val="19"/>
              </w:rPr>
            </w:pPr>
          </w:p>
          <w:p>
            <w:pPr>
              <w:pStyle w:val="TableParagraph"/>
              <w:ind w:left="332"/>
              <w:rPr>
                <w:sz w:val="16"/>
              </w:rPr>
            </w:pPr>
            <w:r>
              <w:rPr>
                <w:sz w:val="16"/>
              </w:rPr>
              <w:t>27,6</w:t>
            </w:r>
          </w:p>
          <w:p>
            <w:pPr>
              <w:pStyle w:val="TableParagraph"/>
              <w:rPr>
                <w:b/>
                <w:sz w:val="18"/>
              </w:rPr>
            </w:pPr>
          </w:p>
          <w:p>
            <w:pPr>
              <w:pStyle w:val="TableParagraph"/>
              <w:rPr>
                <w:b/>
                <w:sz w:val="18"/>
              </w:rPr>
            </w:pPr>
          </w:p>
          <w:p>
            <w:pPr>
              <w:pStyle w:val="TableParagraph"/>
              <w:spacing w:before="7"/>
              <w:rPr>
                <w:b/>
                <w:sz w:val="19"/>
              </w:rPr>
            </w:pPr>
          </w:p>
          <w:p>
            <w:pPr>
              <w:pStyle w:val="TableParagraph"/>
              <w:ind w:left="332"/>
              <w:rPr>
                <w:sz w:val="16"/>
              </w:rPr>
            </w:pPr>
            <w:r>
              <w:rPr>
                <w:sz w:val="16"/>
              </w:rPr>
              <w:t>26</w:t>
            </w:r>
          </w:p>
          <w:p>
            <w:pPr>
              <w:pStyle w:val="TableParagraph"/>
              <w:spacing w:before="10"/>
              <w:rPr>
                <w:b/>
                <w:sz w:val="19"/>
              </w:rPr>
            </w:pPr>
          </w:p>
          <w:p>
            <w:pPr>
              <w:pStyle w:val="TableParagraph"/>
              <w:ind w:left="332"/>
              <w:rPr>
                <w:sz w:val="16"/>
              </w:rPr>
            </w:pPr>
            <w:r>
              <w:rPr>
                <w:sz w:val="16"/>
              </w:rPr>
              <w:t>24,8</w:t>
            </w:r>
          </w:p>
          <w:p>
            <w:pPr>
              <w:pStyle w:val="TableParagraph"/>
              <w:rPr>
                <w:b/>
                <w:sz w:val="18"/>
              </w:rPr>
            </w:pPr>
          </w:p>
          <w:p>
            <w:pPr>
              <w:pStyle w:val="TableParagraph"/>
              <w:rPr>
                <w:b/>
                <w:sz w:val="18"/>
              </w:rPr>
            </w:pPr>
          </w:p>
          <w:p>
            <w:pPr>
              <w:pStyle w:val="TableParagraph"/>
              <w:rPr>
                <w:b/>
                <w:sz w:val="18"/>
              </w:rPr>
            </w:pPr>
          </w:p>
          <w:p>
            <w:pPr>
              <w:pStyle w:val="TableParagraph"/>
              <w:rPr>
                <w:b/>
                <w:sz w:val="18"/>
              </w:rPr>
            </w:pPr>
          </w:p>
          <w:p>
            <w:pPr>
              <w:pStyle w:val="TableParagraph"/>
              <w:spacing w:before="4"/>
              <w:rPr>
                <w:b/>
                <w:sz w:val="19"/>
              </w:rPr>
            </w:pPr>
          </w:p>
          <w:p>
            <w:pPr>
              <w:pStyle w:val="TableParagraph"/>
              <w:ind w:left="332"/>
              <w:rPr>
                <w:sz w:val="16"/>
              </w:rPr>
            </w:pPr>
            <w:r>
              <w:rPr>
                <w:sz w:val="16"/>
              </w:rPr>
              <w:t>32</w:t>
            </w:r>
          </w:p>
          <w:p>
            <w:pPr>
              <w:pStyle w:val="TableParagraph"/>
              <w:spacing w:before="10"/>
              <w:rPr>
                <w:b/>
                <w:sz w:val="19"/>
              </w:rPr>
            </w:pPr>
          </w:p>
          <w:p>
            <w:pPr>
              <w:pStyle w:val="TableParagraph"/>
              <w:ind w:left="332"/>
              <w:rPr>
                <w:sz w:val="16"/>
              </w:rPr>
            </w:pPr>
            <w:r>
              <w:rPr>
                <w:sz w:val="16"/>
              </w:rPr>
              <w:t>30,5</w:t>
            </w:r>
          </w:p>
          <w:p>
            <w:pPr>
              <w:pStyle w:val="TableParagraph"/>
              <w:rPr>
                <w:b/>
                <w:sz w:val="18"/>
              </w:rPr>
            </w:pPr>
          </w:p>
          <w:p>
            <w:pPr>
              <w:pStyle w:val="TableParagraph"/>
              <w:rPr>
                <w:b/>
                <w:sz w:val="18"/>
              </w:rPr>
            </w:pPr>
          </w:p>
          <w:p>
            <w:pPr>
              <w:pStyle w:val="TableParagraph"/>
              <w:rPr>
                <w:b/>
                <w:sz w:val="18"/>
              </w:rPr>
            </w:pPr>
          </w:p>
          <w:p>
            <w:pPr>
              <w:pStyle w:val="TableParagraph"/>
              <w:spacing w:before="4"/>
              <w:rPr>
                <w:b/>
                <w:sz w:val="14"/>
              </w:rPr>
            </w:pPr>
          </w:p>
          <w:p>
            <w:pPr>
              <w:pStyle w:val="TableParagraph"/>
              <w:ind w:left="332"/>
              <w:rPr>
                <w:sz w:val="16"/>
              </w:rPr>
            </w:pPr>
            <w:r>
              <w:rPr>
                <w:sz w:val="16"/>
              </w:rPr>
              <w:t>20</w:t>
            </w:r>
          </w:p>
          <w:p>
            <w:pPr>
              <w:pStyle w:val="TableParagraph"/>
              <w:spacing w:before="8"/>
              <w:rPr>
                <w:b/>
                <w:sz w:val="19"/>
              </w:rPr>
            </w:pPr>
          </w:p>
          <w:p>
            <w:pPr>
              <w:pStyle w:val="TableParagraph"/>
              <w:ind w:left="332"/>
              <w:rPr>
                <w:sz w:val="16"/>
              </w:rPr>
            </w:pPr>
            <w:r>
              <w:rPr>
                <w:sz w:val="16"/>
              </w:rPr>
              <w:t>19,0</w:t>
            </w:r>
          </w:p>
        </w:tc>
        <w:tc>
          <w:tcPr>
            <w:tcW w:w="1051" w:type="dxa"/>
            <w:vMerge w:val="restart"/>
            <w:tcBorders>
              <w:top w:val="single" w:sz="4" w:space="0" w:color="000000"/>
              <w:bottom w:val="single" w:sz="4" w:space="0" w:color="000000"/>
            </w:tcBorders>
          </w:tcPr>
          <w:p>
            <w:pPr>
              <w:pStyle w:val="TableParagraph"/>
              <w:spacing w:line="181" w:lineRule="exact"/>
              <w:ind w:left="307"/>
              <w:rPr>
                <w:sz w:val="16"/>
              </w:rPr>
            </w:pPr>
            <w:r>
              <w:rPr>
                <w:sz w:val="16"/>
              </w:rPr>
              <w:t>18</w:t>
            </w:r>
          </w:p>
          <w:p>
            <w:pPr>
              <w:pStyle w:val="TableParagraph"/>
              <w:spacing w:before="10"/>
              <w:rPr>
                <w:b/>
                <w:sz w:val="19"/>
              </w:rPr>
            </w:pPr>
          </w:p>
          <w:p>
            <w:pPr>
              <w:pStyle w:val="TableParagraph"/>
              <w:ind w:left="307"/>
              <w:rPr>
                <w:sz w:val="16"/>
              </w:rPr>
            </w:pPr>
            <w:r>
              <w:rPr>
                <w:sz w:val="16"/>
              </w:rPr>
              <w:t>17,1</w:t>
            </w:r>
          </w:p>
          <w:p>
            <w:pPr>
              <w:pStyle w:val="TableParagraph"/>
              <w:rPr>
                <w:b/>
                <w:sz w:val="18"/>
              </w:rPr>
            </w:pPr>
          </w:p>
          <w:p>
            <w:pPr>
              <w:pStyle w:val="TableParagraph"/>
              <w:rPr>
                <w:b/>
                <w:sz w:val="18"/>
              </w:rPr>
            </w:pPr>
          </w:p>
          <w:p>
            <w:pPr>
              <w:pStyle w:val="TableParagraph"/>
              <w:spacing w:before="7"/>
              <w:rPr>
                <w:b/>
                <w:sz w:val="19"/>
              </w:rPr>
            </w:pPr>
          </w:p>
          <w:p>
            <w:pPr>
              <w:pStyle w:val="TableParagraph"/>
              <w:ind w:left="307"/>
              <w:rPr>
                <w:sz w:val="16"/>
              </w:rPr>
            </w:pPr>
            <w:r>
              <w:rPr>
                <w:sz w:val="16"/>
              </w:rPr>
              <w:t>26</w:t>
            </w:r>
          </w:p>
          <w:p>
            <w:pPr>
              <w:pStyle w:val="TableParagraph"/>
              <w:spacing w:before="8"/>
              <w:rPr>
                <w:b/>
                <w:sz w:val="19"/>
              </w:rPr>
            </w:pPr>
          </w:p>
          <w:p>
            <w:pPr>
              <w:pStyle w:val="TableParagraph"/>
              <w:ind w:left="307"/>
              <w:rPr>
                <w:sz w:val="16"/>
              </w:rPr>
            </w:pPr>
            <w:r>
              <w:rPr>
                <w:sz w:val="16"/>
              </w:rPr>
              <w:t>24,8</w:t>
            </w:r>
          </w:p>
          <w:p>
            <w:pPr>
              <w:pStyle w:val="TableParagraph"/>
              <w:rPr>
                <w:b/>
                <w:sz w:val="18"/>
              </w:rPr>
            </w:pPr>
          </w:p>
          <w:p>
            <w:pPr>
              <w:pStyle w:val="TableParagraph"/>
              <w:rPr>
                <w:b/>
                <w:sz w:val="18"/>
              </w:rPr>
            </w:pPr>
          </w:p>
          <w:p>
            <w:pPr>
              <w:pStyle w:val="TableParagraph"/>
              <w:spacing w:before="7"/>
              <w:rPr>
                <w:b/>
                <w:sz w:val="19"/>
              </w:rPr>
            </w:pPr>
          </w:p>
          <w:p>
            <w:pPr>
              <w:pStyle w:val="TableParagraph"/>
              <w:ind w:left="307"/>
              <w:rPr>
                <w:sz w:val="16"/>
              </w:rPr>
            </w:pPr>
            <w:r>
              <w:rPr>
                <w:sz w:val="16"/>
              </w:rPr>
              <w:t>34</w:t>
            </w:r>
          </w:p>
          <w:p>
            <w:pPr>
              <w:pStyle w:val="TableParagraph"/>
              <w:spacing w:before="10"/>
              <w:rPr>
                <w:b/>
                <w:sz w:val="19"/>
              </w:rPr>
            </w:pPr>
          </w:p>
          <w:p>
            <w:pPr>
              <w:pStyle w:val="TableParagraph"/>
              <w:ind w:left="307"/>
              <w:rPr>
                <w:sz w:val="16"/>
              </w:rPr>
            </w:pPr>
            <w:r>
              <w:rPr>
                <w:sz w:val="16"/>
              </w:rPr>
              <w:t>32,4</w:t>
            </w:r>
          </w:p>
          <w:p>
            <w:pPr>
              <w:pStyle w:val="TableParagraph"/>
              <w:rPr>
                <w:b/>
                <w:sz w:val="18"/>
              </w:rPr>
            </w:pPr>
          </w:p>
          <w:p>
            <w:pPr>
              <w:pStyle w:val="TableParagraph"/>
              <w:rPr>
                <w:b/>
                <w:sz w:val="18"/>
              </w:rPr>
            </w:pPr>
          </w:p>
          <w:p>
            <w:pPr>
              <w:pStyle w:val="TableParagraph"/>
              <w:rPr>
                <w:b/>
                <w:sz w:val="18"/>
              </w:rPr>
            </w:pPr>
          </w:p>
          <w:p>
            <w:pPr>
              <w:pStyle w:val="TableParagraph"/>
              <w:rPr>
                <w:b/>
                <w:sz w:val="18"/>
              </w:rPr>
            </w:pPr>
          </w:p>
          <w:p>
            <w:pPr>
              <w:pStyle w:val="TableParagraph"/>
              <w:spacing w:before="4"/>
              <w:rPr>
                <w:b/>
                <w:sz w:val="19"/>
              </w:rPr>
            </w:pPr>
          </w:p>
          <w:p>
            <w:pPr>
              <w:pStyle w:val="TableParagraph"/>
              <w:ind w:left="307"/>
              <w:rPr>
                <w:sz w:val="16"/>
              </w:rPr>
            </w:pPr>
            <w:r>
              <w:rPr>
                <w:sz w:val="16"/>
              </w:rPr>
              <w:t>38</w:t>
            </w:r>
          </w:p>
          <w:p>
            <w:pPr>
              <w:pStyle w:val="TableParagraph"/>
              <w:spacing w:before="10"/>
              <w:rPr>
                <w:b/>
                <w:sz w:val="19"/>
              </w:rPr>
            </w:pPr>
          </w:p>
          <w:p>
            <w:pPr>
              <w:pStyle w:val="TableParagraph"/>
              <w:ind w:left="307"/>
              <w:rPr>
                <w:sz w:val="16"/>
              </w:rPr>
            </w:pPr>
            <w:r>
              <w:rPr>
                <w:sz w:val="16"/>
              </w:rPr>
              <w:t>36,2</w:t>
            </w:r>
          </w:p>
          <w:p>
            <w:pPr>
              <w:pStyle w:val="TableParagraph"/>
              <w:rPr>
                <w:b/>
                <w:sz w:val="18"/>
              </w:rPr>
            </w:pPr>
          </w:p>
          <w:p>
            <w:pPr>
              <w:pStyle w:val="TableParagraph"/>
              <w:rPr>
                <w:b/>
                <w:sz w:val="18"/>
              </w:rPr>
            </w:pPr>
          </w:p>
          <w:p>
            <w:pPr>
              <w:pStyle w:val="TableParagraph"/>
              <w:rPr>
                <w:b/>
                <w:sz w:val="18"/>
              </w:rPr>
            </w:pPr>
          </w:p>
          <w:p>
            <w:pPr>
              <w:pStyle w:val="TableParagraph"/>
              <w:spacing w:before="4"/>
              <w:rPr>
                <w:b/>
                <w:sz w:val="14"/>
              </w:rPr>
            </w:pPr>
          </w:p>
          <w:p>
            <w:pPr>
              <w:pStyle w:val="TableParagraph"/>
              <w:ind w:left="307"/>
              <w:rPr>
                <w:sz w:val="16"/>
              </w:rPr>
            </w:pPr>
            <w:r>
              <w:rPr>
                <w:sz w:val="16"/>
              </w:rPr>
              <w:t>31</w:t>
            </w:r>
          </w:p>
          <w:p>
            <w:pPr>
              <w:pStyle w:val="TableParagraph"/>
              <w:spacing w:before="8"/>
              <w:rPr>
                <w:b/>
                <w:sz w:val="19"/>
              </w:rPr>
            </w:pPr>
          </w:p>
          <w:p>
            <w:pPr>
              <w:pStyle w:val="TableParagraph"/>
              <w:ind w:left="307"/>
              <w:rPr>
                <w:sz w:val="16"/>
              </w:rPr>
            </w:pPr>
            <w:r>
              <w:rPr>
                <w:sz w:val="16"/>
              </w:rPr>
              <w:t>29,5</w:t>
            </w:r>
          </w:p>
        </w:tc>
        <w:tc>
          <w:tcPr>
            <w:tcW w:w="1135" w:type="dxa"/>
            <w:tcBorders>
              <w:top w:val="single" w:sz="4" w:space="0" w:color="000000"/>
            </w:tcBorders>
          </w:tcPr>
          <w:p>
            <w:pPr>
              <w:pStyle w:val="TableParagraph"/>
              <w:spacing w:line="173" w:lineRule="exact"/>
              <w:ind w:left="360"/>
              <w:rPr>
                <w:sz w:val="16"/>
              </w:rPr>
            </w:pPr>
            <w:r>
              <w:rPr>
                <w:sz w:val="16"/>
              </w:rPr>
              <w:t>49</w:t>
            </w:r>
          </w:p>
        </w:tc>
        <w:tc>
          <w:tcPr>
            <w:tcW w:w="1122" w:type="dxa"/>
            <w:tcBorders>
              <w:top w:val="single" w:sz="4" w:space="0" w:color="000000"/>
            </w:tcBorders>
          </w:tcPr>
          <w:p>
            <w:pPr>
              <w:pStyle w:val="TableParagraph"/>
              <w:spacing w:line="173" w:lineRule="exact"/>
              <w:ind w:left="330"/>
              <w:rPr>
                <w:sz w:val="16"/>
              </w:rPr>
            </w:pPr>
            <w:r>
              <w:rPr>
                <w:sz w:val="16"/>
              </w:rPr>
              <w:t>13</w:t>
            </w:r>
          </w:p>
        </w:tc>
      </w:tr>
      <w:tr>
        <w:trPr>
          <w:trHeight w:val="196" w:hRule="atLeast"/>
        </w:trPr>
        <w:tc>
          <w:tcPr>
            <w:tcW w:w="1808" w:type="dxa"/>
          </w:tcPr>
          <w:p>
            <w:pPr>
              <w:pStyle w:val="TableParagraph"/>
              <w:spacing w:line="171" w:lineRule="exact" w:before="5"/>
              <w:ind w:left="117"/>
              <w:rPr>
                <w:sz w:val="16"/>
              </w:rPr>
            </w:pPr>
            <w:r>
              <w:rPr>
                <w:sz w:val="16"/>
              </w:rPr>
              <w:t>hizmet içi eğitimlere</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2"/>
              </w:rPr>
            </w:pPr>
          </w:p>
        </w:tc>
        <w:tc>
          <w:tcPr>
            <w:tcW w:w="1122" w:type="dxa"/>
          </w:tcPr>
          <w:p>
            <w:pPr>
              <w:pStyle w:val="TableParagraph"/>
              <w:rPr>
                <w:sz w:val="12"/>
              </w:rPr>
            </w:pPr>
          </w:p>
        </w:tc>
      </w:tr>
      <w:tr>
        <w:trPr>
          <w:trHeight w:val="308" w:hRule="atLeast"/>
        </w:trPr>
        <w:tc>
          <w:tcPr>
            <w:tcW w:w="1808" w:type="dxa"/>
          </w:tcPr>
          <w:p>
            <w:pPr>
              <w:pStyle w:val="TableParagraph"/>
              <w:spacing w:before="13"/>
              <w:ind w:left="117"/>
              <w:rPr>
                <w:sz w:val="16"/>
              </w:rPr>
            </w:pPr>
            <w:r>
              <w:rPr>
                <w:sz w:val="16"/>
              </w:rPr>
              <w:t>önem verilir.</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1"/>
              <w:ind w:left="360"/>
              <w:rPr>
                <w:sz w:val="16"/>
              </w:rPr>
            </w:pPr>
            <w:r>
              <w:rPr>
                <w:sz w:val="16"/>
              </w:rPr>
              <w:t>46,7</w:t>
            </w:r>
          </w:p>
        </w:tc>
        <w:tc>
          <w:tcPr>
            <w:tcW w:w="1122" w:type="dxa"/>
          </w:tcPr>
          <w:p>
            <w:pPr>
              <w:pStyle w:val="TableParagraph"/>
              <w:spacing w:before="1"/>
              <w:ind w:left="330"/>
              <w:rPr>
                <w:sz w:val="16"/>
              </w:rPr>
            </w:pPr>
            <w:r>
              <w:rPr>
                <w:sz w:val="16"/>
              </w:rPr>
              <w:t>12,4</w:t>
            </w:r>
          </w:p>
        </w:tc>
      </w:tr>
      <w:tr>
        <w:trPr>
          <w:trHeight w:val="300" w:hRule="atLeast"/>
        </w:trPr>
        <w:tc>
          <w:tcPr>
            <w:tcW w:w="1808" w:type="dxa"/>
          </w:tcPr>
          <w:p>
            <w:pPr>
              <w:pStyle w:val="TableParagraph"/>
              <w:spacing w:line="176" w:lineRule="exact" w:before="105"/>
              <w:ind w:left="117"/>
              <w:rPr>
                <w:sz w:val="16"/>
              </w:rPr>
            </w:pPr>
            <w:r>
              <w:rPr>
                <w:b/>
                <w:sz w:val="16"/>
              </w:rPr>
              <w:t>Soru 23. </w:t>
            </w:r>
            <w:r>
              <w:rPr>
                <w:sz w:val="16"/>
              </w:rPr>
              <w:t>Kurumumda</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20"/>
              </w:rPr>
            </w:pPr>
          </w:p>
        </w:tc>
        <w:tc>
          <w:tcPr>
            <w:tcW w:w="1122" w:type="dxa"/>
          </w:tcPr>
          <w:p>
            <w:pPr>
              <w:pStyle w:val="TableParagraph"/>
              <w:rPr>
                <w:sz w:val="20"/>
              </w:rPr>
            </w:pPr>
          </w:p>
        </w:tc>
      </w:tr>
      <w:tr>
        <w:trPr>
          <w:trHeight w:val="190" w:hRule="atLeast"/>
        </w:trPr>
        <w:tc>
          <w:tcPr>
            <w:tcW w:w="1808" w:type="dxa"/>
          </w:tcPr>
          <w:p>
            <w:pPr>
              <w:pStyle w:val="TableParagraph"/>
              <w:spacing w:line="165" w:lineRule="exact" w:before="5"/>
              <w:ind w:left="117"/>
              <w:rPr>
                <w:sz w:val="16"/>
              </w:rPr>
            </w:pPr>
            <w:r>
              <w:rPr>
                <w:sz w:val="16"/>
              </w:rPr>
              <w:t>afet planı ile ilgili</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2"/>
              </w:rPr>
            </w:pPr>
          </w:p>
        </w:tc>
        <w:tc>
          <w:tcPr>
            <w:tcW w:w="1122" w:type="dxa"/>
          </w:tcPr>
          <w:p>
            <w:pPr>
              <w:pStyle w:val="TableParagraph"/>
              <w:rPr>
                <w:sz w:val="12"/>
              </w:rPr>
            </w:pPr>
          </w:p>
        </w:tc>
      </w:tr>
      <w:tr>
        <w:trPr>
          <w:trHeight w:val="213" w:hRule="atLeast"/>
        </w:trPr>
        <w:tc>
          <w:tcPr>
            <w:tcW w:w="1808" w:type="dxa"/>
          </w:tcPr>
          <w:p>
            <w:pPr>
              <w:pStyle w:val="TableParagraph"/>
              <w:tabs>
                <w:tab w:pos="1287" w:val="left" w:leader="none"/>
              </w:tabs>
              <w:spacing w:line="177" w:lineRule="exact" w:before="16"/>
              <w:ind w:left="117"/>
              <w:rPr>
                <w:sz w:val="16"/>
              </w:rPr>
            </w:pPr>
            <w:r>
              <w:rPr>
                <w:sz w:val="16"/>
              </w:rPr>
              <w:t>personele</w:t>
              <w:tab/>
              <w:t>eğitim</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line="179" w:lineRule="exact"/>
              <w:ind w:left="360"/>
              <w:rPr>
                <w:sz w:val="16"/>
              </w:rPr>
            </w:pPr>
            <w:r>
              <w:rPr>
                <w:sz w:val="16"/>
              </w:rPr>
              <w:t>25</w:t>
            </w:r>
          </w:p>
        </w:tc>
        <w:tc>
          <w:tcPr>
            <w:tcW w:w="1122" w:type="dxa"/>
          </w:tcPr>
          <w:p>
            <w:pPr>
              <w:pStyle w:val="TableParagraph"/>
              <w:spacing w:line="179" w:lineRule="exact"/>
              <w:ind w:right="215"/>
              <w:jc w:val="center"/>
              <w:rPr>
                <w:sz w:val="16"/>
              </w:rPr>
            </w:pPr>
            <w:r>
              <w:rPr>
                <w:w w:val="100"/>
                <w:sz w:val="16"/>
              </w:rPr>
              <w:t>5</w:t>
            </w:r>
          </w:p>
        </w:tc>
      </w:tr>
      <w:tr>
        <w:trPr>
          <w:trHeight w:val="184" w:hRule="atLeast"/>
        </w:trPr>
        <w:tc>
          <w:tcPr>
            <w:tcW w:w="1808" w:type="dxa"/>
          </w:tcPr>
          <w:p>
            <w:pPr>
              <w:pStyle w:val="TableParagraph"/>
              <w:tabs>
                <w:tab w:pos="1417" w:val="left" w:leader="none"/>
              </w:tabs>
              <w:spacing w:line="158" w:lineRule="exact" w:before="6"/>
              <w:ind w:left="117"/>
              <w:rPr>
                <w:sz w:val="16"/>
              </w:rPr>
            </w:pPr>
            <w:r>
              <w:rPr>
                <w:sz w:val="16"/>
              </w:rPr>
              <w:t>verilmiştir.</w:t>
              <w:tab/>
              <w:t>Plan</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2"/>
              </w:rPr>
            </w:pPr>
          </w:p>
        </w:tc>
        <w:tc>
          <w:tcPr>
            <w:tcW w:w="1122" w:type="dxa"/>
          </w:tcPr>
          <w:p>
            <w:pPr>
              <w:pStyle w:val="TableParagraph"/>
              <w:rPr>
                <w:sz w:val="12"/>
              </w:rPr>
            </w:pPr>
          </w:p>
        </w:tc>
      </w:tr>
      <w:tr>
        <w:trPr>
          <w:trHeight w:val="218" w:hRule="atLeast"/>
        </w:trPr>
        <w:tc>
          <w:tcPr>
            <w:tcW w:w="1808" w:type="dxa"/>
          </w:tcPr>
          <w:p>
            <w:pPr>
              <w:pStyle w:val="TableParagraph"/>
              <w:spacing w:line="176" w:lineRule="exact" w:before="23"/>
              <w:ind w:left="117"/>
              <w:rPr>
                <w:sz w:val="16"/>
              </w:rPr>
            </w:pPr>
            <w:r>
              <w:rPr>
                <w:sz w:val="16"/>
              </w:rPr>
              <w:t>tatbikatlarda yılda birkaç</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line="171" w:lineRule="exact"/>
              <w:ind w:left="360"/>
              <w:rPr>
                <w:sz w:val="16"/>
              </w:rPr>
            </w:pPr>
            <w:r>
              <w:rPr>
                <w:sz w:val="16"/>
              </w:rPr>
              <w:t>23,8</w:t>
            </w:r>
          </w:p>
        </w:tc>
        <w:tc>
          <w:tcPr>
            <w:tcW w:w="1122" w:type="dxa"/>
          </w:tcPr>
          <w:p>
            <w:pPr>
              <w:pStyle w:val="TableParagraph"/>
              <w:spacing w:line="171" w:lineRule="exact"/>
              <w:ind w:right="510"/>
              <w:jc w:val="right"/>
              <w:rPr>
                <w:sz w:val="16"/>
              </w:rPr>
            </w:pPr>
            <w:r>
              <w:rPr>
                <w:sz w:val="16"/>
              </w:rPr>
              <w:t>4,8</w:t>
            </w:r>
          </w:p>
        </w:tc>
      </w:tr>
      <w:tr>
        <w:trPr>
          <w:trHeight w:val="201" w:hRule="atLeast"/>
        </w:trPr>
        <w:tc>
          <w:tcPr>
            <w:tcW w:w="1808" w:type="dxa"/>
          </w:tcPr>
          <w:p>
            <w:pPr>
              <w:pStyle w:val="TableParagraph"/>
              <w:tabs>
                <w:tab w:pos="1040" w:val="left" w:leader="none"/>
              </w:tabs>
              <w:spacing w:line="176" w:lineRule="exact" w:before="5"/>
              <w:ind w:left="117"/>
              <w:rPr>
                <w:sz w:val="16"/>
              </w:rPr>
            </w:pPr>
            <w:r>
              <w:rPr>
                <w:sz w:val="16"/>
              </w:rPr>
              <w:t>kez</w:t>
              <w:tab/>
              <w:t>denenerek</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4"/>
              </w:rPr>
            </w:pPr>
          </w:p>
        </w:tc>
        <w:tc>
          <w:tcPr>
            <w:tcW w:w="1122" w:type="dxa"/>
          </w:tcPr>
          <w:p>
            <w:pPr>
              <w:pStyle w:val="TableParagraph"/>
              <w:rPr>
                <w:sz w:val="14"/>
              </w:rPr>
            </w:pPr>
          </w:p>
        </w:tc>
      </w:tr>
      <w:tr>
        <w:trPr>
          <w:trHeight w:val="277" w:hRule="atLeast"/>
        </w:trPr>
        <w:tc>
          <w:tcPr>
            <w:tcW w:w="1808" w:type="dxa"/>
          </w:tcPr>
          <w:p>
            <w:pPr>
              <w:pStyle w:val="TableParagraph"/>
              <w:spacing w:before="5"/>
              <w:ind w:left="117"/>
              <w:rPr>
                <w:sz w:val="16"/>
              </w:rPr>
            </w:pPr>
            <w:r>
              <w:rPr>
                <w:sz w:val="16"/>
              </w:rPr>
              <w:t>gerekiyorsa düzeltilir.</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20"/>
              </w:rPr>
            </w:pPr>
          </w:p>
        </w:tc>
        <w:tc>
          <w:tcPr>
            <w:tcW w:w="1122" w:type="dxa"/>
          </w:tcPr>
          <w:p>
            <w:pPr>
              <w:pStyle w:val="TableParagraph"/>
              <w:rPr>
                <w:sz w:val="20"/>
              </w:rPr>
            </w:pPr>
          </w:p>
        </w:tc>
      </w:tr>
      <w:tr>
        <w:trPr>
          <w:trHeight w:val="326" w:hRule="atLeast"/>
        </w:trPr>
        <w:tc>
          <w:tcPr>
            <w:tcW w:w="1808" w:type="dxa"/>
          </w:tcPr>
          <w:p>
            <w:pPr>
              <w:pStyle w:val="TableParagraph"/>
              <w:spacing w:line="176" w:lineRule="exact" w:before="130"/>
              <w:ind w:left="117"/>
              <w:rPr>
                <w:sz w:val="16"/>
              </w:rPr>
            </w:pPr>
            <w:r>
              <w:rPr>
                <w:b/>
                <w:sz w:val="16"/>
              </w:rPr>
              <w:t>Soru 24. </w:t>
            </w:r>
            <w:r>
              <w:rPr>
                <w:sz w:val="16"/>
              </w:rPr>
              <w:t>Kurumumda</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82"/>
              <w:ind w:left="360"/>
              <w:rPr>
                <w:sz w:val="16"/>
              </w:rPr>
            </w:pPr>
            <w:r>
              <w:rPr>
                <w:sz w:val="16"/>
              </w:rPr>
              <w:t>23</w:t>
            </w:r>
          </w:p>
        </w:tc>
        <w:tc>
          <w:tcPr>
            <w:tcW w:w="1122" w:type="dxa"/>
          </w:tcPr>
          <w:p>
            <w:pPr>
              <w:pStyle w:val="TableParagraph"/>
              <w:spacing w:before="82"/>
              <w:ind w:right="215"/>
              <w:jc w:val="center"/>
              <w:rPr>
                <w:sz w:val="16"/>
              </w:rPr>
            </w:pPr>
            <w:r>
              <w:rPr>
                <w:w w:val="100"/>
                <w:sz w:val="16"/>
              </w:rPr>
              <w:t>5</w:t>
            </w:r>
          </w:p>
        </w:tc>
      </w:tr>
      <w:tr>
        <w:trPr>
          <w:trHeight w:val="412" w:hRule="atLeast"/>
        </w:trPr>
        <w:tc>
          <w:tcPr>
            <w:tcW w:w="1808" w:type="dxa"/>
          </w:tcPr>
          <w:p>
            <w:pPr>
              <w:pStyle w:val="TableParagraph"/>
              <w:spacing w:before="5"/>
              <w:ind w:left="117"/>
              <w:rPr>
                <w:sz w:val="16"/>
              </w:rPr>
            </w:pPr>
            <w:r>
              <w:rPr>
                <w:sz w:val="16"/>
              </w:rPr>
              <w:t>afet     eğitimine   </w:t>
            </w:r>
            <w:r>
              <w:rPr>
                <w:spacing w:val="14"/>
                <w:sz w:val="16"/>
              </w:rPr>
              <w:t> </w:t>
            </w:r>
            <w:r>
              <w:rPr>
                <w:sz w:val="16"/>
              </w:rPr>
              <w:t>önem</w:t>
            </w:r>
          </w:p>
          <w:p>
            <w:pPr>
              <w:pStyle w:val="TableParagraph"/>
              <w:tabs>
                <w:tab w:pos="776" w:val="left" w:leader="none"/>
                <w:tab w:pos="1289" w:val="left" w:leader="none"/>
              </w:tabs>
              <w:spacing w:line="176" w:lineRule="exact" w:before="27"/>
              <w:ind w:left="117"/>
              <w:rPr>
                <w:sz w:val="16"/>
              </w:rPr>
            </w:pPr>
            <w:r>
              <w:rPr>
                <w:sz w:val="16"/>
              </w:rPr>
              <w:t>verilir.</w:t>
              <w:tab/>
              <w:t>Afet</w:t>
              <w:tab/>
              <w:t>bilinci</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159"/>
              <w:ind w:left="360"/>
              <w:rPr>
                <w:sz w:val="16"/>
              </w:rPr>
            </w:pPr>
            <w:r>
              <w:rPr>
                <w:sz w:val="16"/>
              </w:rPr>
              <w:t>21,9</w:t>
            </w:r>
          </w:p>
        </w:tc>
        <w:tc>
          <w:tcPr>
            <w:tcW w:w="1122" w:type="dxa"/>
          </w:tcPr>
          <w:p>
            <w:pPr>
              <w:pStyle w:val="TableParagraph"/>
              <w:spacing w:before="159"/>
              <w:ind w:right="510"/>
              <w:jc w:val="right"/>
              <w:rPr>
                <w:sz w:val="16"/>
              </w:rPr>
            </w:pPr>
            <w:r>
              <w:rPr>
                <w:sz w:val="16"/>
              </w:rPr>
              <w:t>4,8</w:t>
            </w:r>
          </w:p>
        </w:tc>
      </w:tr>
      <w:tr>
        <w:trPr>
          <w:trHeight w:val="201" w:hRule="atLeast"/>
        </w:trPr>
        <w:tc>
          <w:tcPr>
            <w:tcW w:w="1808" w:type="dxa"/>
          </w:tcPr>
          <w:p>
            <w:pPr>
              <w:pStyle w:val="TableParagraph"/>
              <w:tabs>
                <w:tab w:pos="1460" w:val="left" w:leader="none"/>
              </w:tabs>
              <w:spacing w:line="176" w:lineRule="exact" w:before="5"/>
              <w:ind w:left="117"/>
              <w:rPr>
                <w:sz w:val="16"/>
              </w:rPr>
            </w:pPr>
            <w:r>
              <w:rPr>
                <w:sz w:val="16"/>
              </w:rPr>
              <w:t>oluşturmak</w:t>
              <w:tab/>
              <w:t>için</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4"/>
              </w:rPr>
            </w:pPr>
          </w:p>
        </w:tc>
        <w:tc>
          <w:tcPr>
            <w:tcW w:w="1122" w:type="dxa"/>
          </w:tcPr>
          <w:p>
            <w:pPr>
              <w:pStyle w:val="TableParagraph"/>
              <w:rPr>
                <w:sz w:val="14"/>
              </w:rPr>
            </w:pPr>
          </w:p>
        </w:tc>
      </w:tr>
      <w:tr>
        <w:trPr>
          <w:trHeight w:val="201" w:hRule="atLeast"/>
        </w:trPr>
        <w:tc>
          <w:tcPr>
            <w:tcW w:w="1808" w:type="dxa"/>
          </w:tcPr>
          <w:p>
            <w:pPr>
              <w:pStyle w:val="TableParagraph"/>
              <w:spacing w:line="176" w:lineRule="exact" w:before="5"/>
              <w:ind w:left="117"/>
              <w:rPr>
                <w:sz w:val="16"/>
              </w:rPr>
            </w:pPr>
            <w:r>
              <w:rPr>
                <w:sz w:val="16"/>
              </w:rPr>
              <w:t>eğitimler sürekli hale</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4"/>
              </w:rPr>
            </w:pPr>
          </w:p>
        </w:tc>
        <w:tc>
          <w:tcPr>
            <w:tcW w:w="1122" w:type="dxa"/>
          </w:tcPr>
          <w:p>
            <w:pPr>
              <w:pStyle w:val="TableParagraph"/>
              <w:rPr>
                <w:sz w:val="14"/>
              </w:rPr>
            </w:pPr>
          </w:p>
        </w:tc>
      </w:tr>
      <w:tr>
        <w:trPr>
          <w:trHeight w:val="302" w:hRule="atLeast"/>
        </w:trPr>
        <w:tc>
          <w:tcPr>
            <w:tcW w:w="1808" w:type="dxa"/>
          </w:tcPr>
          <w:p>
            <w:pPr>
              <w:pStyle w:val="TableParagraph"/>
              <w:spacing w:before="5"/>
              <w:ind w:left="117"/>
              <w:rPr>
                <w:sz w:val="16"/>
              </w:rPr>
            </w:pPr>
            <w:r>
              <w:rPr>
                <w:sz w:val="16"/>
              </w:rPr>
              <w:t>gelmiştir.</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20"/>
              </w:rPr>
            </w:pPr>
          </w:p>
        </w:tc>
        <w:tc>
          <w:tcPr>
            <w:tcW w:w="1122" w:type="dxa"/>
          </w:tcPr>
          <w:p>
            <w:pPr>
              <w:pStyle w:val="TableParagraph"/>
              <w:rPr>
                <w:sz w:val="20"/>
              </w:rPr>
            </w:pPr>
          </w:p>
        </w:tc>
      </w:tr>
      <w:tr>
        <w:trPr>
          <w:trHeight w:val="513" w:hRule="atLeast"/>
        </w:trPr>
        <w:tc>
          <w:tcPr>
            <w:tcW w:w="1808" w:type="dxa"/>
          </w:tcPr>
          <w:p>
            <w:pPr>
              <w:pStyle w:val="TableParagraph"/>
              <w:spacing w:line="210" w:lineRule="atLeast" w:before="80"/>
              <w:ind w:left="117" w:right="106"/>
              <w:rPr>
                <w:sz w:val="16"/>
              </w:rPr>
            </w:pPr>
            <w:r>
              <w:rPr>
                <w:b/>
                <w:sz w:val="16"/>
              </w:rPr>
              <w:t>Soru 25</w:t>
            </w:r>
            <w:r>
              <w:rPr>
                <w:sz w:val="16"/>
              </w:rPr>
              <w:t>. Kurumumun üst yönetimi afetle ilgili</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6"/>
              <w:rPr>
                <w:b/>
                <w:sz w:val="20"/>
              </w:rPr>
            </w:pPr>
          </w:p>
          <w:p>
            <w:pPr>
              <w:pStyle w:val="TableParagraph"/>
              <w:ind w:left="360"/>
              <w:rPr>
                <w:sz w:val="16"/>
              </w:rPr>
            </w:pPr>
            <w:r>
              <w:rPr>
                <w:sz w:val="16"/>
              </w:rPr>
              <w:t>17</w:t>
            </w:r>
          </w:p>
        </w:tc>
        <w:tc>
          <w:tcPr>
            <w:tcW w:w="1122" w:type="dxa"/>
          </w:tcPr>
          <w:p>
            <w:pPr>
              <w:pStyle w:val="TableParagraph"/>
              <w:spacing w:before="6"/>
              <w:rPr>
                <w:b/>
                <w:sz w:val="20"/>
              </w:rPr>
            </w:pPr>
          </w:p>
          <w:p>
            <w:pPr>
              <w:pStyle w:val="TableParagraph"/>
              <w:ind w:right="215"/>
              <w:jc w:val="center"/>
              <w:rPr>
                <w:sz w:val="16"/>
              </w:rPr>
            </w:pPr>
            <w:r>
              <w:rPr>
                <w:w w:val="100"/>
                <w:sz w:val="16"/>
              </w:rPr>
              <w:t>8</w:t>
            </w:r>
          </w:p>
        </w:tc>
      </w:tr>
      <w:tr>
        <w:trPr>
          <w:trHeight w:val="412" w:hRule="atLeast"/>
        </w:trPr>
        <w:tc>
          <w:tcPr>
            <w:tcW w:w="1808" w:type="dxa"/>
          </w:tcPr>
          <w:p>
            <w:pPr>
              <w:pStyle w:val="TableParagraph"/>
              <w:tabs>
                <w:tab w:pos="1081" w:val="left" w:leader="none"/>
              </w:tabs>
              <w:spacing w:before="5"/>
              <w:ind w:left="117"/>
              <w:rPr>
                <w:sz w:val="16"/>
              </w:rPr>
            </w:pPr>
            <w:r>
              <w:rPr>
                <w:sz w:val="16"/>
              </w:rPr>
              <w:t>eğitimleri</w:t>
              <w:tab/>
              <w:t>destekler.</w:t>
            </w:r>
          </w:p>
          <w:p>
            <w:pPr>
              <w:pStyle w:val="TableParagraph"/>
              <w:tabs>
                <w:tab w:pos="1131" w:val="left" w:leader="none"/>
              </w:tabs>
              <w:spacing w:line="176" w:lineRule="exact" w:before="27"/>
              <w:ind w:left="117"/>
              <w:rPr>
                <w:sz w:val="16"/>
              </w:rPr>
            </w:pPr>
            <w:r>
              <w:rPr>
                <w:sz w:val="16"/>
              </w:rPr>
              <w:t>Afet</w:t>
              <w:tab/>
              <w:t>yönetimi</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125"/>
              <w:ind w:left="360"/>
              <w:rPr>
                <w:sz w:val="16"/>
              </w:rPr>
            </w:pPr>
            <w:r>
              <w:rPr>
                <w:sz w:val="16"/>
              </w:rPr>
              <w:t>16,2</w:t>
            </w:r>
          </w:p>
        </w:tc>
        <w:tc>
          <w:tcPr>
            <w:tcW w:w="1122" w:type="dxa"/>
          </w:tcPr>
          <w:p>
            <w:pPr>
              <w:pStyle w:val="TableParagraph"/>
              <w:spacing w:before="125"/>
              <w:ind w:right="510"/>
              <w:jc w:val="right"/>
              <w:rPr>
                <w:sz w:val="16"/>
              </w:rPr>
            </w:pPr>
            <w:r>
              <w:rPr>
                <w:sz w:val="16"/>
              </w:rPr>
              <w:t>7,6</w:t>
            </w:r>
          </w:p>
        </w:tc>
      </w:tr>
      <w:tr>
        <w:trPr>
          <w:trHeight w:val="202" w:hRule="atLeast"/>
        </w:trPr>
        <w:tc>
          <w:tcPr>
            <w:tcW w:w="1808" w:type="dxa"/>
          </w:tcPr>
          <w:p>
            <w:pPr>
              <w:pStyle w:val="TableParagraph"/>
              <w:tabs>
                <w:tab w:pos="1078" w:val="left" w:leader="none"/>
              </w:tabs>
              <w:spacing w:line="177" w:lineRule="exact" w:before="5"/>
              <w:ind w:left="117"/>
              <w:rPr>
                <w:sz w:val="16"/>
              </w:rPr>
            </w:pPr>
            <w:r>
              <w:rPr>
                <w:sz w:val="16"/>
              </w:rPr>
              <w:t>konusunda</w:t>
              <w:tab/>
              <w:t>eğitimleri</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14"/>
              </w:rPr>
            </w:pPr>
          </w:p>
        </w:tc>
        <w:tc>
          <w:tcPr>
            <w:tcW w:w="1122" w:type="dxa"/>
          </w:tcPr>
          <w:p>
            <w:pPr>
              <w:pStyle w:val="TableParagraph"/>
              <w:rPr>
                <w:sz w:val="14"/>
              </w:rPr>
            </w:pPr>
          </w:p>
        </w:tc>
      </w:tr>
      <w:tr>
        <w:trPr>
          <w:trHeight w:val="297" w:hRule="atLeast"/>
        </w:trPr>
        <w:tc>
          <w:tcPr>
            <w:tcW w:w="1808" w:type="dxa"/>
          </w:tcPr>
          <w:p>
            <w:pPr>
              <w:pStyle w:val="TableParagraph"/>
              <w:spacing w:before="6"/>
              <w:ind w:left="117"/>
              <w:rPr>
                <w:sz w:val="16"/>
              </w:rPr>
            </w:pPr>
            <w:r>
              <w:rPr>
                <w:sz w:val="16"/>
              </w:rPr>
              <w:t>yeterlidir.</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rPr>
                <w:sz w:val="20"/>
              </w:rPr>
            </w:pPr>
          </w:p>
        </w:tc>
        <w:tc>
          <w:tcPr>
            <w:tcW w:w="1122" w:type="dxa"/>
          </w:tcPr>
          <w:p>
            <w:pPr>
              <w:pStyle w:val="TableParagraph"/>
              <w:rPr>
                <w:sz w:val="20"/>
              </w:rPr>
            </w:pPr>
          </w:p>
        </w:tc>
      </w:tr>
      <w:tr>
        <w:trPr>
          <w:trHeight w:val="506" w:hRule="atLeast"/>
        </w:trPr>
        <w:tc>
          <w:tcPr>
            <w:tcW w:w="1808" w:type="dxa"/>
          </w:tcPr>
          <w:p>
            <w:pPr>
              <w:pStyle w:val="TableParagraph"/>
              <w:tabs>
                <w:tab w:pos="1140" w:val="left" w:leader="none"/>
              </w:tabs>
              <w:spacing w:line="210" w:lineRule="atLeast" w:before="84"/>
              <w:ind w:left="117" w:right="106"/>
              <w:rPr>
                <w:sz w:val="16"/>
              </w:rPr>
            </w:pPr>
            <w:r>
              <w:rPr>
                <w:b/>
                <w:sz w:val="16"/>
              </w:rPr>
              <w:t>Soru 26. </w:t>
            </w:r>
            <w:r>
              <w:rPr>
                <w:sz w:val="16"/>
              </w:rPr>
              <w:t>Kurumumun çalışanları</w:t>
              <w:tab/>
            </w:r>
            <w:r>
              <w:rPr>
                <w:spacing w:val="-1"/>
                <w:sz w:val="16"/>
              </w:rPr>
              <w:t>afetlerde</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Pr>
          <w:p>
            <w:pPr>
              <w:pStyle w:val="TableParagraph"/>
              <w:spacing w:before="100"/>
              <w:ind w:left="360"/>
              <w:rPr>
                <w:sz w:val="16"/>
              </w:rPr>
            </w:pPr>
            <w:r>
              <w:rPr>
                <w:sz w:val="16"/>
              </w:rPr>
              <w:t>39</w:t>
            </w:r>
          </w:p>
        </w:tc>
        <w:tc>
          <w:tcPr>
            <w:tcW w:w="1122" w:type="dxa"/>
          </w:tcPr>
          <w:p>
            <w:pPr>
              <w:pStyle w:val="TableParagraph"/>
              <w:spacing w:before="153"/>
              <w:ind w:right="215"/>
              <w:jc w:val="center"/>
              <w:rPr>
                <w:sz w:val="16"/>
              </w:rPr>
            </w:pPr>
            <w:r>
              <w:rPr>
                <w:w w:val="100"/>
                <w:sz w:val="16"/>
              </w:rPr>
              <w:t>7</w:t>
            </w:r>
          </w:p>
        </w:tc>
      </w:tr>
      <w:tr>
        <w:trPr>
          <w:trHeight w:val="592" w:hRule="atLeast"/>
        </w:trPr>
        <w:tc>
          <w:tcPr>
            <w:tcW w:w="1808" w:type="dxa"/>
            <w:tcBorders>
              <w:bottom w:val="single" w:sz="4" w:space="0" w:color="000000"/>
            </w:tcBorders>
          </w:tcPr>
          <w:p>
            <w:pPr>
              <w:pStyle w:val="TableParagraph"/>
              <w:tabs>
                <w:tab w:pos="1014" w:val="left" w:leader="none"/>
              </w:tabs>
              <w:spacing w:before="16"/>
              <w:ind w:left="117"/>
              <w:rPr>
                <w:sz w:val="16"/>
              </w:rPr>
            </w:pPr>
            <w:r>
              <w:rPr>
                <w:sz w:val="16"/>
              </w:rPr>
              <w:t>müdahale</w:t>
              <w:tab/>
              <w:t>edebilecek</w:t>
            </w:r>
          </w:p>
        </w:tc>
        <w:tc>
          <w:tcPr>
            <w:tcW w:w="739" w:type="dxa"/>
            <w:vMerge/>
            <w:tcBorders>
              <w:top w:val="nil"/>
              <w:bottom w:val="single" w:sz="4" w:space="0" w:color="000000"/>
            </w:tcBorders>
          </w:tcPr>
          <w:p>
            <w:pPr>
              <w:rPr>
                <w:sz w:val="2"/>
                <w:szCs w:val="2"/>
              </w:rPr>
            </w:pPr>
          </w:p>
        </w:tc>
        <w:tc>
          <w:tcPr>
            <w:tcW w:w="1172" w:type="dxa"/>
            <w:vMerge/>
            <w:tcBorders>
              <w:top w:val="nil"/>
              <w:bottom w:val="single" w:sz="4" w:space="0" w:color="000000"/>
            </w:tcBorders>
          </w:tcPr>
          <w:p>
            <w:pPr>
              <w:rPr>
                <w:sz w:val="2"/>
                <w:szCs w:val="2"/>
              </w:rPr>
            </w:pPr>
          </w:p>
        </w:tc>
        <w:tc>
          <w:tcPr>
            <w:tcW w:w="1220" w:type="dxa"/>
            <w:vMerge/>
            <w:tcBorders>
              <w:top w:val="nil"/>
              <w:bottom w:val="single" w:sz="4" w:space="0" w:color="000000"/>
            </w:tcBorders>
          </w:tcPr>
          <w:p>
            <w:pPr>
              <w:rPr>
                <w:sz w:val="2"/>
                <w:szCs w:val="2"/>
              </w:rPr>
            </w:pPr>
          </w:p>
        </w:tc>
        <w:tc>
          <w:tcPr>
            <w:tcW w:w="1051" w:type="dxa"/>
            <w:vMerge/>
            <w:tcBorders>
              <w:top w:val="nil"/>
              <w:bottom w:val="single" w:sz="4" w:space="0" w:color="000000"/>
            </w:tcBorders>
          </w:tcPr>
          <w:p>
            <w:pPr>
              <w:rPr>
                <w:sz w:val="2"/>
                <w:szCs w:val="2"/>
              </w:rPr>
            </w:pPr>
          </w:p>
        </w:tc>
        <w:tc>
          <w:tcPr>
            <w:tcW w:w="1135" w:type="dxa"/>
            <w:tcBorders>
              <w:bottom w:val="single" w:sz="4" w:space="0" w:color="000000"/>
            </w:tcBorders>
          </w:tcPr>
          <w:p>
            <w:pPr>
              <w:pStyle w:val="TableParagraph"/>
              <w:spacing w:line="179" w:lineRule="exact"/>
              <w:ind w:left="360"/>
              <w:rPr>
                <w:sz w:val="16"/>
              </w:rPr>
            </w:pPr>
            <w:r>
              <w:rPr>
                <w:sz w:val="16"/>
              </w:rPr>
              <w:t>37,1</w:t>
            </w:r>
          </w:p>
        </w:tc>
        <w:tc>
          <w:tcPr>
            <w:tcW w:w="1122" w:type="dxa"/>
            <w:tcBorders>
              <w:bottom w:val="single" w:sz="4" w:space="0" w:color="000000"/>
            </w:tcBorders>
          </w:tcPr>
          <w:p>
            <w:pPr>
              <w:pStyle w:val="TableParagraph"/>
              <w:spacing w:before="47"/>
              <w:ind w:right="510"/>
              <w:jc w:val="right"/>
              <w:rPr>
                <w:sz w:val="16"/>
              </w:rPr>
            </w:pPr>
            <w:r>
              <w:rPr>
                <w:sz w:val="16"/>
              </w:rPr>
              <w:t>6,7</w:t>
            </w:r>
          </w:p>
        </w:tc>
      </w:tr>
    </w:tbl>
    <w:p>
      <w:pPr>
        <w:spacing w:after="0"/>
        <w:jc w:val="right"/>
        <w:rPr>
          <w:sz w:val="16"/>
        </w:rPr>
        <w:sectPr>
          <w:pgSz w:w="11910" w:h="16840"/>
          <w:pgMar w:header="0" w:footer="976" w:top="1580" w:bottom="1240" w:left="1140" w:right="520"/>
        </w:sectPr>
      </w:pPr>
    </w:p>
    <w:p>
      <w:pPr>
        <w:pStyle w:val="BodyText"/>
        <w:spacing w:before="11"/>
        <w:rPr>
          <w:b/>
          <w:sz w:val="8"/>
        </w:rPr>
      </w:pPr>
    </w:p>
    <w:tbl>
      <w:tblPr>
        <w:tblW w:w="0" w:type="auto"/>
        <w:jc w:val="left"/>
        <w:tblInd w:w="12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806"/>
        <w:gridCol w:w="739"/>
        <w:gridCol w:w="1000"/>
        <w:gridCol w:w="1244"/>
        <w:gridCol w:w="1150"/>
        <w:gridCol w:w="1144"/>
        <w:gridCol w:w="1166"/>
      </w:tblGrid>
      <w:tr>
        <w:trPr>
          <w:trHeight w:val="2515" w:hRule="atLeast"/>
        </w:trPr>
        <w:tc>
          <w:tcPr>
            <w:tcW w:w="1806" w:type="dxa"/>
            <w:tcBorders>
              <w:top w:val="single" w:sz="4" w:space="0" w:color="000000"/>
              <w:bottom w:val="single" w:sz="4" w:space="0" w:color="000000"/>
            </w:tcBorders>
          </w:tcPr>
          <w:p>
            <w:pPr>
              <w:pStyle w:val="TableParagraph"/>
              <w:tabs>
                <w:tab w:pos="782" w:val="left" w:leader="none"/>
                <w:tab w:pos="1547" w:val="left" w:leader="none"/>
              </w:tabs>
              <w:spacing w:line="276" w:lineRule="auto"/>
              <w:ind w:left="115" w:right="106"/>
              <w:rPr>
                <w:sz w:val="16"/>
              </w:rPr>
            </w:pPr>
            <w:r>
              <w:rPr>
                <w:sz w:val="16"/>
              </w:rPr>
              <w:t>bilgi</w:t>
              <w:tab/>
              <w:t>beceri</w:t>
              <w:tab/>
              <w:t>ve</w:t>
            </w:r>
            <w:r>
              <w:rPr>
                <w:w w:val="100"/>
                <w:sz w:val="16"/>
              </w:rPr>
              <w:t> </w:t>
            </w:r>
            <w:r>
              <w:rPr>
                <w:sz w:val="16"/>
              </w:rPr>
              <w:t>kapasiteye</w:t>
            </w:r>
            <w:r>
              <w:rPr>
                <w:spacing w:val="-3"/>
                <w:sz w:val="16"/>
              </w:rPr>
              <w:t> </w:t>
            </w:r>
            <w:r>
              <w:rPr>
                <w:sz w:val="16"/>
              </w:rPr>
              <w:t>sahiptir.</w:t>
            </w:r>
          </w:p>
          <w:p>
            <w:pPr>
              <w:pStyle w:val="TableParagraph"/>
              <w:spacing w:before="2"/>
              <w:rPr>
                <w:b/>
                <w:sz w:val="17"/>
              </w:rPr>
            </w:pPr>
          </w:p>
          <w:p>
            <w:pPr>
              <w:pStyle w:val="TableParagraph"/>
              <w:tabs>
                <w:tab w:pos="1263" w:val="left" w:leader="none"/>
                <w:tab w:pos="1385" w:val="left" w:leader="none"/>
              </w:tabs>
              <w:spacing w:line="276" w:lineRule="auto"/>
              <w:ind w:left="115" w:right="104"/>
              <w:rPr>
                <w:sz w:val="16"/>
              </w:rPr>
            </w:pPr>
            <w:r>
              <w:rPr>
                <w:b/>
                <w:sz w:val="16"/>
              </w:rPr>
              <w:t>Soru 27. </w:t>
            </w:r>
            <w:r>
              <w:rPr>
                <w:sz w:val="16"/>
              </w:rPr>
              <w:t>Kurumumun afette birlikte çalışacağı kurumlarla</w:t>
              <w:tab/>
            </w:r>
            <w:r>
              <w:rPr>
                <w:spacing w:val="-1"/>
                <w:sz w:val="16"/>
              </w:rPr>
              <w:t>sürekli </w:t>
            </w:r>
            <w:r>
              <w:rPr>
                <w:sz w:val="16"/>
              </w:rPr>
              <w:t>eğitim ve tatbikatlar düzenleyerek kurumların imkân ve kabiliyetlerini</w:t>
              <w:tab/>
              <w:tab/>
              <w:t>iyice tanımıştır.</w:t>
            </w:r>
          </w:p>
        </w:tc>
        <w:tc>
          <w:tcPr>
            <w:tcW w:w="739" w:type="dxa"/>
            <w:tcBorders>
              <w:top w:val="single" w:sz="4" w:space="0" w:color="000000"/>
              <w:bottom w:val="single" w:sz="4" w:space="0" w:color="000000"/>
            </w:tcBorders>
          </w:tcPr>
          <w:p>
            <w:pPr>
              <w:pStyle w:val="TableParagraph"/>
              <w:rPr>
                <w:b/>
                <w:sz w:val="18"/>
              </w:rPr>
            </w:pPr>
          </w:p>
          <w:p>
            <w:pPr>
              <w:pStyle w:val="TableParagraph"/>
              <w:spacing w:before="5"/>
              <w:rPr>
                <w:b/>
                <w:sz w:val="17"/>
              </w:rPr>
            </w:pPr>
          </w:p>
          <w:p>
            <w:pPr>
              <w:pStyle w:val="TableParagraph"/>
              <w:ind w:left="107" w:firstLine="36"/>
              <w:rPr>
                <w:sz w:val="16"/>
              </w:rPr>
            </w:pPr>
            <w:r>
              <w:rPr>
                <w:sz w:val="16"/>
              </w:rPr>
              <w:t>Sayı</w:t>
            </w:r>
          </w:p>
          <w:p>
            <w:pPr>
              <w:pStyle w:val="TableParagraph"/>
              <w:spacing w:before="10"/>
              <w:rPr>
                <w:b/>
                <w:sz w:val="19"/>
              </w:rPr>
            </w:pPr>
          </w:p>
          <w:p>
            <w:pPr>
              <w:pStyle w:val="TableParagraph"/>
              <w:spacing w:line="276" w:lineRule="auto"/>
              <w:ind w:left="227" w:right="194" w:hanging="120"/>
              <w:rPr>
                <w:sz w:val="16"/>
              </w:rPr>
            </w:pPr>
            <w:r>
              <w:rPr>
                <w:sz w:val="16"/>
              </w:rPr>
              <w:t>Yüzde (%)</w:t>
            </w:r>
          </w:p>
        </w:tc>
        <w:tc>
          <w:tcPr>
            <w:tcW w:w="1000" w:type="dxa"/>
            <w:tcBorders>
              <w:top w:val="single" w:sz="4" w:space="0" w:color="000000"/>
              <w:bottom w:val="single" w:sz="4" w:space="0" w:color="000000"/>
            </w:tcBorders>
          </w:tcPr>
          <w:p>
            <w:pPr>
              <w:pStyle w:val="TableParagraph"/>
              <w:rPr>
                <w:b/>
                <w:sz w:val="18"/>
              </w:rPr>
            </w:pPr>
          </w:p>
          <w:p>
            <w:pPr>
              <w:pStyle w:val="TableParagraph"/>
              <w:rPr>
                <w:b/>
                <w:sz w:val="18"/>
              </w:rPr>
            </w:pPr>
          </w:p>
          <w:p>
            <w:pPr>
              <w:pStyle w:val="TableParagraph"/>
              <w:rPr>
                <w:b/>
                <w:sz w:val="18"/>
              </w:rPr>
            </w:pPr>
          </w:p>
          <w:p>
            <w:pPr>
              <w:pStyle w:val="TableParagraph"/>
              <w:spacing w:before="4"/>
              <w:rPr>
                <w:b/>
                <w:sz w:val="17"/>
              </w:rPr>
            </w:pPr>
          </w:p>
          <w:p>
            <w:pPr>
              <w:pStyle w:val="TableParagraph"/>
              <w:ind w:left="213"/>
              <w:rPr>
                <w:sz w:val="16"/>
              </w:rPr>
            </w:pPr>
            <w:r>
              <w:rPr>
                <w:sz w:val="16"/>
              </w:rPr>
              <w:t>12</w:t>
            </w:r>
          </w:p>
          <w:p>
            <w:pPr>
              <w:pStyle w:val="TableParagraph"/>
              <w:spacing w:before="7"/>
              <w:rPr>
                <w:b/>
                <w:sz w:val="19"/>
              </w:rPr>
            </w:pPr>
          </w:p>
          <w:p>
            <w:pPr>
              <w:pStyle w:val="TableParagraph"/>
              <w:spacing w:before="1"/>
              <w:ind w:left="213"/>
              <w:rPr>
                <w:sz w:val="16"/>
              </w:rPr>
            </w:pPr>
            <w:r>
              <w:rPr>
                <w:sz w:val="16"/>
              </w:rPr>
              <w:t>11,4</w:t>
            </w:r>
          </w:p>
        </w:tc>
        <w:tc>
          <w:tcPr>
            <w:tcW w:w="1244" w:type="dxa"/>
            <w:tcBorders>
              <w:top w:val="single" w:sz="4" w:space="0" w:color="000000"/>
              <w:bottom w:val="single" w:sz="4" w:space="0" w:color="000000"/>
            </w:tcBorders>
          </w:tcPr>
          <w:p>
            <w:pPr>
              <w:pStyle w:val="TableParagraph"/>
              <w:rPr>
                <w:b/>
                <w:sz w:val="18"/>
              </w:rPr>
            </w:pPr>
          </w:p>
          <w:p>
            <w:pPr>
              <w:pStyle w:val="TableParagraph"/>
              <w:rPr>
                <w:b/>
                <w:sz w:val="18"/>
              </w:rPr>
            </w:pPr>
          </w:p>
          <w:p>
            <w:pPr>
              <w:pStyle w:val="TableParagraph"/>
              <w:rPr>
                <w:b/>
                <w:sz w:val="18"/>
              </w:rPr>
            </w:pPr>
          </w:p>
          <w:p>
            <w:pPr>
              <w:pStyle w:val="TableParagraph"/>
              <w:spacing w:before="4"/>
              <w:rPr>
                <w:b/>
                <w:sz w:val="17"/>
              </w:rPr>
            </w:pPr>
          </w:p>
          <w:p>
            <w:pPr>
              <w:pStyle w:val="TableParagraph"/>
              <w:ind w:left="369" w:right="438"/>
              <w:jc w:val="center"/>
              <w:rPr>
                <w:sz w:val="16"/>
              </w:rPr>
            </w:pPr>
            <w:r>
              <w:rPr>
                <w:sz w:val="16"/>
              </w:rPr>
              <w:t>33</w:t>
            </w:r>
          </w:p>
          <w:p>
            <w:pPr>
              <w:pStyle w:val="TableParagraph"/>
              <w:spacing w:before="7"/>
              <w:rPr>
                <w:b/>
                <w:sz w:val="19"/>
              </w:rPr>
            </w:pPr>
          </w:p>
          <w:p>
            <w:pPr>
              <w:pStyle w:val="TableParagraph"/>
              <w:spacing w:before="1"/>
              <w:ind w:left="485" w:right="438"/>
              <w:jc w:val="center"/>
              <w:rPr>
                <w:sz w:val="16"/>
              </w:rPr>
            </w:pPr>
            <w:r>
              <w:rPr>
                <w:sz w:val="16"/>
              </w:rPr>
              <w:t>31,4</w:t>
            </w:r>
          </w:p>
        </w:tc>
        <w:tc>
          <w:tcPr>
            <w:tcW w:w="1150" w:type="dxa"/>
            <w:tcBorders>
              <w:top w:val="single" w:sz="4" w:space="0" w:color="000000"/>
              <w:bottom w:val="single" w:sz="4" w:space="0" w:color="000000"/>
            </w:tcBorders>
          </w:tcPr>
          <w:p>
            <w:pPr>
              <w:pStyle w:val="TableParagraph"/>
              <w:rPr>
                <w:b/>
                <w:sz w:val="18"/>
              </w:rPr>
            </w:pPr>
          </w:p>
          <w:p>
            <w:pPr>
              <w:pStyle w:val="TableParagraph"/>
              <w:rPr>
                <w:b/>
                <w:sz w:val="18"/>
              </w:rPr>
            </w:pPr>
          </w:p>
          <w:p>
            <w:pPr>
              <w:pStyle w:val="TableParagraph"/>
              <w:rPr>
                <w:b/>
                <w:sz w:val="18"/>
              </w:rPr>
            </w:pPr>
          </w:p>
          <w:p>
            <w:pPr>
              <w:pStyle w:val="TableParagraph"/>
              <w:spacing w:before="4"/>
              <w:rPr>
                <w:b/>
                <w:sz w:val="17"/>
              </w:rPr>
            </w:pPr>
          </w:p>
          <w:p>
            <w:pPr>
              <w:pStyle w:val="TableParagraph"/>
              <w:ind w:left="321" w:right="393"/>
              <w:jc w:val="center"/>
              <w:rPr>
                <w:sz w:val="16"/>
              </w:rPr>
            </w:pPr>
            <w:r>
              <w:rPr>
                <w:sz w:val="16"/>
              </w:rPr>
              <w:t>24</w:t>
            </w:r>
          </w:p>
          <w:p>
            <w:pPr>
              <w:pStyle w:val="TableParagraph"/>
              <w:spacing w:before="7"/>
              <w:rPr>
                <w:b/>
                <w:sz w:val="19"/>
              </w:rPr>
            </w:pPr>
          </w:p>
          <w:p>
            <w:pPr>
              <w:pStyle w:val="TableParagraph"/>
              <w:spacing w:before="1"/>
              <w:ind w:left="436" w:right="393"/>
              <w:jc w:val="center"/>
              <w:rPr>
                <w:sz w:val="16"/>
              </w:rPr>
            </w:pPr>
            <w:r>
              <w:rPr>
                <w:sz w:val="16"/>
              </w:rPr>
              <w:t>22,9</w:t>
            </w:r>
          </w:p>
        </w:tc>
        <w:tc>
          <w:tcPr>
            <w:tcW w:w="1144" w:type="dxa"/>
            <w:tcBorders>
              <w:top w:val="single" w:sz="4" w:space="0" w:color="000000"/>
              <w:bottom w:val="single" w:sz="4" w:space="0" w:color="000000"/>
            </w:tcBorders>
          </w:tcPr>
          <w:p>
            <w:pPr>
              <w:pStyle w:val="TableParagraph"/>
              <w:rPr>
                <w:b/>
                <w:sz w:val="18"/>
              </w:rPr>
            </w:pPr>
          </w:p>
          <w:p>
            <w:pPr>
              <w:pStyle w:val="TableParagraph"/>
              <w:rPr>
                <w:b/>
                <w:sz w:val="18"/>
              </w:rPr>
            </w:pPr>
          </w:p>
          <w:p>
            <w:pPr>
              <w:pStyle w:val="TableParagraph"/>
              <w:rPr>
                <w:b/>
                <w:sz w:val="18"/>
              </w:rPr>
            </w:pPr>
          </w:p>
          <w:p>
            <w:pPr>
              <w:pStyle w:val="TableParagraph"/>
              <w:spacing w:before="4"/>
              <w:rPr>
                <w:b/>
                <w:sz w:val="17"/>
              </w:rPr>
            </w:pPr>
          </w:p>
          <w:p>
            <w:pPr>
              <w:pStyle w:val="TableParagraph"/>
              <w:ind w:left="274" w:right="432"/>
              <w:jc w:val="center"/>
              <w:rPr>
                <w:sz w:val="16"/>
              </w:rPr>
            </w:pPr>
            <w:r>
              <w:rPr>
                <w:sz w:val="16"/>
              </w:rPr>
              <w:t>28</w:t>
            </w:r>
          </w:p>
          <w:p>
            <w:pPr>
              <w:pStyle w:val="TableParagraph"/>
              <w:spacing w:before="7"/>
              <w:rPr>
                <w:b/>
                <w:sz w:val="19"/>
              </w:rPr>
            </w:pPr>
          </w:p>
          <w:p>
            <w:pPr>
              <w:pStyle w:val="TableParagraph"/>
              <w:spacing w:before="1"/>
              <w:ind w:left="392" w:right="432"/>
              <w:jc w:val="center"/>
              <w:rPr>
                <w:sz w:val="16"/>
              </w:rPr>
            </w:pPr>
            <w:r>
              <w:rPr>
                <w:sz w:val="16"/>
              </w:rPr>
              <w:t>26,7</w:t>
            </w:r>
          </w:p>
        </w:tc>
        <w:tc>
          <w:tcPr>
            <w:tcW w:w="1166" w:type="dxa"/>
            <w:tcBorders>
              <w:top w:val="single" w:sz="4" w:space="0" w:color="000000"/>
              <w:bottom w:val="single" w:sz="4" w:space="0" w:color="000000"/>
            </w:tcBorders>
          </w:tcPr>
          <w:p>
            <w:pPr>
              <w:pStyle w:val="TableParagraph"/>
              <w:rPr>
                <w:b/>
                <w:sz w:val="18"/>
              </w:rPr>
            </w:pPr>
          </w:p>
          <w:p>
            <w:pPr>
              <w:pStyle w:val="TableParagraph"/>
              <w:rPr>
                <w:b/>
                <w:sz w:val="18"/>
              </w:rPr>
            </w:pPr>
          </w:p>
          <w:p>
            <w:pPr>
              <w:pStyle w:val="TableParagraph"/>
              <w:rPr>
                <w:b/>
                <w:sz w:val="18"/>
              </w:rPr>
            </w:pPr>
          </w:p>
          <w:p>
            <w:pPr>
              <w:pStyle w:val="TableParagraph"/>
              <w:spacing w:before="4"/>
              <w:rPr>
                <w:b/>
                <w:sz w:val="17"/>
              </w:rPr>
            </w:pPr>
          </w:p>
          <w:p>
            <w:pPr>
              <w:pStyle w:val="TableParagraph"/>
              <w:ind w:right="179"/>
              <w:jc w:val="center"/>
              <w:rPr>
                <w:sz w:val="16"/>
              </w:rPr>
            </w:pPr>
            <w:r>
              <w:rPr>
                <w:w w:val="100"/>
                <w:sz w:val="16"/>
              </w:rPr>
              <w:t>8</w:t>
            </w:r>
          </w:p>
          <w:p>
            <w:pPr>
              <w:pStyle w:val="TableParagraph"/>
              <w:spacing w:before="7"/>
              <w:rPr>
                <w:b/>
                <w:sz w:val="19"/>
              </w:rPr>
            </w:pPr>
          </w:p>
          <w:p>
            <w:pPr>
              <w:pStyle w:val="TableParagraph"/>
              <w:spacing w:before="1"/>
              <w:ind w:left="431" w:right="495"/>
              <w:jc w:val="center"/>
              <w:rPr>
                <w:sz w:val="16"/>
              </w:rPr>
            </w:pPr>
            <w:r>
              <w:rPr>
                <w:sz w:val="16"/>
              </w:rPr>
              <w:t>7,6</w:t>
            </w:r>
          </w:p>
        </w:tc>
      </w:tr>
    </w:tbl>
    <w:p>
      <w:pPr>
        <w:pStyle w:val="BodyText"/>
        <w:rPr>
          <w:b/>
          <w:sz w:val="20"/>
        </w:rPr>
      </w:pPr>
    </w:p>
    <w:p>
      <w:pPr>
        <w:pStyle w:val="BodyText"/>
        <w:spacing w:line="360" w:lineRule="auto" w:before="222"/>
        <w:ind w:left="1128" w:right="609" w:firstLine="708"/>
        <w:jc w:val="both"/>
      </w:pPr>
      <w:r>
        <w:rPr/>
        <w:t>‘‘Kurumumda hizmet içi eğitimlere önem verilir (soru 22)’’ sorusuna, kesinlikle katılmıyorum şıkkının işaretlenme oranı %8,6, katılmıyorum şıkkının işaretlenme oranı</w:t>
      </w:r>
    </w:p>
    <w:p>
      <w:pPr>
        <w:pStyle w:val="BodyText"/>
        <w:spacing w:line="360" w:lineRule="auto" w:before="1"/>
        <w:ind w:left="1128" w:right="613"/>
      </w:pPr>
      <w:r>
        <w:rPr/>
        <w:t>%15,2, kararsızım şıkkının işaretlenme oranı %17,1, katılıyorum şıkkının işaretlenme oranı %46,7, kesinlikle katılıyorum şıkkının işaretlenme oranı %12,4’tür.</w:t>
      </w:r>
    </w:p>
    <w:p>
      <w:pPr>
        <w:pStyle w:val="BodyText"/>
        <w:spacing w:line="360" w:lineRule="auto"/>
        <w:ind w:left="1128" w:right="610" w:firstLine="708"/>
        <w:jc w:val="both"/>
      </w:pPr>
      <w:r>
        <w:rPr/>
        <w:t>‘‘Kurumumda afet planı ile ilgili personele eğitim verilmiştir. Plan tatbikatlarda yılda birkaç kez denenerek gerekiyorsa düzeltilir (soru 23)’’ sorusuna, kesinlikle katılmıyorum şıkkının işaretlenme oranı %19,0, katılmıyorum şıkkının işaretlenme</w:t>
      </w:r>
      <w:r>
        <w:rPr>
          <w:spacing w:val="-35"/>
        </w:rPr>
        <w:t> </w:t>
      </w:r>
      <w:r>
        <w:rPr/>
        <w:t>oranı</w:t>
      </w:r>
    </w:p>
    <w:p>
      <w:pPr>
        <w:pStyle w:val="BodyText"/>
        <w:spacing w:line="360" w:lineRule="auto" w:before="2"/>
        <w:ind w:left="1128" w:right="613"/>
      </w:pPr>
      <w:r>
        <w:rPr/>
        <w:t>%27,6, kararsızım şıkkının işaretlenme oranı %24,8, katılıyorum şıkkının işaretlenme oranı %23,8, kesinlikle katılıyorum şıkkının işaretlenme oranı %4,8’dir.</w:t>
      </w:r>
    </w:p>
    <w:p>
      <w:pPr>
        <w:pStyle w:val="BodyText"/>
        <w:spacing w:line="360" w:lineRule="auto"/>
        <w:ind w:left="1128" w:right="608" w:firstLine="708"/>
        <w:jc w:val="both"/>
      </w:pPr>
      <w:r>
        <w:rPr/>
        <w:t>‘‘Kurumumda afet eğitimine önem verilir. Afet bilinci oluşturmak için eğitimler sürekli hale gelmiştir (soru 24)’’ sorusuna, kesinlikle katılmıyorum şıkkının işaretlenme oranı %16,2, katılmıyorum şıkkının işaretlenme oranı %24,8, kararsızım şıkkının işaretlenme oranı %32,4, katılıyorum şıkkının işaretlenme oranı %21,9, kesinlikle katılıyorum şıkkının işaretlenme oranı %4,8’dir.</w:t>
      </w:r>
    </w:p>
    <w:p>
      <w:pPr>
        <w:pStyle w:val="BodyText"/>
        <w:spacing w:line="360" w:lineRule="auto"/>
        <w:ind w:left="1128" w:right="609" w:firstLine="708"/>
        <w:jc w:val="both"/>
      </w:pPr>
      <w:r>
        <w:rPr/>
        <w:t>‘‘Kurumumun üst yönetimi afetle ilgili eğitimleri destekler. Afet yönetimi konusunda eğitimleri yeterlidir (soru 25)’’ sorusuna, kesinlikle katılmıyorum şıkkının işaretlenme oranı %9,5, katılmıyorum şıkkının işaretlenme oranı %30,5, kararsızım şıkkının işaretlenme oranı %36,2, katılıyorum şıkkının işaretlenme oranı %16,2, kesinlikle katılıyorum şıkkının işaretlenme oranı %7,6’dır.</w:t>
      </w:r>
    </w:p>
    <w:p>
      <w:pPr>
        <w:pStyle w:val="BodyText"/>
        <w:spacing w:line="360" w:lineRule="auto"/>
        <w:ind w:left="1128" w:right="608" w:firstLine="708"/>
        <w:jc w:val="both"/>
      </w:pPr>
      <w:r>
        <w:rPr/>
        <w:t>‘‘Kurumumun çalışanları afetlerde müdahale edebilecek bilgi beceri ve kapasiteye sahiptir (soru 26)’’ sorusuna, kesinlikle katılmıyorum şıkkının işaretlenme oranı %7,6, katılmıyorum şıkkının işaretlenme oranı %19,0, kararsızım şıkkının işaretlenme oranı %29,5, katılıyorum şıkkının işaretlenme oranı %37,1, kesinlikle katılıyorum şıkkının işaretlenme oranı %6,7’dir.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firstLine="708"/>
        <w:jc w:val="both"/>
      </w:pPr>
      <w:r>
        <w:rPr/>
        <w:t>‘‘Kurumumun afette birlikte çalışacağı kurumlarla sürekli eğitim ve tatbikatlar düzenleyerek kurumların imkân ve kabiliyetlerini iyice tanımıştır (soru 27)’’ sorusuna, kesinlikle katılmıyorum şıkkının işaretlenme oranı %11,4, katılmıyorum şıkkının işaretlenme oranı %31,4, kararsızım şıkkının işaretlenme oranı %22,9, katılıyorum şıkkının işaretlenme oranı %26,7, kesinlikle katılıyorum şıkkının işaretlenme oranı</w:t>
      </w:r>
    </w:p>
    <w:p>
      <w:pPr>
        <w:pStyle w:val="BodyText"/>
        <w:spacing w:line="275" w:lineRule="exact"/>
        <w:ind w:left="1128"/>
      </w:pPr>
      <w:r>
        <w:rPr/>
        <w:t>%7,6’dır.</w:t>
      </w:r>
    </w:p>
    <w:p>
      <w:pPr>
        <w:pStyle w:val="BodyText"/>
        <w:spacing w:line="360" w:lineRule="auto" w:before="139"/>
        <w:ind w:left="1128" w:right="610" w:firstLine="708"/>
        <w:jc w:val="both"/>
      </w:pPr>
      <w:r>
        <w:rPr/>
        <w:t>Araştırma grubundaki kişilerin KBRN ( Kimyasal, Biyolojik, Nükleer, Radyoaktif) olaylarla ve tehlikeli maddelere müdahale ile ilgili anket sorularının incelenmesi Tablo 4. 8’de gösterilmiştir.</w:t>
      </w:r>
    </w:p>
    <w:p>
      <w:pPr>
        <w:pStyle w:val="BodyText"/>
        <w:spacing w:before="3"/>
        <w:rPr>
          <w:sz w:val="26"/>
        </w:rPr>
      </w:pPr>
    </w:p>
    <w:p>
      <w:pPr>
        <w:pStyle w:val="Heading1"/>
        <w:spacing w:line="256" w:lineRule="auto"/>
        <w:ind w:left="2239" w:right="1082" w:hanging="632"/>
      </w:pPr>
      <w:r>
        <w:rPr/>
        <w:t>Tablo 4. 8. Araştırma Grubundaki Kişilerin KBRN Olaylarla ve Tehlikeli Maddelere Müdahale İle İlgili Anket Sorularının İncelenmesi</w:t>
      </w:r>
    </w:p>
    <w:p>
      <w:pPr>
        <w:pStyle w:val="BodyText"/>
        <w:spacing w:before="10"/>
        <w:rPr>
          <w:b/>
          <w:sz w:val="14"/>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97"/>
        <w:gridCol w:w="796"/>
        <w:gridCol w:w="1298"/>
        <w:gridCol w:w="1394"/>
        <w:gridCol w:w="1193"/>
        <w:gridCol w:w="1241"/>
        <w:gridCol w:w="1330"/>
      </w:tblGrid>
      <w:tr>
        <w:trPr>
          <w:trHeight w:val="414" w:hRule="atLeast"/>
        </w:trPr>
        <w:tc>
          <w:tcPr>
            <w:tcW w:w="1697" w:type="dxa"/>
            <w:tcBorders>
              <w:top w:val="single" w:sz="4" w:space="0" w:color="000000"/>
              <w:bottom w:val="single" w:sz="4" w:space="0" w:color="000000"/>
            </w:tcBorders>
          </w:tcPr>
          <w:p>
            <w:pPr>
              <w:pStyle w:val="TableParagraph"/>
              <w:spacing w:line="207" w:lineRule="exact"/>
              <w:ind w:left="118"/>
              <w:rPr>
                <w:b/>
                <w:sz w:val="18"/>
              </w:rPr>
            </w:pPr>
            <w:r>
              <w:rPr>
                <w:b/>
                <w:sz w:val="18"/>
              </w:rPr>
              <w:t>Soru</w:t>
            </w:r>
          </w:p>
        </w:tc>
        <w:tc>
          <w:tcPr>
            <w:tcW w:w="796" w:type="dxa"/>
            <w:tcBorders>
              <w:top w:val="single" w:sz="4" w:space="0" w:color="000000"/>
              <w:bottom w:val="single" w:sz="4" w:space="0" w:color="000000"/>
            </w:tcBorders>
          </w:tcPr>
          <w:p>
            <w:pPr>
              <w:pStyle w:val="TableParagraph"/>
              <w:rPr>
                <w:sz w:val="20"/>
              </w:rPr>
            </w:pPr>
          </w:p>
        </w:tc>
        <w:tc>
          <w:tcPr>
            <w:tcW w:w="1298" w:type="dxa"/>
            <w:tcBorders>
              <w:top w:val="single" w:sz="4" w:space="0" w:color="000000"/>
              <w:bottom w:val="single" w:sz="4" w:space="0" w:color="000000"/>
            </w:tcBorders>
          </w:tcPr>
          <w:p>
            <w:pPr>
              <w:pStyle w:val="TableParagraph"/>
              <w:spacing w:line="206" w:lineRule="exact" w:before="3"/>
              <w:ind w:left="38" w:right="140"/>
              <w:rPr>
                <w:b/>
                <w:sz w:val="18"/>
              </w:rPr>
            </w:pPr>
            <w:r>
              <w:rPr>
                <w:b/>
                <w:sz w:val="18"/>
              </w:rPr>
              <w:t>Kesinlikle Katılmıyorum</w:t>
            </w:r>
          </w:p>
        </w:tc>
        <w:tc>
          <w:tcPr>
            <w:tcW w:w="1394" w:type="dxa"/>
            <w:tcBorders>
              <w:top w:val="single" w:sz="4" w:space="0" w:color="000000"/>
              <w:bottom w:val="single" w:sz="4" w:space="0" w:color="000000"/>
            </w:tcBorders>
          </w:tcPr>
          <w:p>
            <w:pPr>
              <w:pStyle w:val="TableParagraph"/>
              <w:spacing w:line="207" w:lineRule="exact"/>
              <w:ind w:left="156"/>
              <w:rPr>
                <w:b/>
                <w:sz w:val="18"/>
              </w:rPr>
            </w:pPr>
            <w:r>
              <w:rPr>
                <w:b/>
                <w:sz w:val="18"/>
              </w:rPr>
              <w:t>Katılmıyorum</w:t>
            </w:r>
          </w:p>
        </w:tc>
        <w:tc>
          <w:tcPr>
            <w:tcW w:w="1193" w:type="dxa"/>
            <w:tcBorders>
              <w:top w:val="single" w:sz="4" w:space="0" w:color="000000"/>
              <w:bottom w:val="single" w:sz="4" w:space="0" w:color="000000"/>
            </w:tcBorders>
          </w:tcPr>
          <w:p>
            <w:pPr>
              <w:pStyle w:val="TableParagraph"/>
              <w:spacing w:line="207" w:lineRule="exact"/>
              <w:ind w:left="181"/>
              <w:rPr>
                <w:b/>
                <w:sz w:val="18"/>
              </w:rPr>
            </w:pPr>
            <w:r>
              <w:rPr>
                <w:b/>
                <w:sz w:val="18"/>
              </w:rPr>
              <w:t>Kararsızım</w:t>
            </w:r>
          </w:p>
        </w:tc>
        <w:tc>
          <w:tcPr>
            <w:tcW w:w="1241" w:type="dxa"/>
            <w:tcBorders>
              <w:top w:val="single" w:sz="4" w:space="0" w:color="000000"/>
              <w:bottom w:val="single" w:sz="4" w:space="0" w:color="000000"/>
            </w:tcBorders>
          </w:tcPr>
          <w:p>
            <w:pPr>
              <w:pStyle w:val="TableParagraph"/>
              <w:spacing w:line="207" w:lineRule="exact"/>
              <w:ind w:left="123"/>
              <w:rPr>
                <w:b/>
                <w:sz w:val="18"/>
              </w:rPr>
            </w:pPr>
            <w:r>
              <w:rPr>
                <w:b/>
                <w:sz w:val="18"/>
              </w:rPr>
              <w:t>Katılıyorum</w:t>
            </w:r>
          </w:p>
        </w:tc>
        <w:tc>
          <w:tcPr>
            <w:tcW w:w="1330" w:type="dxa"/>
            <w:tcBorders>
              <w:top w:val="single" w:sz="4" w:space="0" w:color="000000"/>
              <w:bottom w:val="single" w:sz="4" w:space="0" w:color="000000"/>
            </w:tcBorders>
          </w:tcPr>
          <w:p>
            <w:pPr>
              <w:pStyle w:val="TableParagraph"/>
              <w:spacing w:line="206" w:lineRule="exact" w:before="3"/>
              <w:ind w:left="157" w:right="203"/>
              <w:rPr>
                <w:b/>
                <w:sz w:val="18"/>
              </w:rPr>
            </w:pPr>
            <w:r>
              <w:rPr>
                <w:b/>
                <w:sz w:val="18"/>
              </w:rPr>
              <w:t>Kesinlikle Katılıyorum</w:t>
            </w:r>
          </w:p>
        </w:tc>
      </w:tr>
      <w:tr>
        <w:trPr>
          <w:trHeight w:val="218" w:hRule="atLeast"/>
        </w:trPr>
        <w:tc>
          <w:tcPr>
            <w:tcW w:w="1697" w:type="dxa"/>
            <w:tcBorders>
              <w:top w:val="single" w:sz="4" w:space="0" w:color="000000"/>
            </w:tcBorders>
          </w:tcPr>
          <w:p>
            <w:pPr>
              <w:pStyle w:val="TableParagraph"/>
              <w:spacing w:line="198" w:lineRule="exact"/>
              <w:ind w:left="118"/>
              <w:rPr>
                <w:b/>
                <w:sz w:val="18"/>
              </w:rPr>
            </w:pPr>
            <w:r>
              <w:rPr>
                <w:b/>
                <w:sz w:val="18"/>
              </w:rPr>
              <w:t>Soru 28.</w:t>
            </w:r>
          </w:p>
        </w:tc>
        <w:tc>
          <w:tcPr>
            <w:tcW w:w="796" w:type="dxa"/>
            <w:vMerge w:val="restart"/>
            <w:tcBorders>
              <w:top w:val="single" w:sz="4" w:space="0" w:color="000000"/>
              <w:bottom w:val="single" w:sz="4" w:space="0" w:color="000000"/>
            </w:tcBorders>
          </w:tcPr>
          <w:p>
            <w:pPr>
              <w:pStyle w:val="TableParagraph"/>
              <w:spacing w:line="202" w:lineRule="exact"/>
              <w:ind w:left="148"/>
              <w:rPr>
                <w:sz w:val="18"/>
              </w:rPr>
            </w:pPr>
            <w:r>
              <w:rPr>
                <w:sz w:val="18"/>
              </w:rPr>
              <w:t>Sayı</w:t>
            </w:r>
          </w:p>
          <w:p>
            <w:pPr>
              <w:pStyle w:val="TableParagraph"/>
              <w:spacing w:before="11"/>
              <w:rPr>
                <w:b/>
                <w:sz w:val="19"/>
              </w:rPr>
            </w:pPr>
          </w:p>
          <w:p>
            <w:pPr>
              <w:pStyle w:val="TableParagraph"/>
              <w:spacing w:line="278" w:lineRule="auto"/>
              <w:ind w:left="198" w:right="20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53"/>
              <w:ind w:left="107"/>
              <w:rPr>
                <w:sz w:val="18"/>
              </w:rPr>
            </w:pPr>
            <w:r>
              <w:rPr>
                <w:sz w:val="18"/>
              </w:rPr>
              <w:t>Sayı</w:t>
            </w:r>
          </w:p>
          <w:p>
            <w:pPr>
              <w:pStyle w:val="TableParagraph"/>
              <w:spacing w:before="2"/>
              <w:rPr>
                <w:b/>
                <w:sz w:val="20"/>
              </w:rPr>
            </w:pPr>
          </w:p>
          <w:p>
            <w:pPr>
              <w:pStyle w:val="TableParagraph"/>
              <w:spacing w:line="276" w:lineRule="auto"/>
              <w:ind w:left="198" w:right="20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55"/>
              <w:ind w:left="107"/>
              <w:rPr>
                <w:sz w:val="18"/>
              </w:rPr>
            </w:pPr>
            <w:r>
              <w:rPr>
                <w:sz w:val="18"/>
              </w:rPr>
              <w:t>Sayı</w:t>
            </w:r>
          </w:p>
          <w:p>
            <w:pPr>
              <w:pStyle w:val="TableParagraph"/>
              <w:spacing w:before="2"/>
              <w:rPr>
                <w:b/>
                <w:sz w:val="20"/>
              </w:rPr>
            </w:pPr>
          </w:p>
          <w:p>
            <w:pPr>
              <w:pStyle w:val="TableParagraph"/>
              <w:spacing w:line="276" w:lineRule="auto"/>
              <w:ind w:left="198" w:right="20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57"/>
              <w:ind w:left="107"/>
              <w:rPr>
                <w:sz w:val="18"/>
              </w:rPr>
            </w:pPr>
            <w:r>
              <w:rPr>
                <w:sz w:val="18"/>
              </w:rPr>
              <w:t>Sayı</w:t>
            </w:r>
          </w:p>
          <w:p>
            <w:pPr>
              <w:pStyle w:val="TableParagraph"/>
              <w:rPr>
                <w:b/>
                <w:sz w:val="20"/>
              </w:rPr>
            </w:pPr>
          </w:p>
          <w:p>
            <w:pPr>
              <w:pStyle w:val="TableParagraph"/>
              <w:spacing w:line="276" w:lineRule="auto"/>
              <w:ind w:left="198" w:right="200" w:hanging="92"/>
              <w:rPr>
                <w:sz w:val="18"/>
              </w:rPr>
            </w:pPr>
            <w:r>
              <w:rPr>
                <w:sz w:val="18"/>
              </w:rPr>
              <w:t>Yüzde (%)</w:t>
            </w:r>
          </w:p>
        </w:tc>
        <w:tc>
          <w:tcPr>
            <w:tcW w:w="1298" w:type="dxa"/>
            <w:tcBorders>
              <w:top w:val="single" w:sz="4" w:space="0" w:color="000000"/>
            </w:tcBorders>
          </w:tcPr>
          <w:p>
            <w:pPr>
              <w:pStyle w:val="TableParagraph"/>
              <w:spacing w:line="198" w:lineRule="exact"/>
              <w:ind w:left="218"/>
              <w:rPr>
                <w:sz w:val="18"/>
              </w:rPr>
            </w:pPr>
            <w:r>
              <w:rPr>
                <w:sz w:val="18"/>
              </w:rPr>
              <w:t>43</w:t>
            </w:r>
          </w:p>
        </w:tc>
        <w:tc>
          <w:tcPr>
            <w:tcW w:w="1394" w:type="dxa"/>
            <w:tcBorders>
              <w:top w:val="single" w:sz="4" w:space="0" w:color="000000"/>
            </w:tcBorders>
          </w:tcPr>
          <w:p>
            <w:pPr>
              <w:pStyle w:val="TableParagraph"/>
              <w:spacing w:line="198" w:lineRule="exact"/>
              <w:ind w:left="336"/>
              <w:rPr>
                <w:sz w:val="18"/>
              </w:rPr>
            </w:pPr>
            <w:r>
              <w:rPr>
                <w:sz w:val="18"/>
              </w:rPr>
              <w:t>30</w:t>
            </w:r>
          </w:p>
        </w:tc>
        <w:tc>
          <w:tcPr>
            <w:tcW w:w="1193" w:type="dxa"/>
            <w:tcBorders>
              <w:top w:val="single" w:sz="4" w:space="0" w:color="000000"/>
            </w:tcBorders>
          </w:tcPr>
          <w:p>
            <w:pPr>
              <w:pStyle w:val="TableParagraph"/>
              <w:spacing w:line="198" w:lineRule="exact"/>
              <w:ind w:left="135"/>
              <w:rPr>
                <w:sz w:val="18"/>
              </w:rPr>
            </w:pPr>
            <w:r>
              <w:rPr>
                <w:sz w:val="18"/>
              </w:rPr>
              <w:t>23</w:t>
            </w:r>
          </w:p>
        </w:tc>
        <w:tc>
          <w:tcPr>
            <w:tcW w:w="1241" w:type="dxa"/>
            <w:tcBorders>
              <w:top w:val="single" w:sz="4" w:space="0" w:color="000000"/>
            </w:tcBorders>
          </w:tcPr>
          <w:p>
            <w:pPr>
              <w:pStyle w:val="TableParagraph"/>
              <w:spacing w:line="198" w:lineRule="exact"/>
              <w:ind w:left="392"/>
              <w:rPr>
                <w:sz w:val="18"/>
              </w:rPr>
            </w:pPr>
            <w:r>
              <w:rPr>
                <w:sz w:val="18"/>
              </w:rPr>
              <w:t>6</w:t>
            </w:r>
          </w:p>
        </w:tc>
        <w:tc>
          <w:tcPr>
            <w:tcW w:w="1330" w:type="dxa"/>
            <w:tcBorders>
              <w:top w:val="single" w:sz="4" w:space="0" w:color="000000"/>
            </w:tcBorders>
          </w:tcPr>
          <w:p>
            <w:pPr>
              <w:pStyle w:val="TableParagraph"/>
              <w:spacing w:line="198" w:lineRule="exact"/>
              <w:ind w:left="282"/>
              <w:rPr>
                <w:sz w:val="18"/>
              </w:rPr>
            </w:pPr>
            <w:r>
              <w:rPr>
                <w:sz w:val="18"/>
              </w:rPr>
              <w:t>3</w:t>
            </w:r>
          </w:p>
        </w:tc>
      </w:tr>
      <w:tr>
        <w:trPr>
          <w:trHeight w:val="206" w:hRule="atLeast"/>
        </w:trPr>
        <w:tc>
          <w:tcPr>
            <w:tcW w:w="1697" w:type="dxa"/>
          </w:tcPr>
          <w:p>
            <w:pPr>
              <w:pStyle w:val="TableParagraph"/>
              <w:spacing w:line="182" w:lineRule="exact" w:before="4"/>
              <w:ind w:left="118"/>
              <w:rPr>
                <w:sz w:val="18"/>
              </w:rPr>
            </w:pPr>
            <w:r>
              <w:rPr>
                <w:sz w:val="18"/>
              </w:rPr>
              <w:t>Kurumumuzda ismi</w:t>
            </w:r>
          </w:p>
        </w:tc>
        <w:tc>
          <w:tcPr>
            <w:tcW w:w="796" w:type="dxa"/>
            <w:vMerge/>
            <w:tcBorders>
              <w:top w:val="nil"/>
              <w:bottom w:val="single" w:sz="4" w:space="0" w:color="000000"/>
            </w:tcBorders>
          </w:tcPr>
          <w:p>
            <w:pPr>
              <w:rPr>
                <w:sz w:val="2"/>
                <w:szCs w:val="2"/>
              </w:rPr>
            </w:pPr>
          </w:p>
        </w:tc>
        <w:tc>
          <w:tcPr>
            <w:tcW w:w="1298" w:type="dxa"/>
          </w:tcPr>
          <w:p>
            <w:pPr>
              <w:pStyle w:val="TableParagraph"/>
              <w:rPr>
                <w:sz w:val="14"/>
              </w:rPr>
            </w:pPr>
          </w:p>
        </w:tc>
        <w:tc>
          <w:tcPr>
            <w:tcW w:w="1394" w:type="dxa"/>
          </w:tcPr>
          <w:p>
            <w:pPr>
              <w:pStyle w:val="TableParagraph"/>
              <w:rPr>
                <w:sz w:val="14"/>
              </w:rPr>
            </w:pPr>
          </w:p>
        </w:tc>
        <w:tc>
          <w:tcPr>
            <w:tcW w:w="1193" w:type="dxa"/>
          </w:tcPr>
          <w:p>
            <w:pPr>
              <w:pStyle w:val="TableParagraph"/>
              <w:rPr>
                <w:sz w:val="14"/>
              </w:rPr>
            </w:pPr>
          </w:p>
        </w:tc>
        <w:tc>
          <w:tcPr>
            <w:tcW w:w="1241" w:type="dxa"/>
          </w:tcPr>
          <w:p>
            <w:pPr>
              <w:pStyle w:val="TableParagraph"/>
              <w:rPr>
                <w:sz w:val="14"/>
              </w:rPr>
            </w:pPr>
          </w:p>
        </w:tc>
        <w:tc>
          <w:tcPr>
            <w:tcW w:w="1330" w:type="dxa"/>
          </w:tcPr>
          <w:p>
            <w:pPr>
              <w:pStyle w:val="TableParagraph"/>
              <w:rPr>
                <w:sz w:val="14"/>
              </w:rPr>
            </w:pPr>
          </w:p>
        </w:tc>
      </w:tr>
      <w:tr>
        <w:trPr>
          <w:trHeight w:val="246" w:hRule="atLeast"/>
        </w:trPr>
        <w:tc>
          <w:tcPr>
            <w:tcW w:w="1697" w:type="dxa"/>
          </w:tcPr>
          <w:p>
            <w:pPr>
              <w:pStyle w:val="TableParagraph"/>
              <w:tabs>
                <w:tab w:pos="524" w:val="left" w:leader="none"/>
                <w:tab w:pos="1265" w:val="left" w:leader="none"/>
              </w:tabs>
              <w:spacing w:line="201" w:lineRule="exact" w:before="25"/>
              <w:ind w:left="118"/>
              <w:rPr>
                <w:sz w:val="18"/>
              </w:rPr>
            </w:pPr>
            <w:r>
              <w:rPr>
                <w:sz w:val="18"/>
              </w:rPr>
              <w:t>ve</w:t>
              <w:tab/>
              <w:t>menşei</w:t>
              <w:tab/>
              <w:t>belli</w:t>
            </w:r>
          </w:p>
        </w:tc>
        <w:tc>
          <w:tcPr>
            <w:tcW w:w="796" w:type="dxa"/>
            <w:vMerge/>
            <w:tcBorders>
              <w:top w:val="nil"/>
              <w:bottom w:val="single" w:sz="4" w:space="0" w:color="000000"/>
            </w:tcBorders>
          </w:tcPr>
          <w:p>
            <w:pPr>
              <w:rPr>
                <w:sz w:val="2"/>
                <w:szCs w:val="2"/>
              </w:rPr>
            </w:pPr>
          </w:p>
        </w:tc>
        <w:tc>
          <w:tcPr>
            <w:tcW w:w="1298" w:type="dxa"/>
          </w:tcPr>
          <w:p>
            <w:pPr>
              <w:pStyle w:val="TableParagraph"/>
              <w:spacing w:line="194" w:lineRule="exact"/>
              <w:ind w:left="216"/>
              <w:rPr>
                <w:sz w:val="18"/>
              </w:rPr>
            </w:pPr>
            <w:r>
              <w:rPr>
                <w:sz w:val="18"/>
              </w:rPr>
              <w:t>41,0</w:t>
            </w:r>
          </w:p>
        </w:tc>
        <w:tc>
          <w:tcPr>
            <w:tcW w:w="1394" w:type="dxa"/>
          </w:tcPr>
          <w:p>
            <w:pPr>
              <w:pStyle w:val="TableParagraph"/>
              <w:spacing w:line="194" w:lineRule="exact"/>
              <w:ind w:left="334"/>
              <w:rPr>
                <w:sz w:val="18"/>
              </w:rPr>
            </w:pPr>
            <w:r>
              <w:rPr>
                <w:sz w:val="18"/>
              </w:rPr>
              <w:t>28,6</w:t>
            </w:r>
          </w:p>
        </w:tc>
        <w:tc>
          <w:tcPr>
            <w:tcW w:w="1193" w:type="dxa"/>
          </w:tcPr>
          <w:p>
            <w:pPr>
              <w:pStyle w:val="TableParagraph"/>
              <w:spacing w:line="194" w:lineRule="exact"/>
              <w:ind w:left="133"/>
              <w:rPr>
                <w:sz w:val="18"/>
              </w:rPr>
            </w:pPr>
            <w:r>
              <w:rPr>
                <w:sz w:val="18"/>
              </w:rPr>
              <w:t>21,9</w:t>
            </w:r>
          </w:p>
        </w:tc>
        <w:tc>
          <w:tcPr>
            <w:tcW w:w="1241" w:type="dxa"/>
          </w:tcPr>
          <w:p>
            <w:pPr>
              <w:pStyle w:val="TableParagraph"/>
              <w:spacing w:line="194" w:lineRule="exact"/>
              <w:ind w:left="392"/>
              <w:rPr>
                <w:sz w:val="18"/>
              </w:rPr>
            </w:pPr>
            <w:r>
              <w:rPr>
                <w:sz w:val="18"/>
              </w:rPr>
              <w:t>5,7</w:t>
            </w:r>
          </w:p>
        </w:tc>
        <w:tc>
          <w:tcPr>
            <w:tcW w:w="1330" w:type="dxa"/>
          </w:tcPr>
          <w:p>
            <w:pPr>
              <w:pStyle w:val="TableParagraph"/>
              <w:spacing w:line="194" w:lineRule="exact"/>
              <w:ind w:left="282"/>
              <w:rPr>
                <w:sz w:val="18"/>
              </w:rPr>
            </w:pPr>
            <w:r>
              <w:rPr>
                <w:sz w:val="18"/>
              </w:rPr>
              <w:t>2,9</w:t>
            </w:r>
          </w:p>
        </w:tc>
      </w:tr>
      <w:tr>
        <w:trPr>
          <w:trHeight w:val="228" w:hRule="atLeast"/>
        </w:trPr>
        <w:tc>
          <w:tcPr>
            <w:tcW w:w="1697" w:type="dxa"/>
          </w:tcPr>
          <w:p>
            <w:pPr>
              <w:pStyle w:val="TableParagraph"/>
              <w:tabs>
                <w:tab w:pos="957" w:val="left" w:leader="none"/>
              </w:tabs>
              <w:spacing w:line="202" w:lineRule="exact" w:before="6"/>
              <w:ind w:left="118"/>
              <w:rPr>
                <w:sz w:val="18"/>
              </w:rPr>
            </w:pPr>
            <w:r>
              <w:rPr>
                <w:sz w:val="18"/>
              </w:rPr>
              <w:t>olmayan</w:t>
              <w:tab/>
              <w:t>herhangi</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8" w:hRule="atLeast"/>
        </w:trPr>
        <w:tc>
          <w:tcPr>
            <w:tcW w:w="1697" w:type="dxa"/>
          </w:tcPr>
          <w:p>
            <w:pPr>
              <w:pStyle w:val="TableParagraph"/>
              <w:spacing w:line="201" w:lineRule="exact" w:before="7"/>
              <w:ind w:left="118"/>
              <w:rPr>
                <w:sz w:val="18"/>
              </w:rPr>
            </w:pPr>
            <w:r>
              <w:rPr>
                <w:sz w:val="18"/>
              </w:rPr>
              <w:t>bir tehlikeli madde</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327" w:hRule="atLeast"/>
        </w:trPr>
        <w:tc>
          <w:tcPr>
            <w:tcW w:w="1697" w:type="dxa"/>
          </w:tcPr>
          <w:p>
            <w:pPr>
              <w:pStyle w:val="TableParagraph"/>
              <w:spacing w:before="6"/>
              <w:ind w:left="118"/>
              <w:rPr>
                <w:sz w:val="18"/>
              </w:rPr>
            </w:pPr>
            <w:r>
              <w:rPr>
                <w:sz w:val="18"/>
              </w:rPr>
              <w:t>bulunmaktadır.</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327" w:hRule="atLeast"/>
        </w:trPr>
        <w:tc>
          <w:tcPr>
            <w:tcW w:w="1697" w:type="dxa"/>
          </w:tcPr>
          <w:p>
            <w:pPr>
              <w:pStyle w:val="TableParagraph"/>
              <w:spacing w:line="201" w:lineRule="exact" w:before="106"/>
              <w:ind w:left="118"/>
              <w:rPr>
                <w:sz w:val="18"/>
              </w:rPr>
            </w:pPr>
            <w:r>
              <w:rPr>
                <w:b/>
                <w:sz w:val="18"/>
              </w:rPr>
              <w:t>Soru 29. </w:t>
            </w:r>
            <w:r>
              <w:rPr>
                <w:sz w:val="18"/>
              </w:rPr>
              <w:t>Herhangi</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467" w:hRule="atLeast"/>
        </w:trPr>
        <w:tc>
          <w:tcPr>
            <w:tcW w:w="1697" w:type="dxa"/>
          </w:tcPr>
          <w:p>
            <w:pPr>
              <w:pStyle w:val="TableParagraph"/>
              <w:tabs>
                <w:tab w:pos="524" w:val="left" w:leader="none"/>
                <w:tab w:pos="1226" w:val="left" w:leader="none"/>
              </w:tabs>
              <w:spacing w:before="6"/>
              <w:ind w:left="118"/>
              <w:rPr>
                <w:sz w:val="18"/>
              </w:rPr>
            </w:pPr>
            <w:r>
              <w:rPr>
                <w:sz w:val="18"/>
              </w:rPr>
              <w:t>bir</w:t>
              <w:tab/>
              <w:t>KBRN</w:t>
              <w:tab/>
              <w:t>olayı</w:t>
            </w:r>
          </w:p>
          <w:p>
            <w:pPr>
              <w:pStyle w:val="TableParagraph"/>
              <w:tabs>
                <w:tab w:pos="1025" w:val="left" w:leader="none"/>
              </w:tabs>
              <w:spacing w:line="201" w:lineRule="exact" w:before="33"/>
              <w:ind w:left="118"/>
              <w:rPr>
                <w:sz w:val="18"/>
              </w:rPr>
            </w:pPr>
            <w:r>
              <w:rPr>
                <w:sz w:val="18"/>
              </w:rPr>
              <w:t>meydana</w:t>
              <w:tab/>
              <w:t>gelmesi</w:t>
            </w:r>
          </w:p>
        </w:tc>
        <w:tc>
          <w:tcPr>
            <w:tcW w:w="796" w:type="dxa"/>
            <w:vMerge/>
            <w:tcBorders>
              <w:top w:val="nil"/>
              <w:bottom w:val="single" w:sz="4" w:space="0" w:color="000000"/>
            </w:tcBorders>
          </w:tcPr>
          <w:p>
            <w:pPr>
              <w:rPr>
                <w:sz w:val="2"/>
                <w:szCs w:val="2"/>
              </w:rPr>
            </w:pPr>
          </w:p>
        </w:tc>
        <w:tc>
          <w:tcPr>
            <w:tcW w:w="1298" w:type="dxa"/>
          </w:tcPr>
          <w:p>
            <w:pPr>
              <w:pStyle w:val="TableParagraph"/>
              <w:spacing w:before="146"/>
              <w:ind w:left="218"/>
              <w:rPr>
                <w:sz w:val="18"/>
              </w:rPr>
            </w:pPr>
            <w:r>
              <w:rPr>
                <w:sz w:val="18"/>
              </w:rPr>
              <w:t>11</w:t>
            </w:r>
          </w:p>
        </w:tc>
        <w:tc>
          <w:tcPr>
            <w:tcW w:w="1394" w:type="dxa"/>
          </w:tcPr>
          <w:p>
            <w:pPr>
              <w:pStyle w:val="TableParagraph"/>
              <w:spacing w:before="146"/>
              <w:ind w:left="336"/>
              <w:rPr>
                <w:sz w:val="18"/>
              </w:rPr>
            </w:pPr>
            <w:r>
              <w:rPr>
                <w:sz w:val="18"/>
              </w:rPr>
              <w:t>21</w:t>
            </w:r>
          </w:p>
        </w:tc>
        <w:tc>
          <w:tcPr>
            <w:tcW w:w="1193" w:type="dxa"/>
          </w:tcPr>
          <w:p>
            <w:pPr>
              <w:pStyle w:val="TableParagraph"/>
              <w:spacing w:before="146"/>
              <w:ind w:left="135"/>
              <w:rPr>
                <w:sz w:val="18"/>
              </w:rPr>
            </w:pPr>
            <w:r>
              <w:rPr>
                <w:sz w:val="18"/>
              </w:rPr>
              <w:t>30</w:t>
            </w:r>
          </w:p>
        </w:tc>
        <w:tc>
          <w:tcPr>
            <w:tcW w:w="1241" w:type="dxa"/>
          </w:tcPr>
          <w:p>
            <w:pPr>
              <w:pStyle w:val="TableParagraph"/>
              <w:spacing w:before="146"/>
              <w:ind w:left="304"/>
              <w:rPr>
                <w:sz w:val="18"/>
              </w:rPr>
            </w:pPr>
            <w:r>
              <w:rPr>
                <w:sz w:val="18"/>
              </w:rPr>
              <w:t>32</w:t>
            </w:r>
          </w:p>
        </w:tc>
        <w:tc>
          <w:tcPr>
            <w:tcW w:w="1330" w:type="dxa"/>
          </w:tcPr>
          <w:p>
            <w:pPr>
              <w:pStyle w:val="TableParagraph"/>
              <w:spacing w:before="146"/>
              <w:ind w:left="193"/>
              <w:rPr>
                <w:sz w:val="18"/>
              </w:rPr>
            </w:pPr>
            <w:r>
              <w:rPr>
                <w:sz w:val="18"/>
              </w:rPr>
              <w:t>11</w:t>
            </w:r>
          </w:p>
        </w:tc>
      </w:tr>
      <w:tr>
        <w:trPr>
          <w:trHeight w:val="465" w:hRule="atLeast"/>
        </w:trPr>
        <w:tc>
          <w:tcPr>
            <w:tcW w:w="1697" w:type="dxa"/>
          </w:tcPr>
          <w:p>
            <w:pPr>
              <w:pStyle w:val="TableParagraph"/>
              <w:spacing w:before="6"/>
              <w:ind w:left="118"/>
              <w:rPr>
                <w:sz w:val="18"/>
              </w:rPr>
            </w:pPr>
            <w:r>
              <w:rPr>
                <w:sz w:val="18"/>
              </w:rPr>
              <w:t>durumunda,</w:t>
            </w:r>
          </w:p>
          <w:p>
            <w:pPr>
              <w:pStyle w:val="TableParagraph"/>
              <w:spacing w:line="201" w:lineRule="exact" w:before="31"/>
              <w:ind w:left="118"/>
              <w:rPr>
                <w:sz w:val="18"/>
              </w:rPr>
            </w:pPr>
            <w:r>
              <w:rPr>
                <w:sz w:val="18"/>
              </w:rPr>
              <w:t>kurumum</w:t>
            </w:r>
          </w:p>
        </w:tc>
        <w:tc>
          <w:tcPr>
            <w:tcW w:w="796" w:type="dxa"/>
            <w:vMerge/>
            <w:tcBorders>
              <w:top w:val="nil"/>
              <w:bottom w:val="single" w:sz="4" w:space="0" w:color="000000"/>
            </w:tcBorders>
          </w:tcPr>
          <w:p>
            <w:pPr>
              <w:rPr>
                <w:sz w:val="2"/>
                <w:szCs w:val="2"/>
              </w:rPr>
            </w:pPr>
          </w:p>
        </w:tc>
        <w:tc>
          <w:tcPr>
            <w:tcW w:w="1298" w:type="dxa"/>
          </w:tcPr>
          <w:p>
            <w:pPr>
              <w:pStyle w:val="TableParagraph"/>
              <w:spacing w:before="107"/>
              <w:ind w:left="216"/>
              <w:rPr>
                <w:sz w:val="18"/>
              </w:rPr>
            </w:pPr>
            <w:r>
              <w:rPr>
                <w:sz w:val="18"/>
              </w:rPr>
              <w:t>10,5</w:t>
            </w:r>
          </w:p>
        </w:tc>
        <w:tc>
          <w:tcPr>
            <w:tcW w:w="1394" w:type="dxa"/>
          </w:tcPr>
          <w:p>
            <w:pPr>
              <w:pStyle w:val="TableParagraph"/>
              <w:spacing w:before="107"/>
              <w:ind w:left="334"/>
              <w:rPr>
                <w:sz w:val="18"/>
              </w:rPr>
            </w:pPr>
            <w:r>
              <w:rPr>
                <w:sz w:val="18"/>
              </w:rPr>
              <w:t>20,0</w:t>
            </w:r>
          </w:p>
        </w:tc>
        <w:tc>
          <w:tcPr>
            <w:tcW w:w="1193" w:type="dxa"/>
          </w:tcPr>
          <w:p>
            <w:pPr>
              <w:pStyle w:val="TableParagraph"/>
              <w:spacing w:before="107"/>
              <w:ind w:left="133"/>
              <w:rPr>
                <w:sz w:val="18"/>
              </w:rPr>
            </w:pPr>
            <w:r>
              <w:rPr>
                <w:sz w:val="18"/>
              </w:rPr>
              <w:t>28,6</w:t>
            </w:r>
          </w:p>
        </w:tc>
        <w:tc>
          <w:tcPr>
            <w:tcW w:w="1241" w:type="dxa"/>
          </w:tcPr>
          <w:p>
            <w:pPr>
              <w:pStyle w:val="TableParagraph"/>
              <w:spacing w:before="107"/>
              <w:ind w:left="301"/>
              <w:rPr>
                <w:sz w:val="18"/>
              </w:rPr>
            </w:pPr>
            <w:r>
              <w:rPr>
                <w:sz w:val="18"/>
              </w:rPr>
              <w:t>30,5</w:t>
            </w:r>
          </w:p>
        </w:tc>
        <w:tc>
          <w:tcPr>
            <w:tcW w:w="1330" w:type="dxa"/>
          </w:tcPr>
          <w:p>
            <w:pPr>
              <w:pStyle w:val="TableParagraph"/>
              <w:spacing w:before="107"/>
              <w:ind w:left="191"/>
              <w:rPr>
                <w:sz w:val="18"/>
              </w:rPr>
            </w:pPr>
            <w:r>
              <w:rPr>
                <w:sz w:val="18"/>
              </w:rPr>
              <w:t>10,5</w:t>
            </w:r>
          </w:p>
        </w:tc>
      </w:tr>
      <w:tr>
        <w:trPr>
          <w:trHeight w:val="227" w:hRule="atLeast"/>
        </w:trPr>
        <w:tc>
          <w:tcPr>
            <w:tcW w:w="1697" w:type="dxa"/>
          </w:tcPr>
          <w:p>
            <w:pPr>
              <w:pStyle w:val="TableParagraph"/>
              <w:tabs>
                <w:tab w:pos="1087" w:val="left" w:leader="none"/>
              </w:tabs>
              <w:spacing w:line="201" w:lineRule="exact" w:before="6"/>
              <w:ind w:left="118"/>
              <w:rPr>
                <w:sz w:val="18"/>
              </w:rPr>
            </w:pPr>
            <w:r>
              <w:rPr>
                <w:sz w:val="18"/>
              </w:rPr>
              <w:t>çalışanları</w:t>
              <w:tab/>
              <w:t>gerekli</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8" w:hRule="atLeast"/>
        </w:trPr>
        <w:tc>
          <w:tcPr>
            <w:tcW w:w="1697" w:type="dxa"/>
          </w:tcPr>
          <w:p>
            <w:pPr>
              <w:pStyle w:val="TableParagraph"/>
              <w:spacing w:line="202" w:lineRule="exact" w:before="6"/>
              <w:ind w:left="118"/>
              <w:rPr>
                <w:sz w:val="18"/>
              </w:rPr>
            </w:pPr>
            <w:r>
              <w:rPr>
                <w:sz w:val="18"/>
              </w:rPr>
              <w:t>müdahaleyi yapacak</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8" w:hRule="atLeast"/>
        </w:trPr>
        <w:tc>
          <w:tcPr>
            <w:tcW w:w="1697" w:type="dxa"/>
          </w:tcPr>
          <w:p>
            <w:pPr>
              <w:pStyle w:val="TableParagraph"/>
              <w:spacing w:line="201" w:lineRule="exact" w:before="7"/>
              <w:ind w:left="118"/>
              <w:rPr>
                <w:sz w:val="18"/>
              </w:rPr>
            </w:pPr>
            <w:r>
              <w:rPr>
                <w:sz w:val="18"/>
              </w:rPr>
              <w:t>bilgi ve beceriye</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0" w:hRule="atLeast"/>
        </w:trPr>
        <w:tc>
          <w:tcPr>
            <w:tcW w:w="1697" w:type="dxa"/>
          </w:tcPr>
          <w:p>
            <w:pPr>
              <w:pStyle w:val="TableParagraph"/>
              <w:spacing w:line="194" w:lineRule="exact" w:before="6"/>
              <w:ind w:left="118"/>
              <w:rPr>
                <w:sz w:val="18"/>
              </w:rPr>
            </w:pPr>
            <w:r>
              <w:rPr>
                <w:sz w:val="18"/>
              </w:rPr>
              <w:t>sahiptir.</w:t>
            </w:r>
          </w:p>
        </w:tc>
        <w:tc>
          <w:tcPr>
            <w:tcW w:w="796" w:type="dxa"/>
            <w:vMerge/>
            <w:tcBorders>
              <w:top w:val="nil"/>
              <w:bottom w:val="single" w:sz="4" w:space="0" w:color="000000"/>
            </w:tcBorders>
          </w:tcPr>
          <w:p>
            <w:pPr>
              <w:rPr>
                <w:sz w:val="2"/>
                <w:szCs w:val="2"/>
              </w:rPr>
            </w:pPr>
          </w:p>
        </w:tc>
        <w:tc>
          <w:tcPr>
            <w:tcW w:w="1298" w:type="dxa"/>
          </w:tcPr>
          <w:p>
            <w:pPr>
              <w:pStyle w:val="TableParagraph"/>
              <w:rPr>
                <w:sz w:val="14"/>
              </w:rPr>
            </w:pPr>
          </w:p>
        </w:tc>
        <w:tc>
          <w:tcPr>
            <w:tcW w:w="1394" w:type="dxa"/>
          </w:tcPr>
          <w:p>
            <w:pPr>
              <w:pStyle w:val="TableParagraph"/>
              <w:rPr>
                <w:sz w:val="14"/>
              </w:rPr>
            </w:pPr>
          </w:p>
        </w:tc>
        <w:tc>
          <w:tcPr>
            <w:tcW w:w="1193" w:type="dxa"/>
          </w:tcPr>
          <w:p>
            <w:pPr>
              <w:pStyle w:val="TableParagraph"/>
              <w:rPr>
                <w:sz w:val="14"/>
              </w:rPr>
            </w:pPr>
          </w:p>
        </w:tc>
        <w:tc>
          <w:tcPr>
            <w:tcW w:w="1241" w:type="dxa"/>
          </w:tcPr>
          <w:p>
            <w:pPr>
              <w:pStyle w:val="TableParagraph"/>
              <w:rPr>
                <w:sz w:val="14"/>
              </w:rPr>
            </w:pPr>
          </w:p>
        </w:tc>
        <w:tc>
          <w:tcPr>
            <w:tcW w:w="1330" w:type="dxa"/>
          </w:tcPr>
          <w:p>
            <w:pPr>
              <w:pStyle w:val="TableParagraph"/>
              <w:rPr>
                <w:sz w:val="14"/>
              </w:rPr>
            </w:pPr>
          </w:p>
        </w:tc>
      </w:tr>
      <w:tr>
        <w:trPr>
          <w:trHeight w:val="208" w:hRule="atLeast"/>
        </w:trPr>
        <w:tc>
          <w:tcPr>
            <w:tcW w:w="1697" w:type="dxa"/>
          </w:tcPr>
          <w:p>
            <w:pPr>
              <w:pStyle w:val="TableParagraph"/>
              <w:rPr>
                <w:sz w:val="14"/>
              </w:rPr>
            </w:pPr>
          </w:p>
        </w:tc>
        <w:tc>
          <w:tcPr>
            <w:tcW w:w="796" w:type="dxa"/>
            <w:vMerge/>
            <w:tcBorders>
              <w:top w:val="nil"/>
              <w:bottom w:val="single" w:sz="4" w:space="0" w:color="000000"/>
            </w:tcBorders>
          </w:tcPr>
          <w:p>
            <w:pPr>
              <w:rPr>
                <w:sz w:val="2"/>
                <w:szCs w:val="2"/>
              </w:rPr>
            </w:pPr>
          </w:p>
        </w:tc>
        <w:tc>
          <w:tcPr>
            <w:tcW w:w="1298" w:type="dxa"/>
          </w:tcPr>
          <w:p>
            <w:pPr>
              <w:pStyle w:val="TableParagraph"/>
              <w:spacing w:line="188" w:lineRule="exact"/>
              <w:ind w:left="218"/>
              <w:rPr>
                <w:sz w:val="18"/>
              </w:rPr>
            </w:pPr>
            <w:r>
              <w:rPr>
                <w:sz w:val="18"/>
              </w:rPr>
              <w:t>16</w:t>
            </w:r>
          </w:p>
        </w:tc>
        <w:tc>
          <w:tcPr>
            <w:tcW w:w="1394" w:type="dxa"/>
          </w:tcPr>
          <w:p>
            <w:pPr>
              <w:pStyle w:val="TableParagraph"/>
              <w:spacing w:line="188" w:lineRule="exact"/>
              <w:ind w:left="336"/>
              <w:rPr>
                <w:sz w:val="18"/>
              </w:rPr>
            </w:pPr>
            <w:r>
              <w:rPr>
                <w:sz w:val="18"/>
              </w:rPr>
              <w:t>22</w:t>
            </w:r>
          </w:p>
        </w:tc>
        <w:tc>
          <w:tcPr>
            <w:tcW w:w="1193" w:type="dxa"/>
          </w:tcPr>
          <w:p>
            <w:pPr>
              <w:pStyle w:val="TableParagraph"/>
              <w:spacing w:line="188" w:lineRule="exact"/>
              <w:ind w:left="135"/>
              <w:rPr>
                <w:sz w:val="18"/>
              </w:rPr>
            </w:pPr>
            <w:r>
              <w:rPr>
                <w:sz w:val="18"/>
              </w:rPr>
              <w:t>31</w:t>
            </w:r>
          </w:p>
        </w:tc>
        <w:tc>
          <w:tcPr>
            <w:tcW w:w="1241" w:type="dxa"/>
          </w:tcPr>
          <w:p>
            <w:pPr>
              <w:pStyle w:val="TableParagraph"/>
              <w:spacing w:line="188" w:lineRule="exact"/>
              <w:ind w:left="304"/>
              <w:rPr>
                <w:sz w:val="18"/>
              </w:rPr>
            </w:pPr>
            <w:r>
              <w:rPr>
                <w:sz w:val="18"/>
              </w:rPr>
              <w:t>26</w:t>
            </w:r>
          </w:p>
        </w:tc>
        <w:tc>
          <w:tcPr>
            <w:tcW w:w="1330" w:type="dxa"/>
          </w:tcPr>
          <w:p>
            <w:pPr>
              <w:pStyle w:val="TableParagraph"/>
              <w:spacing w:line="188" w:lineRule="exact"/>
              <w:ind w:left="193"/>
              <w:rPr>
                <w:sz w:val="18"/>
              </w:rPr>
            </w:pPr>
            <w:r>
              <w:rPr>
                <w:sz w:val="18"/>
              </w:rPr>
              <w:t>10</w:t>
            </w:r>
          </w:p>
        </w:tc>
      </w:tr>
      <w:tr>
        <w:trPr>
          <w:trHeight w:val="209" w:hRule="atLeast"/>
        </w:trPr>
        <w:tc>
          <w:tcPr>
            <w:tcW w:w="1697" w:type="dxa"/>
          </w:tcPr>
          <w:p>
            <w:pPr>
              <w:pStyle w:val="TableParagraph"/>
              <w:spacing w:line="190" w:lineRule="exact"/>
              <w:ind w:left="118"/>
              <w:rPr>
                <w:sz w:val="18"/>
              </w:rPr>
            </w:pPr>
            <w:r>
              <w:rPr>
                <w:b/>
                <w:sz w:val="18"/>
              </w:rPr>
              <w:t>Soru 30. </w:t>
            </w:r>
            <w:r>
              <w:rPr>
                <w:sz w:val="18"/>
              </w:rPr>
              <w:t>Bir KBRN</w:t>
            </w:r>
          </w:p>
        </w:tc>
        <w:tc>
          <w:tcPr>
            <w:tcW w:w="796" w:type="dxa"/>
            <w:vMerge/>
            <w:tcBorders>
              <w:top w:val="nil"/>
              <w:bottom w:val="single" w:sz="4" w:space="0" w:color="000000"/>
            </w:tcBorders>
          </w:tcPr>
          <w:p>
            <w:pPr>
              <w:rPr>
                <w:sz w:val="2"/>
                <w:szCs w:val="2"/>
              </w:rPr>
            </w:pPr>
          </w:p>
        </w:tc>
        <w:tc>
          <w:tcPr>
            <w:tcW w:w="1298" w:type="dxa"/>
          </w:tcPr>
          <w:p>
            <w:pPr>
              <w:pStyle w:val="TableParagraph"/>
              <w:rPr>
                <w:sz w:val="14"/>
              </w:rPr>
            </w:pPr>
          </w:p>
        </w:tc>
        <w:tc>
          <w:tcPr>
            <w:tcW w:w="1394" w:type="dxa"/>
          </w:tcPr>
          <w:p>
            <w:pPr>
              <w:pStyle w:val="TableParagraph"/>
              <w:rPr>
                <w:sz w:val="14"/>
              </w:rPr>
            </w:pPr>
          </w:p>
        </w:tc>
        <w:tc>
          <w:tcPr>
            <w:tcW w:w="1193" w:type="dxa"/>
          </w:tcPr>
          <w:p>
            <w:pPr>
              <w:pStyle w:val="TableParagraph"/>
              <w:rPr>
                <w:sz w:val="14"/>
              </w:rPr>
            </w:pPr>
          </w:p>
        </w:tc>
        <w:tc>
          <w:tcPr>
            <w:tcW w:w="1241" w:type="dxa"/>
          </w:tcPr>
          <w:p>
            <w:pPr>
              <w:pStyle w:val="TableParagraph"/>
              <w:rPr>
                <w:sz w:val="14"/>
              </w:rPr>
            </w:pPr>
          </w:p>
        </w:tc>
        <w:tc>
          <w:tcPr>
            <w:tcW w:w="1330" w:type="dxa"/>
          </w:tcPr>
          <w:p>
            <w:pPr>
              <w:pStyle w:val="TableParagraph"/>
              <w:rPr>
                <w:sz w:val="14"/>
              </w:rPr>
            </w:pPr>
          </w:p>
        </w:tc>
      </w:tr>
      <w:tr>
        <w:trPr>
          <w:trHeight w:val="234" w:hRule="atLeast"/>
        </w:trPr>
        <w:tc>
          <w:tcPr>
            <w:tcW w:w="1697" w:type="dxa"/>
          </w:tcPr>
          <w:p>
            <w:pPr>
              <w:pStyle w:val="TableParagraph"/>
              <w:spacing w:line="202" w:lineRule="exact" w:before="12"/>
              <w:ind w:left="118"/>
              <w:rPr>
                <w:sz w:val="18"/>
              </w:rPr>
            </w:pPr>
            <w:r>
              <w:rPr>
                <w:sz w:val="18"/>
              </w:rPr>
              <w:t>olayında kurumum</w:t>
            </w:r>
          </w:p>
        </w:tc>
        <w:tc>
          <w:tcPr>
            <w:tcW w:w="796" w:type="dxa"/>
            <w:vMerge/>
            <w:tcBorders>
              <w:top w:val="nil"/>
              <w:bottom w:val="single" w:sz="4" w:space="0" w:color="000000"/>
            </w:tcBorders>
          </w:tcPr>
          <w:p>
            <w:pPr>
              <w:rPr>
                <w:sz w:val="2"/>
                <w:szCs w:val="2"/>
              </w:rPr>
            </w:pPr>
          </w:p>
        </w:tc>
        <w:tc>
          <w:tcPr>
            <w:tcW w:w="1298" w:type="dxa"/>
          </w:tcPr>
          <w:p>
            <w:pPr>
              <w:pStyle w:val="TableParagraph"/>
              <w:ind w:left="216"/>
              <w:rPr>
                <w:sz w:val="18"/>
              </w:rPr>
            </w:pPr>
            <w:r>
              <w:rPr>
                <w:sz w:val="18"/>
              </w:rPr>
              <w:t>15,2</w:t>
            </w:r>
          </w:p>
        </w:tc>
        <w:tc>
          <w:tcPr>
            <w:tcW w:w="1394" w:type="dxa"/>
          </w:tcPr>
          <w:p>
            <w:pPr>
              <w:pStyle w:val="TableParagraph"/>
              <w:ind w:left="334"/>
              <w:rPr>
                <w:sz w:val="18"/>
              </w:rPr>
            </w:pPr>
            <w:r>
              <w:rPr>
                <w:sz w:val="18"/>
              </w:rPr>
              <w:t>21,0</w:t>
            </w:r>
          </w:p>
        </w:tc>
        <w:tc>
          <w:tcPr>
            <w:tcW w:w="1193" w:type="dxa"/>
          </w:tcPr>
          <w:p>
            <w:pPr>
              <w:pStyle w:val="TableParagraph"/>
              <w:ind w:left="133"/>
              <w:rPr>
                <w:sz w:val="18"/>
              </w:rPr>
            </w:pPr>
            <w:r>
              <w:rPr>
                <w:sz w:val="18"/>
              </w:rPr>
              <w:t>29,5</w:t>
            </w:r>
          </w:p>
        </w:tc>
        <w:tc>
          <w:tcPr>
            <w:tcW w:w="1241" w:type="dxa"/>
          </w:tcPr>
          <w:p>
            <w:pPr>
              <w:pStyle w:val="TableParagraph"/>
              <w:ind w:left="301"/>
              <w:rPr>
                <w:sz w:val="18"/>
              </w:rPr>
            </w:pPr>
            <w:r>
              <w:rPr>
                <w:sz w:val="18"/>
              </w:rPr>
              <w:t>24,8</w:t>
            </w:r>
          </w:p>
        </w:tc>
        <w:tc>
          <w:tcPr>
            <w:tcW w:w="1330" w:type="dxa"/>
          </w:tcPr>
          <w:p>
            <w:pPr>
              <w:pStyle w:val="TableParagraph"/>
              <w:ind w:left="282"/>
              <w:rPr>
                <w:sz w:val="18"/>
              </w:rPr>
            </w:pPr>
            <w:r>
              <w:rPr>
                <w:sz w:val="18"/>
              </w:rPr>
              <w:t>9,5</w:t>
            </w:r>
          </w:p>
        </w:tc>
      </w:tr>
      <w:tr>
        <w:trPr>
          <w:trHeight w:val="228" w:hRule="atLeast"/>
        </w:trPr>
        <w:tc>
          <w:tcPr>
            <w:tcW w:w="1697" w:type="dxa"/>
          </w:tcPr>
          <w:p>
            <w:pPr>
              <w:pStyle w:val="TableParagraph"/>
              <w:spacing w:line="201" w:lineRule="exact" w:before="7"/>
              <w:ind w:left="118"/>
              <w:rPr>
                <w:sz w:val="18"/>
              </w:rPr>
            </w:pPr>
            <w:r>
              <w:rPr>
                <w:sz w:val="18"/>
              </w:rPr>
              <w:t>müdahalenin</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7" w:hRule="atLeast"/>
        </w:trPr>
        <w:tc>
          <w:tcPr>
            <w:tcW w:w="1697" w:type="dxa"/>
          </w:tcPr>
          <w:p>
            <w:pPr>
              <w:pStyle w:val="TableParagraph"/>
              <w:tabs>
                <w:tab w:pos="1315" w:val="left" w:leader="none"/>
              </w:tabs>
              <w:spacing w:line="201" w:lineRule="exact" w:before="6"/>
              <w:ind w:left="118"/>
              <w:rPr>
                <w:sz w:val="18"/>
              </w:rPr>
            </w:pPr>
            <w:r>
              <w:rPr>
                <w:sz w:val="18"/>
              </w:rPr>
              <w:t>yapılabilmesi</w:t>
              <w:tab/>
              <w:t>için</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7" w:hRule="atLeast"/>
        </w:trPr>
        <w:tc>
          <w:tcPr>
            <w:tcW w:w="1697" w:type="dxa"/>
          </w:tcPr>
          <w:p>
            <w:pPr>
              <w:pStyle w:val="TableParagraph"/>
              <w:tabs>
                <w:tab w:pos="828" w:val="left" w:leader="none"/>
              </w:tabs>
              <w:spacing w:line="201" w:lineRule="exact" w:before="6"/>
              <w:ind w:left="118"/>
              <w:rPr>
                <w:sz w:val="18"/>
              </w:rPr>
            </w:pPr>
            <w:r>
              <w:rPr>
                <w:sz w:val="18"/>
              </w:rPr>
              <w:t>gerekli</w:t>
              <w:tab/>
              <w:t>kapasiteye</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331" w:hRule="atLeast"/>
        </w:trPr>
        <w:tc>
          <w:tcPr>
            <w:tcW w:w="1697" w:type="dxa"/>
          </w:tcPr>
          <w:p>
            <w:pPr>
              <w:pStyle w:val="TableParagraph"/>
              <w:spacing w:before="6"/>
              <w:ind w:left="118"/>
              <w:rPr>
                <w:sz w:val="18"/>
              </w:rPr>
            </w:pPr>
            <w:r>
              <w:rPr>
                <w:sz w:val="18"/>
              </w:rPr>
              <w:t>sahiptir.</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328" w:hRule="atLeast"/>
        </w:trPr>
        <w:tc>
          <w:tcPr>
            <w:tcW w:w="1697" w:type="dxa"/>
          </w:tcPr>
          <w:p>
            <w:pPr>
              <w:pStyle w:val="TableParagraph"/>
              <w:spacing w:line="199" w:lineRule="exact" w:before="110"/>
              <w:ind w:left="118"/>
              <w:rPr>
                <w:b/>
                <w:sz w:val="18"/>
              </w:rPr>
            </w:pPr>
            <w:r>
              <w:rPr>
                <w:b/>
                <w:sz w:val="18"/>
              </w:rPr>
              <w:t>Soru 31.</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462" w:hRule="atLeast"/>
        </w:trPr>
        <w:tc>
          <w:tcPr>
            <w:tcW w:w="1697" w:type="dxa"/>
          </w:tcPr>
          <w:p>
            <w:pPr>
              <w:pStyle w:val="TableParagraph"/>
              <w:spacing w:before="4"/>
              <w:ind w:left="118"/>
              <w:rPr>
                <w:sz w:val="18"/>
              </w:rPr>
            </w:pPr>
            <w:r>
              <w:rPr>
                <w:sz w:val="18"/>
              </w:rPr>
              <w:t>Kurumumuzun</w:t>
            </w:r>
          </w:p>
          <w:p>
            <w:pPr>
              <w:pStyle w:val="TableParagraph"/>
              <w:spacing w:line="201" w:lineRule="exact" w:before="30"/>
              <w:ind w:left="118"/>
              <w:rPr>
                <w:sz w:val="18"/>
              </w:rPr>
            </w:pPr>
            <w:r>
              <w:rPr>
                <w:sz w:val="18"/>
              </w:rPr>
              <w:t>tatbikatlarla</w:t>
            </w:r>
          </w:p>
        </w:tc>
        <w:tc>
          <w:tcPr>
            <w:tcW w:w="796" w:type="dxa"/>
            <w:vMerge/>
            <w:tcBorders>
              <w:top w:val="nil"/>
              <w:bottom w:val="single" w:sz="4" w:space="0" w:color="000000"/>
            </w:tcBorders>
          </w:tcPr>
          <w:p>
            <w:pPr>
              <w:rPr>
                <w:sz w:val="2"/>
                <w:szCs w:val="2"/>
              </w:rPr>
            </w:pPr>
          </w:p>
        </w:tc>
        <w:tc>
          <w:tcPr>
            <w:tcW w:w="1298" w:type="dxa"/>
          </w:tcPr>
          <w:p>
            <w:pPr>
              <w:pStyle w:val="TableParagraph"/>
              <w:spacing w:before="114"/>
              <w:ind w:left="218"/>
              <w:rPr>
                <w:sz w:val="18"/>
              </w:rPr>
            </w:pPr>
            <w:r>
              <w:rPr>
                <w:sz w:val="18"/>
              </w:rPr>
              <w:t>15</w:t>
            </w:r>
          </w:p>
        </w:tc>
        <w:tc>
          <w:tcPr>
            <w:tcW w:w="1394" w:type="dxa"/>
          </w:tcPr>
          <w:p>
            <w:pPr>
              <w:pStyle w:val="TableParagraph"/>
              <w:spacing w:before="114"/>
              <w:ind w:left="336"/>
              <w:rPr>
                <w:sz w:val="18"/>
              </w:rPr>
            </w:pPr>
            <w:r>
              <w:rPr>
                <w:sz w:val="18"/>
              </w:rPr>
              <w:t>19</w:t>
            </w:r>
          </w:p>
        </w:tc>
        <w:tc>
          <w:tcPr>
            <w:tcW w:w="1193" w:type="dxa"/>
          </w:tcPr>
          <w:p>
            <w:pPr>
              <w:pStyle w:val="TableParagraph"/>
              <w:spacing w:before="114"/>
              <w:ind w:left="135"/>
              <w:rPr>
                <w:sz w:val="18"/>
              </w:rPr>
            </w:pPr>
            <w:r>
              <w:rPr>
                <w:sz w:val="18"/>
              </w:rPr>
              <w:t>42</w:t>
            </w:r>
          </w:p>
        </w:tc>
        <w:tc>
          <w:tcPr>
            <w:tcW w:w="1241" w:type="dxa"/>
          </w:tcPr>
          <w:p>
            <w:pPr>
              <w:pStyle w:val="TableParagraph"/>
              <w:spacing w:before="114"/>
              <w:ind w:left="304"/>
              <w:rPr>
                <w:sz w:val="18"/>
              </w:rPr>
            </w:pPr>
            <w:r>
              <w:rPr>
                <w:sz w:val="18"/>
              </w:rPr>
              <w:t>22</w:t>
            </w:r>
          </w:p>
        </w:tc>
        <w:tc>
          <w:tcPr>
            <w:tcW w:w="1330" w:type="dxa"/>
          </w:tcPr>
          <w:p>
            <w:pPr>
              <w:pStyle w:val="TableParagraph"/>
              <w:spacing w:before="114"/>
              <w:ind w:left="282"/>
              <w:rPr>
                <w:sz w:val="18"/>
              </w:rPr>
            </w:pPr>
            <w:r>
              <w:rPr>
                <w:sz w:val="18"/>
              </w:rPr>
              <w:t>7</w:t>
            </w:r>
          </w:p>
        </w:tc>
      </w:tr>
      <w:tr>
        <w:trPr>
          <w:trHeight w:val="466" w:hRule="atLeast"/>
        </w:trPr>
        <w:tc>
          <w:tcPr>
            <w:tcW w:w="1697" w:type="dxa"/>
          </w:tcPr>
          <w:p>
            <w:pPr>
              <w:pStyle w:val="TableParagraph"/>
              <w:spacing w:before="6"/>
              <w:ind w:left="118"/>
              <w:rPr>
                <w:sz w:val="18"/>
              </w:rPr>
            </w:pPr>
            <w:r>
              <w:rPr>
                <w:sz w:val="18"/>
              </w:rPr>
              <w:t>uygulanabilirliği</w:t>
            </w:r>
          </w:p>
          <w:p>
            <w:pPr>
              <w:pStyle w:val="TableParagraph"/>
              <w:spacing w:line="202" w:lineRule="exact" w:before="31"/>
              <w:ind w:left="118"/>
              <w:rPr>
                <w:sz w:val="18"/>
              </w:rPr>
            </w:pPr>
            <w:r>
              <w:rPr>
                <w:sz w:val="18"/>
              </w:rPr>
              <w:t>denenmiş ve gerekli</w:t>
            </w:r>
          </w:p>
        </w:tc>
        <w:tc>
          <w:tcPr>
            <w:tcW w:w="796" w:type="dxa"/>
            <w:vMerge/>
            <w:tcBorders>
              <w:top w:val="nil"/>
              <w:bottom w:val="single" w:sz="4" w:space="0" w:color="000000"/>
            </w:tcBorders>
          </w:tcPr>
          <w:p>
            <w:pPr>
              <w:rPr>
                <w:sz w:val="2"/>
                <w:szCs w:val="2"/>
              </w:rPr>
            </w:pPr>
          </w:p>
        </w:tc>
        <w:tc>
          <w:tcPr>
            <w:tcW w:w="1298" w:type="dxa"/>
          </w:tcPr>
          <w:p>
            <w:pPr>
              <w:pStyle w:val="TableParagraph"/>
              <w:spacing w:before="78"/>
              <w:ind w:left="216"/>
              <w:rPr>
                <w:sz w:val="18"/>
              </w:rPr>
            </w:pPr>
            <w:r>
              <w:rPr>
                <w:sz w:val="18"/>
              </w:rPr>
              <w:t>14,3</w:t>
            </w:r>
          </w:p>
        </w:tc>
        <w:tc>
          <w:tcPr>
            <w:tcW w:w="1394" w:type="dxa"/>
          </w:tcPr>
          <w:p>
            <w:pPr>
              <w:pStyle w:val="TableParagraph"/>
              <w:spacing w:before="78"/>
              <w:ind w:left="334"/>
              <w:rPr>
                <w:sz w:val="18"/>
              </w:rPr>
            </w:pPr>
            <w:r>
              <w:rPr>
                <w:sz w:val="18"/>
              </w:rPr>
              <w:t>18,1</w:t>
            </w:r>
          </w:p>
        </w:tc>
        <w:tc>
          <w:tcPr>
            <w:tcW w:w="1193" w:type="dxa"/>
          </w:tcPr>
          <w:p>
            <w:pPr>
              <w:pStyle w:val="TableParagraph"/>
              <w:spacing w:before="78"/>
              <w:ind w:left="133"/>
              <w:rPr>
                <w:sz w:val="18"/>
              </w:rPr>
            </w:pPr>
            <w:r>
              <w:rPr>
                <w:sz w:val="18"/>
              </w:rPr>
              <w:t>40,0</w:t>
            </w:r>
          </w:p>
        </w:tc>
        <w:tc>
          <w:tcPr>
            <w:tcW w:w="1241" w:type="dxa"/>
          </w:tcPr>
          <w:p>
            <w:pPr>
              <w:pStyle w:val="TableParagraph"/>
              <w:spacing w:before="78"/>
              <w:ind w:left="301"/>
              <w:rPr>
                <w:sz w:val="18"/>
              </w:rPr>
            </w:pPr>
            <w:r>
              <w:rPr>
                <w:sz w:val="18"/>
              </w:rPr>
              <w:t>21,0</w:t>
            </w:r>
          </w:p>
        </w:tc>
        <w:tc>
          <w:tcPr>
            <w:tcW w:w="1330" w:type="dxa"/>
          </w:tcPr>
          <w:p>
            <w:pPr>
              <w:pStyle w:val="TableParagraph"/>
              <w:spacing w:before="78"/>
              <w:ind w:left="282"/>
              <w:rPr>
                <w:sz w:val="18"/>
              </w:rPr>
            </w:pPr>
            <w:r>
              <w:rPr>
                <w:sz w:val="18"/>
              </w:rPr>
              <w:t>6,7</w:t>
            </w:r>
          </w:p>
        </w:tc>
      </w:tr>
      <w:tr>
        <w:trPr>
          <w:trHeight w:val="228" w:hRule="atLeast"/>
        </w:trPr>
        <w:tc>
          <w:tcPr>
            <w:tcW w:w="1697" w:type="dxa"/>
          </w:tcPr>
          <w:p>
            <w:pPr>
              <w:pStyle w:val="TableParagraph"/>
              <w:tabs>
                <w:tab w:pos="1126" w:val="left" w:leader="none"/>
              </w:tabs>
              <w:spacing w:line="201" w:lineRule="exact" w:before="7"/>
              <w:ind w:left="118"/>
              <w:rPr>
                <w:sz w:val="18"/>
              </w:rPr>
            </w:pPr>
            <w:r>
              <w:rPr>
                <w:sz w:val="18"/>
              </w:rPr>
              <w:t>malzeme</w:t>
              <w:tab/>
              <w:t>temini</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227" w:hRule="atLeast"/>
        </w:trPr>
        <w:tc>
          <w:tcPr>
            <w:tcW w:w="1697" w:type="dxa"/>
          </w:tcPr>
          <w:p>
            <w:pPr>
              <w:pStyle w:val="TableParagraph"/>
              <w:spacing w:line="201" w:lineRule="exact" w:before="6"/>
              <w:ind w:left="118"/>
              <w:rPr>
                <w:sz w:val="18"/>
              </w:rPr>
            </w:pPr>
            <w:r>
              <w:rPr>
                <w:sz w:val="18"/>
              </w:rPr>
              <w:t>yapılmış bir KBRN</w:t>
            </w:r>
          </w:p>
        </w:tc>
        <w:tc>
          <w:tcPr>
            <w:tcW w:w="796" w:type="dxa"/>
            <w:vMerge/>
            <w:tcBorders>
              <w:top w:val="nil"/>
              <w:bottom w:val="single" w:sz="4" w:space="0" w:color="000000"/>
            </w:tcBorders>
          </w:tcPr>
          <w:p>
            <w:pPr>
              <w:rPr>
                <w:sz w:val="2"/>
                <w:szCs w:val="2"/>
              </w:rPr>
            </w:pPr>
          </w:p>
        </w:tc>
        <w:tc>
          <w:tcPr>
            <w:tcW w:w="1298" w:type="dxa"/>
          </w:tcPr>
          <w:p>
            <w:pPr>
              <w:pStyle w:val="TableParagraph"/>
              <w:rPr>
                <w:sz w:val="16"/>
              </w:rPr>
            </w:pPr>
          </w:p>
        </w:tc>
        <w:tc>
          <w:tcPr>
            <w:tcW w:w="1394" w:type="dxa"/>
          </w:tcPr>
          <w:p>
            <w:pPr>
              <w:pStyle w:val="TableParagraph"/>
              <w:rPr>
                <w:sz w:val="16"/>
              </w:rPr>
            </w:pPr>
          </w:p>
        </w:tc>
        <w:tc>
          <w:tcPr>
            <w:tcW w:w="1193" w:type="dxa"/>
          </w:tcPr>
          <w:p>
            <w:pPr>
              <w:pStyle w:val="TableParagraph"/>
              <w:rPr>
                <w:sz w:val="16"/>
              </w:rPr>
            </w:pPr>
          </w:p>
        </w:tc>
        <w:tc>
          <w:tcPr>
            <w:tcW w:w="1241" w:type="dxa"/>
          </w:tcPr>
          <w:p>
            <w:pPr>
              <w:pStyle w:val="TableParagraph"/>
              <w:rPr>
                <w:sz w:val="16"/>
              </w:rPr>
            </w:pPr>
          </w:p>
        </w:tc>
        <w:tc>
          <w:tcPr>
            <w:tcW w:w="1330" w:type="dxa"/>
          </w:tcPr>
          <w:p>
            <w:pPr>
              <w:pStyle w:val="TableParagraph"/>
              <w:rPr>
                <w:sz w:val="16"/>
              </w:rPr>
            </w:pPr>
          </w:p>
        </w:tc>
      </w:tr>
      <w:tr>
        <w:trPr>
          <w:trHeight w:val="329" w:hRule="atLeast"/>
        </w:trPr>
        <w:tc>
          <w:tcPr>
            <w:tcW w:w="1697" w:type="dxa"/>
          </w:tcPr>
          <w:p>
            <w:pPr>
              <w:pStyle w:val="TableParagraph"/>
              <w:spacing w:before="6"/>
              <w:ind w:left="118"/>
              <w:rPr>
                <w:sz w:val="18"/>
              </w:rPr>
            </w:pPr>
            <w:r>
              <w:rPr>
                <w:sz w:val="18"/>
              </w:rPr>
              <w:t>planı vardır.</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328" w:hRule="atLeast"/>
        </w:trPr>
        <w:tc>
          <w:tcPr>
            <w:tcW w:w="1697" w:type="dxa"/>
          </w:tcPr>
          <w:p>
            <w:pPr>
              <w:pStyle w:val="TableParagraph"/>
              <w:spacing w:line="200" w:lineRule="exact" w:before="108"/>
              <w:ind w:left="169"/>
              <w:rPr>
                <w:b/>
                <w:sz w:val="18"/>
              </w:rPr>
            </w:pPr>
            <w:r>
              <w:rPr>
                <w:b/>
                <w:sz w:val="18"/>
              </w:rPr>
              <w:t>Soru 32.</w:t>
            </w:r>
          </w:p>
        </w:tc>
        <w:tc>
          <w:tcPr>
            <w:tcW w:w="796" w:type="dxa"/>
            <w:vMerge/>
            <w:tcBorders>
              <w:top w:val="nil"/>
              <w:bottom w:val="single" w:sz="4" w:space="0" w:color="000000"/>
            </w:tcBorders>
          </w:tcPr>
          <w:p>
            <w:pPr>
              <w:rPr>
                <w:sz w:val="2"/>
                <w:szCs w:val="2"/>
              </w:rPr>
            </w:pPr>
          </w:p>
        </w:tc>
        <w:tc>
          <w:tcPr>
            <w:tcW w:w="1298" w:type="dxa"/>
          </w:tcPr>
          <w:p>
            <w:pPr>
              <w:pStyle w:val="TableParagraph"/>
              <w:rPr>
                <w:sz w:val="20"/>
              </w:rPr>
            </w:pPr>
          </w:p>
        </w:tc>
        <w:tc>
          <w:tcPr>
            <w:tcW w:w="1394" w:type="dxa"/>
          </w:tcPr>
          <w:p>
            <w:pPr>
              <w:pStyle w:val="TableParagraph"/>
              <w:rPr>
                <w:sz w:val="20"/>
              </w:rPr>
            </w:pPr>
          </w:p>
        </w:tc>
        <w:tc>
          <w:tcPr>
            <w:tcW w:w="1193" w:type="dxa"/>
          </w:tcPr>
          <w:p>
            <w:pPr>
              <w:pStyle w:val="TableParagraph"/>
              <w:rPr>
                <w:sz w:val="20"/>
              </w:rPr>
            </w:pPr>
          </w:p>
        </w:tc>
        <w:tc>
          <w:tcPr>
            <w:tcW w:w="1241" w:type="dxa"/>
          </w:tcPr>
          <w:p>
            <w:pPr>
              <w:pStyle w:val="TableParagraph"/>
              <w:rPr>
                <w:sz w:val="20"/>
              </w:rPr>
            </w:pPr>
          </w:p>
        </w:tc>
        <w:tc>
          <w:tcPr>
            <w:tcW w:w="1330" w:type="dxa"/>
          </w:tcPr>
          <w:p>
            <w:pPr>
              <w:pStyle w:val="TableParagraph"/>
              <w:rPr>
                <w:sz w:val="20"/>
              </w:rPr>
            </w:pPr>
          </w:p>
        </w:tc>
      </w:tr>
      <w:tr>
        <w:trPr>
          <w:trHeight w:val="247" w:hRule="atLeast"/>
        </w:trPr>
        <w:tc>
          <w:tcPr>
            <w:tcW w:w="1697" w:type="dxa"/>
            <w:tcBorders>
              <w:bottom w:val="single" w:sz="4" w:space="0" w:color="000000"/>
            </w:tcBorders>
          </w:tcPr>
          <w:p>
            <w:pPr>
              <w:pStyle w:val="TableParagraph"/>
              <w:spacing w:before="5"/>
              <w:ind w:left="118"/>
              <w:rPr>
                <w:sz w:val="18"/>
              </w:rPr>
            </w:pPr>
            <w:r>
              <w:rPr>
                <w:sz w:val="18"/>
              </w:rPr>
              <w:t>Kurumumuzda</w:t>
            </w:r>
          </w:p>
        </w:tc>
        <w:tc>
          <w:tcPr>
            <w:tcW w:w="796" w:type="dxa"/>
            <w:vMerge/>
            <w:tcBorders>
              <w:top w:val="nil"/>
              <w:bottom w:val="single" w:sz="4" w:space="0" w:color="000000"/>
            </w:tcBorders>
          </w:tcPr>
          <w:p>
            <w:pPr>
              <w:rPr>
                <w:sz w:val="2"/>
                <w:szCs w:val="2"/>
              </w:rPr>
            </w:pPr>
          </w:p>
        </w:tc>
        <w:tc>
          <w:tcPr>
            <w:tcW w:w="1298" w:type="dxa"/>
            <w:tcBorders>
              <w:bottom w:val="single" w:sz="4" w:space="0" w:color="000000"/>
            </w:tcBorders>
          </w:tcPr>
          <w:p>
            <w:pPr>
              <w:pStyle w:val="TableParagraph"/>
              <w:rPr>
                <w:sz w:val="18"/>
              </w:rPr>
            </w:pPr>
          </w:p>
        </w:tc>
        <w:tc>
          <w:tcPr>
            <w:tcW w:w="1394" w:type="dxa"/>
            <w:tcBorders>
              <w:bottom w:val="single" w:sz="4" w:space="0" w:color="000000"/>
            </w:tcBorders>
          </w:tcPr>
          <w:p>
            <w:pPr>
              <w:pStyle w:val="TableParagraph"/>
              <w:rPr>
                <w:sz w:val="18"/>
              </w:rPr>
            </w:pPr>
          </w:p>
        </w:tc>
        <w:tc>
          <w:tcPr>
            <w:tcW w:w="1193" w:type="dxa"/>
            <w:tcBorders>
              <w:bottom w:val="single" w:sz="4" w:space="0" w:color="000000"/>
            </w:tcBorders>
          </w:tcPr>
          <w:p>
            <w:pPr>
              <w:pStyle w:val="TableParagraph"/>
              <w:rPr>
                <w:sz w:val="18"/>
              </w:rPr>
            </w:pPr>
          </w:p>
        </w:tc>
        <w:tc>
          <w:tcPr>
            <w:tcW w:w="1241" w:type="dxa"/>
            <w:tcBorders>
              <w:bottom w:val="single" w:sz="4" w:space="0" w:color="000000"/>
            </w:tcBorders>
          </w:tcPr>
          <w:p>
            <w:pPr>
              <w:pStyle w:val="TableParagraph"/>
              <w:rPr>
                <w:sz w:val="18"/>
              </w:rPr>
            </w:pPr>
          </w:p>
        </w:tc>
        <w:tc>
          <w:tcPr>
            <w:tcW w:w="1330" w:type="dxa"/>
            <w:tcBorders>
              <w:bottom w:val="single" w:sz="4" w:space="0" w:color="000000"/>
            </w:tcBorders>
          </w:tcPr>
          <w:p>
            <w:pPr>
              <w:pStyle w:val="TableParagraph"/>
              <w:rPr>
                <w:sz w:val="18"/>
              </w:rPr>
            </w:pPr>
          </w:p>
        </w:tc>
      </w:tr>
    </w:tbl>
    <w:p>
      <w:pPr>
        <w:spacing w:after="0"/>
        <w:rPr>
          <w:sz w:val="18"/>
        </w:rPr>
        <w:sectPr>
          <w:pgSz w:w="11910" w:h="16840"/>
          <w:pgMar w:header="0" w:footer="976" w:top="1580" w:bottom="1240" w:left="1140" w:right="520"/>
        </w:sectPr>
      </w:pPr>
    </w:p>
    <w:p>
      <w:pPr>
        <w:pStyle w:val="BodyText"/>
        <w:spacing w:before="11"/>
        <w:rPr>
          <w:b/>
          <w:sz w:val="8"/>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85"/>
        <w:gridCol w:w="796"/>
        <w:gridCol w:w="1083"/>
        <w:gridCol w:w="1305"/>
        <w:gridCol w:w="1278"/>
        <w:gridCol w:w="1247"/>
        <w:gridCol w:w="1541"/>
      </w:tblGrid>
      <w:tr>
        <w:trPr>
          <w:trHeight w:val="3735" w:hRule="atLeast"/>
        </w:trPr>
        <w:tc>
          <w:tcPr>
            <w:tcW w:w="1685" w:type="dxa"/>
            <w:tcBorders>
              <w:top w:val="single" w:sz="4" w:space="0" w:color="000000"/>
            </w:tcBorders>
          </w:tcPr>
          <w:p>
            <w:pPr>
              <w:pStyle w:val="TableParagraph"/>
              <w:tabs>
                <w:tab w:pos="908" w:val="left" w:leader="none"/>
                <w:tab w:pos="1306" w:val="left" w:leader="none"/>
              </w:tabs>
              <w:spacing w:line="276" w:lineRule="auto"/>
              <w:ind w:left="107" w:right="106"/>
              <w:rPr>
                <w:sz w:val="18"/>
              </w:rPr>
            </w:pPr>
            <w:r>
              <w:rPr>
                <w:sz w:val="18"/>
              </w:rPr>
              <w:t>kullanılmakta olan tehlikeli</w:t>
              <w:tab/>
            </w:r>
            <w:r>
              <w:rPr>
                <w:spacing w:val="-1"/>
                <w:sz w:val="18"/>
              </w:rPr>
              <w:t>maddeler </w:t>
            </w:r>
            <w:r>
              <w:rPr>
                <w:sz w:val="18"/>
              </w:rPr>
              <w:t>belirlenerek</w:t>
              <w:tab/>
              <w:t>risk oluşturmalarına karşı gerekli önlem alınmıştır.</w:t>
            </w:r>
          </w:p>
          <w:p>
            <w:pPr>
              <w:pStyle w:val="TableParagraph"/>
              <w:spacing w:before="3"/>
              <w:rPr>
                <w:b/>
                <w:sz w:val="17"/>
              </w:rPr>
            </w:pPr>
          </w:p>
          <w:p>
            <w:pPr>
              <w:pStyle w:val="TableParagraph"/>
              <w:tabs>
                <w:tab w:pos="565" w:val="left" w:leader="none"/>
                <w:tab w:pos="868" w:val="left" w:leader="none"/>
                <w:tab w:pos="1127" w:val="left" w:leader="none"/>
              </w:tabs>
              <w:spacing w:line="276" w:lineRule="auto"/>
              <w:ind w:left="107" w:right="108"/>
              <w:rPr>
                <w:sz w:val="18"/>
              </w:rPr>
            </w:pPr>
            <w:r>
              <w:rPr>
                <w:b/>
                <w:sz w:val="18"/>
              </w:rPr>
              <w:t>Soru 33. </w:t>
            </w:r>
            <w:r>
              <w:rPr>
                <w:sz w:val="18"/>
              </w:rPr>
              <w:t>Kurumumun afette birlikte</w:t>
              <w:tab/>
            </w:r>
            <w:r>
              <w:rPr>
                <w:spacing w:val="-1"/>
                <w:sz w:val="18"/>
              </w:rPr>
              <w:t>çalışacağı </w:t>
            </w:r>
            <w:r>
              <w:rPr>
                <w:sz w:val="18"/>
              </w:rPr>
              <w:t>kurumlarla sürekli eğitim ve tatbikatlar düzenleyerek kurumların</w:t>
              <w:tab/>
            </w:r>
            <w:r>
              <w:rPr>
                <w:spacing w:val="-1"/>
                <w:sz w:val="18"/>
              </w:rPr>
              <w:t>imkân </w:t>
            </w:r>
            <w:r>
              <w:rPr>
                <w:sz w:val="18"/>
              </w:rPr>
              <w:t>ve</w:t>
              <w:tab/>
            </w:r>
            <w:r>
              <w:rPr>
                <w:spacing w:val="-1"/>
                <w:sz w:val="18"/>
              </w:rPr>
              <w:t>kabiliyetlerini</w:t>
            </w:r>
          </w:p>
          <w:p>
            <w:pPr>
              <w:pStyle w:val="TableParagraph"/>
              <w:spacing w:line="184" w:lineRule="exact"/>
              <w:ind w:left="107"/>
              <w:rPr>
                <w:sz w:val="18"/>
              </w:rPr>
            </w:pPr>
            <w:r>
              <w:rPr>
                <w:sz w:val="18"/>
              </w:rPr>
              <w:t>iyice tanımıştır.</w:t>
            </w:r>
          </w:p>
        </w:tc>
        <w:tc>
          <w:tcPr>
            <w:tcW w:w="796" w:type="dxa"/>
            <w:tcBorders>
              <w:top w:val="single" w:sz="4" w:space="0" w:color="000000"/>
            </w:tcBorders>
          </w:tcPr>
          <w:p>
            <w:pPr>
              <w:pStyle w:val="TableParagraph"/>
              <w:spacing w:line="202" w:lineRule="exact"/>
              <w:ind w:left="108"/>
              <w:rPr>
                <w:sz w:val="18"/>
              </w:rPr>
            </w:pPr>
            <w:r>
              <w:rPr>
                <w:sz w:val="18"/>
              </w:rPr>
              <w:t>Sayı</w:t>
            </w:r>
          </w:p>
          <w:p>
            <w:pPr>
              <w:pStyle w:val="TableParagraph"/>
              <w:spacing w:before="11"/>
              <w:rPr>
                <w:b/>
                <w:sz w:val="19"/>
              </w:rPr>
            </w:pPr>
          </w:p>
          <w:p>
            <w:pPr>
              <w:pStyle w:val="TableParagraph"/>
              <w:spacing w:line="278" w:lineRule="auto"/>
              <w:ind w:left="199" w:right="199"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32"/>
              <w:ind w:left="108"/>
              <w:rPr>
                <w:sz w:val="18"/>
              </w:rPr>
            </w:pPr>
            <w:r>
              <w:rPr>
                <w:sz w:val="18"/>
              </w:rPr>
              <w:t>Sayı</w:t>
            </w:r>
          </w:p>
          <w:p>
            <w:pPr>
              <w:pStyle w:val="TableParagraph"/>
              <w:rPr>
                <w:b/>
                <w:sz w:val="20"/>
              </w:rPr>
            </w:pPr>
          </w:p>
          <w:p>
            <w:pPr>
              <w:pStyle w:val="TableParagraph"/>
              <w:spacing w:line="276" w:lineRule="auto"/>
              <w:ind w:left="199" w:right="199" w:hanging="92"/>
              <w:rPr>
                <w:sz w:val="18"/>
              </w:rPr>
            </w:pPr>
            <w:r>
              <w:rPr>
                <w:sz w:val="18"/>
              </w:rPr>
              <w:t>Yüzde (%)</w:t>
            </w:r>
          </w:p>
        </w:tc>
        <w:tc>
          <w:tcPr>
            <w:tcW w:w="1083" w:type="dxa"/>
            <w:tcBorders>
              <w:top w:val="single" w:sz="4" w:space="0" w:color="000000"/>
            </w:tcBorders>
          </w:tcPr>
          <w:p>
            <w:pPr>
              <w:pStyle w:val="TableParagraph"/>
              <w:spacing w:line="202" w:lineRule="exact"/>
              <w:ind w:left="219"/>
              <w:rPr>
                <w:sz w:val="18"/>
              </w:rPr>
            </w:pPr>
            <w:r>
              <w:rPr>
                <w:sz w:val="18"/>
              </w:rPr>
              <w:t>12</w:t>
            </w:r>
          </w:p>
          <w:p>
            <w:pPr>
              <w:pStyle w:val="TableParagraph"/>
              <w:spacing w:before="11"/>
              <w:rPr>
                <w:b/>
                <w:sz w:val="19"/>
              </w:rPr>
            </w:pPr>
          </w:p>
          <w:p>
            <w:pPr>
              <w:pStyle w:val="TableParagraph"/>
              <w:ind w:left="217"/>
              <w:rPr>
                <w:sz w:val="18"/>
              </w:rPr>
            </w:pPr>
            <w:r>
              <w:rPr>
                <w:sz w:val="18"/>
              </w:rPr>
              <w:t>11,4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44"/>
              <w:ind w:left="219"/>
              <w:rPr>
                <w:sz w:val="18"/>
              </w:rPr>
            </w:pPr>
            <w:r>
              <w:rPr>
                <w:sz w:val="18"/>
              </w:rPr>
              <w:t>12</w:t>
            </w:r>
          </w:p>
          <w:p>
            <w:pPr>
              <w:pStyle w:val="TableParagraph"/>
              <w:spacing w:before="2"/>
              <w:rPr>
                <w:b/>
                <w:sz w:val="20"/>
              </w:rPr>
            </w:pPr>
          </w:p>
          <w:p>
            <w:pPr>
              <w:pStyle w:val="TableParagraph"/>
              <w:spacing w:before="1"/>
              <w:ind w:left="217"/>
              <w:rPr>
                <w:sz w:val="18"/>
              </w:rPr>
            </w:pPr>
            <w:r>
              <w:rPr>
                <w:sz w:val="18"/>
              </w:rPr>
              <w:t>11,4</w:t>
            </w:r>
          </w:p>
        </w:tc>
        <w:tc>
          <w:tcPr>
            <w:tcW w:w="1305" w:type="dxa"/>
            <w:tcBorders>
              <w:top w:val="single" w:sz="4" w:space="0" w:color="000000"/>
            </w:tcBorders>
          </w:tcPr>
          <w:p>
            <w:pPr>
              <w:pStyle w:val="TableParagraph"/>
              <w:spacing w:line="202" w:lineRule="exact"/>
              <w:ind w:left="405" w:right="419"/>
              <w:jc w:val="center"/>
              <w:rPr>
                <w:sz w:val="18"/>
              </w:rPr>
            </w:pPr>
            <w:r>
              <w:rPr>
                <w:sz w:val="18"/>
              </w:rPr>
              <w:t>18</w:t>
            </w:r>
          </w:p>
          <w:p>
            <w:pPr>
              <w:pStyle w:val="TableParagraph"/>
              <w:spacing w:before="11"/>
              <w:rPr>
                <w:b/>
                <w:sz w:val="19"/>
              </w:rPr>
            </w:pPr>
          </w:p>
          <w:p>
            <w:pPr>
              <w:pStyle w:val="TableParagraph"/>
              <w:ind w:left="530" w:right="419"/>
              <w:jc w:val="center"/>
              <w:rPr>
                <w:sz w:val="18"/>
              </w:rPr>
            </w:pPr>
            <w:r>
              <w:rPr>
                <w:sz w:val="18"/>
              </w:rPr>
              <w:t>17,1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16"/>
              </w:rPr>
            </w:pPr>
          </w:p>
          <w:p>
            <w:pPr>
              <w:pStyle w:val="TableParagraph"/>
              <w:spacing w:before="1"/>
              <w:ind w:left="405" w:right="419"/>
              <w:jc w:val="center"/>
              <w:rPr>
                <w:sz w:val="18"/>
              </w:rPr>
            </w:pPr>
            <w:r>
              <w:rPr>
                <w:sz w:val="18"/>
              </w:rPr>
              <w:t>27</w:t>
            </w:r>
          </w:p>
          <w:p>
            <w:pPr>
              <w:pStyle w:val="TableParagraph"/>
              <w:spacing w:before="11"/>
              <w:rPr>
                <w:b/>
                <w:sz w:val="19"/>
              </w:rPr>
            </w:pPr>
          </w:p>
          <w:p>
            <w:pPr>
              <w:pStyle w:val="TableParagraph"/>
              <w:ind w:left="530" w:right="419"/>
              <w:jc w:val="center"/>
              <w:rPr>
                <w:sz w:val="18"/>
              </w:rPr>
            </w:pPr>
            <w:r>
              <w:rPr>
                <w:sz w:val="18"/>
              </w:rPr>
              <w:t>25,7</w:t>
            </w:r>
          </w:p>
        </w:tc>
        <w:tc>
          <w:tcPr>
            <w:tcW w:w="1278" w:type="dxa"/>
            <w:tcBorders>
              <w:top w:val="single" w:sz="4" w:space="0" w:color="000000"/>
            </w:tcBorders>
          </w:tcPr>
          <w:p>
            <w:pPr>
              <w:pStyle w:val="TableParagraph"/>
              <w:spacing w:line="202" w:lineRule="exact"/>
              <w:ind w:left="290" w:right="503"/>
              <w:jc w:val="center"/>
              <w:rPr>
                <w:sz w:val="18"/>
              </w:rPr>
            </w:pPr>
            <w:r>
              <w:rPr>
                <w:sz w:val="18"/>
              </w:rPr>
              <w:t>43</w:t>
            </w:r>
          </w:p>
          <w:p>
            <w:pPr>
              <w:pStyle w:val="TableParagraph"/>
              <w:spacing w:before="11"/>
              <w:rPr>
                <w:b/>
                <w:sz w:val="19"/>
              </w:rPr>
            </w:pPr>
          </w:p>
          <w:p>
            <w:pPr>
              <w:pStyle w:val="TableParagraph"/>
              <w:ind w:left="420" w:right="503"/>
              <w:jc w:val="center"/>
              <w:rPr>
                <w:sz w:val="18"/>
              </w:rPr>
            </w:pPr>
            <w:r>
              <w:rPr>
                <w:sz w:val="18"/>
              </w:rPr>
              <w:t>41,0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5"/>
              <w:rPr>
                <w:b/>
                <w:sz w:val="16"/>
              </w:rPr>
            </w:pPr>
          </w:p>
          <w:p>
            <w:pPr>
              <w:pStyle w:val="TableParagraph"/>
              <w:spacing w:before="1"/>
              <w:ind w:left="290" w:right="503"/>
              <w:jc w:val="center"/>
              <w:rPr>
                <w:sz w:val="18"/>
              </w:rPr>
            </w:pPr>
            <w:r>
              <w:rPr>
                <w:sz w:val="18"/>
              </w:rPr>
              <w:t>42</w:t>
            </w:r>
          </w:p>
          <w:p>
            <w:pPr>
              <w:pStyle w:val="TableParagraph"/>
              <w:spacing w:before="11"/>
              <w:rPr>
                <w:b/>
                <w:sz w:val="19"/>
              </w:rPr>
            </w:pPr>
          </w:p>
          <w:p>
            <w:pPr>
              <w:pStyle w:val="TableParagraph"/>
              <w:ind w:left="420" w:right="503"/>
              <w:jc w:val="center"/>
              <w:rPr>
                <w:sz w:val="18"/>
              </w:rPr>
            </w:pPr>
            <w:r>
              <w:rPr>
                <w:sz w:val="18"/>
              </w:rPr>
              <w:t>40,0</w:t>
            </w:r>
          </w:p>
        </w:tc>
        <w:tc>
          <w:tcPr>
            <w:tcW w:w="1247" w:type="dxa"/>
            <w:tcBorders>
              <w:top w:val="single" w:sz="4" w:space="0" w:color="000000"/>
            </w:tcBorders>
          </w:tcPr>
          <w:p>
            <w:pPr>
              <w:pStyle w:val="TableParagraph"/>
              <w:spacing w:line="202" w:lineRule="exact"/>
              <w:ind w:left="376" w:right="390"/>
              <w:jc w:val="center"/>
              <w:rPr>
                <w:sz w:val="18"/>
              </w:rPr>
            </w:pPr>
            <w:r>
              <w:rPr>
                <w:sz w:val="18"/>
              </w:rPr>
              <w:t>20</w:t>
            </w:r>
          </w:p>
          <w:p>
            <w:pPr>
              <w:pStyle w:val="TableParagraph"/>
              <w:spacing w:before="11"/>
              <w:rPr>
                <w:b/>
                <w:sz w:val="19"/>
              </w:rPr>
            </w:pPr>
          </w:p>
          <w:p>
            <w:pPr>
              <w:pStyle w:val="TableParagraph"/>
              <w:ind w:left="501" w:right="390"/>
              <w:jc w:val="center"/>
              <w:rPr>
                <w:sz w:val="18"/>
              </w:rPr>
            </w:pPr>
            <w:r>
              <w:rPr>
                <w:sz w:val="18"/>
              </w:rPr>
              <w:t>19,0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63"/>
              <w:ind w:left="376" w:right="390"/>
              <w:jc w:val="center"/>
              <w:rPr>
                <w:sz w:val="18"/>
              </w:rPr>
            </w:pPr>
            <w:r>
              <w:rPr>
                <w:sz w:val="18"/>
              </w:rPr>
              <w:t>16</w:t>
            </w:r>
          </w:p>
          <w:p>
            <w:pPr>
              <w:pStyle w:val="TableParagraph"/>
              <w:rPr>
                <w:b/>
                <w:sz w:val="20"/>
              </w:rPr>
            </w:pPr>
          </w:p>
          <w:p>
            <w:pPr>
              <w:pStyle w:val="TableParagraph"/>
              <w:ind w:left="501" w:right="390"/>
              <w:jc w:val="center"/>
              <w:rPr>
                <w:sz w:val="18"/>
              </w:rPr>
            </w:pPr>
            <w:r>
              <w:rPr>
                <w:sz w:val="18"/>
              </w:rPr>
              <w:t>15,2</w:t>
            </w:r>
          </w:p>
        </w:tc>
        <w:tc>
          <w:tcPr>
            <w:tcW w:w="1541" w:type="dxa"/>
            <w:tcBorders>
              <w:top w:val="single" w:sz="4" w:space="0" w:color="000000"/>
            </w:tcBorders>
          </w:tcPr>
          <w:p>
            <w:pPr>
              <w:pStyle w:val="TableParagraph"/>
              <w:spacing w:line="202" w:lineRule="exact"/>
              <w:ind w:left="407"/>
              <w:rPr>
                <w:sz w:val="18"/>
              </w:rPr>
            </w:pPr>
            <w:r>
              <w:rPr>
                <w:sz w:val="18"/>
              </w:rPr>
              <w:t>12</w:t>
            </w:r>
          </w:p>
          <w:p>
            <w:pPr>
              <w:pStyle w:val="TableParagraph"/>
              <w:spacing w:before="11"/>
              <w:rPr>
                <w:b/>
                <w:sz w:val="19"/>
              </w:rPr>
            </w:pPr>
          </w:p>
          <w:p>
            <w:pPr>
              <w:pStyle w:val="TableParagraph"/>
              <w:ind w:left="405"/>
              <w:rPr>
                <w:sz w:val="18"/>
              </w:rPr>
            </w:pPr>
            <w:r>
              <w:rPr>
                <w:sz w:val="18"/>
              </w:rPr>
              <w:t>11,4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63"/>
              <w:ind w:left="496"/>
              <w:rPr>
                <w:sz w:val="18"/>
              </w:rPr>
            </w:pPr>
            <w:r>
              <w:rPr>
                <w:sz w:val="18"/>
              </w:rPr>
              <w:t>8</w:t>
            </w:r>
          </w:p>
          <w:p>
            <w:pPr>
              <w:pStyle w:val="TableParagraph"/>
              <w:rPr>
                <w:b/>
                <w:sz w:val="20"/>
              </w:rPr>
            </w:pPr>
          </w:p>
          <w:p>
            <w:pPr>
              <w:pStyle w:val="TableParagraph"/>
              <w:ind w:left="496"/>
              <w:rPr>
                <w:sz w:val="18"/>
              </w:rPr>
            </w:pPr>
            <w:r>
              <w:rPr>
                <w:sz w:val="18"/>
              </w:rPr>
              <w:t>7,6</w:t>
            </w:r>
          </w:p>
        </w:tc>
      </w:tr>
    </w:tbl>
    <w:p>
      <w:pPr>
        <w:pStyle w:val="BodyText"/>
        <w:rPr>
          <w:b/>
          <w:sz w:val="20"/>
        </w:rPr>
      </w:pPr>
    </w:p>
    <w:p>
      <w:pPr>
        <w:pStyle w:val="BodyText"/>
        <w:spacing w:before="7"/>
        <w:rPr>
          <w:b/>
          <w:sz w:val="16"/>
        </w:rPr>
      </w:pPr>
      <w:r>
        <w:rPr/>
        <w:pict>
          <v:group style="position:absolute;margin-left:112.699997pt;margin-top:11.514219pt;width:447.35pt;height:.5pt;mso-position-horizontal-relative:page;mso-position-vertical-relative:paragraph;z-index:-736;mso-wrap-distance-left:0;mso-wrap-distance-right:0" coordorigin="2254,230" coordsize="8947,10">
            <v:line style="position:absolute" from="2254,235" to="3954,235" stroked="true" strokeweight=".47998pt" strokecolor="#000000">
              <v:stroke dashstyle="solid"/>
            </v:line>
            <v:rect style="position:absolute;left:3939;top:230;width:10;height:10" filled="true" fillcolor="#000000" stroked="false">
              <v:fill type="solid"/>
            </v:rect>
            <v:line style="position:absolute" from="3949,235" to="4681,235" stroked="true" strokeweight=".47998pt" strokecolor="#000000">
              <v:stroke dashstyle="solid"/>
            </v:line>
            <v:rect style="position:absolute;left:4666;top:230;width:10;height:10" filled="true" fillcolor="#000000" stroked="false">
              <v:fill type="solid"/>
            </v:rect>
            <v:line style="position:absolute" from="4676,235" to="6097,235" stroked="true" strokeweight=".47998pt" strokecolor="#000000">
              <v:stroke dashstyle="solid"/>
            </v:line>
            <v:rect style="position:absolute;left:6082;top:230;width:10;height:10" filled="true" fillcolor="#000000" stroked="false">
              <v:fill type="solid"/>
            </v:rect>
            <v:line style="position:absolute" from="6092,235" to="7290,235" stroked="true" strokeweight=".47998pt" strokecolor="#000000">
              <v:stroke dashstyle="solid"/>
            </v:line>
            <v:rect style="position:absolute;left:7275;top:230;width:10;height:10" filled="true" fillcolor="#000000" stroked="false">
              <v:fill type="solid"/>
            </v:rect>
            <v:line style="position:absolute" from="7285,235" to="8651,235" stroked="true" strokeweight=".47998pt" strokecolor="#000000">
              <v:stroke dashstyle="solid"/>
            </v:line>
            <v:rect style="position:absolute;left:8636;top:230;width:10;height:10" filled="true" fillcolor="#000000" stroked="false">
              <v:fill type="solid"/>
            </v:rect>
            <v:line style="position:absolute" from="8646,235" to="9782,235" stroked="true" strokeweight=".47998pt" strokecolor="#000000">
              <v:stroke dashstyle="solid"/>
            </v:line>
            <v:rect style="position:absolute;left:9767;top:230;width:10;height:10" filled="true" fillcolor="#000000" stroked="false">
              <v:fill type="solid"/>
            </v:rect>
            <v:line style="position:absolute" from="9777,235" to="11200,235" stroked="true" strokeweight=".47998pt" strokecolor="#000000">
              <v:stroke dashstyle="solid"/>
            </v:line>
            <w10:wrap type="topAndBottom"/>
          </v:group>
        </w:pict>
      </w:r>
    </w:p>
    <w:p>
      <w:pPr>
        <w:pStyle w:val="BodyText"/>
        <w:rPr>
          <w:b/>
          <w:sz w:val="29"/>
        </w:rPr>
      </w:pPr>
    </w:p>
    <w:p>
      <w:pPr>
        <w:pStyle w:val="BodyText"/>
        <w:spacing w:line="360" w:lineRule="auto" w:before="90"/>
        <w:ind w:left="1128" w:right="611" w:firstLine="708"/>
        <w:jc w:val="both"/>
      </w:pPr>
      <w:r>
        <w:rPr/>
        <w:t>‘‘Kurumumuzda ismi ve menşei belli olmayan herhangi bir tehlikeli madde bulunmaktadır (soru 28)’’ sorusuna, kesinlikle katılmıyorum şıkkının işaretlenme oranı</w:t>
      </w:r>
    </w:p>
    <w:p>
      <w:pPr>
        <w:pStyle w:val="BodyText"/>
        <w:spacing w:line="360" w:lineRule="auto"/>
        <w:ind w:left="1128" w:right="609"/>
        <w:jc w:val="both"/>
      </w:pPr>
      <w:r>
        <w:rPr/>
        <w:t>%41,0, katılmıyorum şıkkının işaretlenme oranı %28,6, kararsızım şıkkının işaretlenme oranı</w:t>
      </w:r>
      <w:r>
        <w:rPr>
          <w:spacing w:val="-13"/>
        </w:rPr>
        <w:t> </w:t>
      </w:r>
      <w:r>
        <w:rPr/>
        <w:t>%21,9,</w:t>
      </w:r>
      <w:r>
        <w:rPr>
          <w:spacing w:val="-12"/>
        </w:rPr>
        <w:t> </w:t>
      </w:r>
      <w:r>
        <w:rPr/>
        <w:t>katılıyorum</w:t>
      </w:r>
      <w:r>
        <w:rPr>
          <w:spacing w:val="-12"/>
        </w:rPr>
        <w:t> </w:t>
      </w:r>
      <w:r>
        <w:rPr/>
        <w:t>şıkkının</w:t>
      </w:r>
      <w:r>
        <w:rPr>
          <w:spacing w:val="-13"/>
        </w:rPr>
        <w:t> </w:t>
      </w:r>
      <w:r>
        <w:rPr/>
        <w:t>işaretlenme</w:t>
      </w:r>
      <w:r>
        <w:rPr>
          <w:spacing w:val="-11"/>
        </w:rPr>
        <w:t> </w:t>
      </w:r>
      <w:r>
        <w:rPr/>
        <w:t>oranı</w:t>
      </w:r>
      <w:r>
        <w:rPr>
          <w:spacing w:val="-12"/>
        </w:rPr>
        <w:t> </w:t>
      </w:r>
      <w:r>
        <w:rPr/>
        <w:t>%5,7,</w:t>
      </w:r>
      <w:r>
        <w:rPr>
          <w:spacing w:val="-13"/>
        </w:rPr>
        <w:t> </w:t>
      </w:r>
      <w:r>
        <w:rPr/>
        <w:t>kesinlikle</w:t>
      </w:r>
      <w:r>
        <w:rPr>
          <w:spacing w:val="-13"/>
        </w:rPr>
        <w:t> </w:t>
      </w:r>
      <w:r>
        <w:rPr/>
        <w:t>katılıyorum</w:t>
      </w:r>
      <w:r>
        <w:rPr>
          <w:spacing w:val="-12"/>
        </w:rPr>
        <w:t> </w:t>
      </w:r>
      <w:r>
        <w:rPr/>
        <w:t>şıkkının işaretlenme oranı</w:t>
      </w:r>
      <w:r>
        <w:rPr>
          <w:spacing w:val="-2"/>
        </w:rPr>
        <w:t> </w:t>
      </w:r>
      <w:r>
        <w:rPr/>
        <w:t>%2,9’dur.</w:t>
      </w:r>
    </w:p>
    <w:p>
      <w:pPr>
        <w:pStyle w:val="BodyText"/>
        <w:spacing w:line="360" w:lineRule="auto"/>
        <w:ind w:left="1128" w:right="610" w:firstLine="768"/>
        <w:jc w:val="both"/>
      </w:pPr>
      <w:r>
        <w:rPr/>
        <w:t>‘‘Herhangi bir KBRN olayı meydana gelmesi durumunda, kurumum çalışanları gerekli müdahaleyi yapacak bilgi ve beceriye sahiptir (soru 29)’’ sorusuna, kesinlikle katılmıyorum şıkkının işaretlenme oranı %10,5, katılmıyorum cevabı verenlerin oranı</w:t>
      </w:r>
    </w:p>
    <w:p>
      <w:pPr>
        <w:pStyle w:val="BodyText"/>
        <w:spacing w:line="360" w:lineRule="auto"/>
        <w:ind w:left="1128" w:right="612"/>
        <w:jc w:val="both"/>
      </w:pPr>
      <w:r>
        <w:rPr/>
        <w:t>%20,0, kararsızım şıkkının işaretlenme oranı %28,6, katılıyorum şıkkının işaretlenme oranı %30,5, kesinlikle katılıyorum şıkkının işaretlenme oranı %10,5’tir.</w:t>
      </w:r>
    </w:p>
    <w:p>
      <w:pPr>
        <w:pStyle w:val="BodyText"/>
        <w:spacing w:line="360" w:lineRule="auto" w:before="1"/>
        <w:ind w:left="1128" w:right="608" w:firstLine="708"/>
        <w:jc w:val="both"/>
      </w:pPr>
      <w:r>
        <w:rPr/>
        <w:t>‘‘Bir KBRN olayında kurumum müdahalenin yapılabilmesi için gerekli kapasiteye sahiptir (soru 30)’’ sorusuna, kesinlikle katılmıyorum şıkkının işaretlenme oranı %15,2, katılmıyorum şıkkının işaretlenme oranı %21,0, kararsızım şıkkının işaretlenme oranı %29,5, katılıyorum şıkkının işaretlenme oranı %24,8, kesinlikle katılıyorum şıkkının işaretlenme oranı %9,5’tir.</w:t>
      </w:r>
    </w:p>
    <w:p>
      <w:pPr>
        <w:pStyle w:val="BodyText"/>
        <w:spacing w:line="360" w:lineRule="auto"/>
        <w:ind w:left="1128" w:right="611" w:firstLine="708"/>
        <w:jc w:val="both"/>
      </w:pPr>
      <w:r>
        <w:rPr/>
        <w:t>‘‘Kurumumuzun tatbikatlarla uygulanabilirliği denenmiş ve gerekli malzeme temini yapılmış bir KBRN planı vardır (soru 31)’’ sorusuna, kesinlikle katılmıyorum şıkkının işaretlenme oranı %14,3, katılmıyorum şıkkının işaretlenme oranı %18,1, kararsızım şıkkının işaretlenme oranı %40,0, katılıyorum şıkkının işaretlenme oranı</w:t>
      </w:r>
    </w:p>
    <w:p>
      <w:pPr>
        <w:pStyle w:val="BodyText"/>
        <w:ind w:left="1128"/>
        <w:jc w:val="both"/>
      </w:pPr>
      <w:r>
        <w:rPr/>
        <w:t>%21,0, kesinlikle katılıyorum şıkkının işaretlenme oranı %6,7’dir.</w:t>
      </w:r>
    </w:p>
    <w:p>
      <w:pPr>
        <w:spacing w:after="0"/>
        <w:jc w:val="both"/>
        <w:sectPr>
          <w:pgSz w:w="11910" w:h="16840"/>
          <w:pgMar w:header="0" w:footer="976" w:top="1580" w:bottom="1240" w:left="1140" w:right="520"/>
        </w:sectPr>
      </w:pPr>
    </w:p>
    <w:p>
      <w:pPr>
        <w:pStyle w:val="BodyText"/>
        <w:spacing w:line="360" w:lineRule="auto" w:before="98"/>
        <w:ind w:left="1128" w:right="610" w:firstLine="708"/>
        <w:jc w:val="both"/>
      </w:pPr>
      <w:r>
        <w:rPr/>
        <w:t>‘‘Kurumumuzda kullanılmakta olan tehlikeli maddeler belirlenerek risk oluşturmalarına karşı gerekli önlem alınmıştır (soru 32)’’ sorusuna, kesinlikle katılmıyorum şıkkının işaretlenme oranı %11,4, katılmıyorum şıkkının işaretlenme</w:t>
      </w:r>
      <w:r>
        <w:rPr>
          <w:spacing w:val="-36"/>
        </w:rPr>
        <w:t> </w:t>
      </w:r>
      <w:r>
        <w:rPr/>
        <w:t>oranı</w:t>
      </w:r>
    </w:p>
    <w:p>
      <w:pPr>
        <w:pStyle w:val="BodyText"/>
        <w:spacing w:line="360" w:lineRule="auto"/>
        <w:ind w:left="1128" w:right="613"/>
      </w:pPr>
      <w:r>
        <w:rPr/>
        <w:t>%17,1, kararsızım şıkkının işaretlenme oranı %41,0, katılıyorum şıkkının işaretlenme oranı %19,0, kesinlikle katılıyorum şıkkının işaretlenme oranı %11,4’tür.</w:t>
      </w:r>
    </w:p>
    <w:p>
      <w:pPr>
        <w:pStyle w:val="BodyText"/>
        <w:spacing w:line="360" w:lineRule="auto"/>
        <w:ind w:left="1128" w:right="611" w:firstLine="828"/>
        <w:jc w:val="both"/>
      </w:pPr>
      <w:r>
        <w:rPr/>
        <w:t>‘‘Kurumum bir KBRN olayında birlikte çalışacağı kurumları yeterli derecede tanımakta birlikte eğitim ve tatbikat yaparak işbirliği geliştirmektedir (soru 33)’’ sorusuna, kesinlikle katılmıyorum şıkkının işaretlenme oranı %11,4, katılmıyorum şıkkının işaretlenme oranı %25,7, kararsızım şıkkının işaretlenme oranı %40,0, katılıyorum</w:t>
      </w:r>
      <w:r>
        <w:rPr>
          <w:spacing w:val="-14"/>
        </w:rPr>
        <w:t> </w:t>
      </w:r>
      <w:r>
        <w:rPr/>
        <w:t>şıkkının</w:t>
      </w:r>
      <w:r>
        <w:rPr>
          <w:spacing w:val="-14"/>
        </w:rPr>
        <w:t> </w:t>
      </w:r>
      <w:r>
        <w:rPr/>
        <w:t>işaretlenme</w:t>
      </w:r>
      <w:r>
        <w:rPr>
          <w:spacing w:val="-12"/>
        </w:rPr>
        <w:t> </w:t>
      </w:r>
      <w:r>
        <w:rPr/>
        <w:t>oranı</w:t>
      </w:r>
      <w:r>
        <w:rPr>
          <w:spacing w:val="-14"/>
        </w:rPr>
        <w:t> </w:t>
      </w:r>
      <w:r>
        <w:rPr/>
        <w:t>%15,2,</w:t>
      </w:r>
      <w:r>
        <w:rPr>
          <w:spacing w:val="-13"/>
        </w:rPr>
        <w:t> </w:t>
      </w:r>
      <w:r>
        <w:rPr/>
        <w:t>kesinlikle</w:t>
      </w:r>
      <w:r>
        <w:rPr>
          <w:spacing w:val="-15"/>
        </w:rPr>
        <w:t> </w:t>
      </w:r>
      <w:r>
        <w:rPr/>
        <w:t>katılıyorum</w:t>
      </w:r>
      <w:r>
        <w:rPr>
          <w:spacing w:val="-12"/>
        </w:rPr>
        <w:t> </w:t>
      </w:r>
      <w:r>
        <w:rPr/>
        <w:t>şıkkının</w:t>
      </w:r>
      <w:r>
        <w:rPr>
          <w:spacing w:val="-14"/>
        </w:rPr>
        <w:t> </w:t>
      </w:r>
      <w:r>
        <w:rPr/>
        <w:t>işaretlenme oranı</w:t>
      </w:r>
      <w:r>
        <w:rPr>
          <w:spacing w:val="-1"/>
        </w:rPr>
        <w:t> </w:t>
      </w:r>
      <w:r>
        <w:rPr/>
        <w:t>%7,6’dır.</w:t>
      </w:r>
    </w:p>
    <w:p>
      <w:pPr>
        <w:pStyle w:val="BodyText"/>
        <w:spacing w:line="360" w:lineRule="auto"/>
        <w:ind w:left="1128" w:right="609" w:firstLine="708"/>
        <w:jc w:val="both"/>
      </w:pPr>
      <w:r>
        <w:rPr/>
        <w:t>Araştırma</w:t>
      </w:r>
      <w:r>
        <w:rPr>
          <w:spacing w:val="-17"/>
        </w:rPr>
        <w:t> </w:t>
      </w:r>
      <w:r>
        <w:rPr/>
        <w:t>grubundaki</w:t>
      </w:r>
      <w:r>
        <w:rPr>
          <w:spacing w:val="-16"/>
        </w:rPr>
        <w:t> </w:t>
      </w:r>
      <w:r>
        <w:rPr/>
        <w:t>kişilerin</w:t>
      </w:r>
      <w:r>
        <w:rPr>
          <w:spacing w:val="-17"/>
        </w:rPr>
        <w:t> </w:t>
      </w:r>
      <w:r>
        <w:rPr/>
        <w:t>koordinasyonla</w:t>
      </w:r>
      <w:r>
        <w:rPr>
          <w:spacing w:val="-18"/>
        </w:rPr>
        <w:t> </w:t>
      </w:r>
      <w:r>
        <w:rPr/>
        <w:t>ilgili</w:t>
      </w:r>
      <w:r>
        <w:rPr>
          <w:spacing w:val="-16"/>
        </w:rPr>
        <w:t> </w:t>
      </w:r>
      <w:r>
        <w:rPr/>
        <w:t>anket</w:t>
      </w:r>
      <w:r>
        <w:rPr>
          <w:spacing w:val="-16"/>
        </w:rPr>
        <w:t> </w:t>
      </w:r>
      <w:r>
        <w:rPr/>
        <w:t>sorularının</w:t>
      </w:r>
      <w:r>
        <w:rPr>
          <w:spacing w:val="-17"/>
        </w:rPr>
        <w:t> </w:t>
      </w:r>
      <w:r>
        <w:rPr/>
        <w:t>incelenmesi Tablo 4. 9’da gösterilmiştir.</w:t>
      </w:r>
    </w:p>
    <w:p>
      <w:pPr>
        <w:pStyle w:val="BodyText"/>
        <w:rPr>
          <w:sz w:val="26"/>
        </w:rPr>
      </w:pPr>
    </w:p>
    <w:p>
      <w:pPr>
        <w:pStyle w:val="Heading1"/>
        <w:spacing w:line="256" w:lineRule="auto" w:before="164"/>
        <w:ind w:left="4150" w:right="1137" w:hanging="2485"/>
      </w:pPr>
      <w:r>
        <w:rPr/>
        <w:t>Tablo 4. 9. Araştırma Grubundaki Kişilerin Koordinasyonla İlgili Anket Sorularının İncelenmesi</w:t>
      </w:r>
    </w:p>
    <w:p>
      <w:pPr>
        <w:pStyle w:val="BodyText"/>
        <w:spacing w:before="5"/>
        <w:rPr>
          <w:b/>
          <w:sz w:val="14"/>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97"/>
        <w:gridCol w:w="831"/>
        <w:gridCol w:w="1065"/>
        <w:gridCol w:w="1275"/>
        <w:gridCol w:w="1023"/>
        <w:gridCol w:w="1149"/>
        <w:gridCol w:w="1315"/>
      </w:tblGrid>
      <w:tr>
        <w:trPr>
          <w:trHeight w:val="604" w:hRule="atLeast"/>
        </w:trPr>
        <w:tc>
          <w:tcPr>
            <w:tcW w:w="1997" w:type="dxa"/>
            <w:tcBorders>
              <w:top w:val="single" w:sz="4" w:space="0" w:color="000000"/>
              <w:bottom w:val="single" w:sz="4" w:space="0" w:color="000000"/>
            </w:tcBorders>
          </w:tcPr>
          <w:p>
            <w:pPr>
              <w:pStyle w:val="TableParagraph"/>
              <w:spacing w:before="93"/>
              <w:ind w:left="118"/>
              <w:rPr>
                <w:b/>
                <w:sz w:val="17"/>
              </w:rPr>
            </w:pPr>
            <w:r>
              <w:rPr>
                <w:b/>
                <w:sz w:val="17"/>
              </w:rPr>
              <w:t>Soru</w:t>
            </w:r>
          </w:p>
        </w:tc>
        <w:tc>
          <w:tcPr>
            <w:tcW w:w="1896" w:type="dxa"/>
            <w:gridSpan w:val="2"/>
            <w:tcBorders>
              <w:top w:val="single" w:sz="4" w:space="0" w:color="000000"/>
              <w:bottom w:val="single" w:sz="4" w:space="0" w:color="000000"/>
            </w:tcBorders>
          </w:tcPr>
          <w:p>
            <w:pPr>
              <w:pStyle w:val="TableParagraph"/>
              <w:spacing w:before="95"/>
              <w:ind w:left="709" w:right="67"/>
              <w:rPr>
                <w:b/>
                <w:sz w:val="18"/>
              </w:rPr>
            </w:pPr>
            <w:r>
              <w:rPr>
                <w:b/>
                <w:sz w:val="18"/>
              </w:rPr>
              <w:t>Kesinlikle Katılmıyorum</w:t>
            </w:r>
          </w:p>
        </w:tc>
        <w:tc>
          <w:tcPr>
            <w:tcW w:w="1275" w:type="dxa"/>
            <w:tcBorders>
              <w:top w:val="single" w:sz="4" w:space="0" w:color="000000"/>
              <w:bottom w:val="single" w:sz="4" w:space="0" w:color="000000"/>
            </w:tcBorders>
          </w:tcPr>
          <w:p>
            <w:pPr>
              <w:pStyle w:val="TableParagraph"/>
              <w:spacing w:before="95"/>
              <w:ind w:left="90"/>
              <w:rPr>
                <w:b/>
                <w:sz w:val="18"/>
              </w:rPr>
            </w:pPr>
            <w:r>
              <w:rPr>
                <w:b/>
                <w:sz w:val="18"/>
              </w:rPr>
              <w:t>Katılmıyorum</w:t>
            </w:r>
          </w:p>
        </w:tc>
        <w:tc>
          <w:tcPr>
            <w:tcW w:w="1023" w:type="dxa"/>
            <w:tcBorders>
              <w:top w:val="single" w:sz="4" w:space="0" w:color="000000"/>
              <w:bottom w:val="single" w:sz="4" w:space="0" w:color="000000"/>
            </w:tcBorders>
          </w:tcPr>
          <w:p>
            <w:pPr>
              <w:pStyle w:val="TableParagraph"/>
              <w:spacing w:before="95"/>
              <w:ind w:left="90"/>
              <w:rPr>
                <w:b/>
                <w:sz w:val="18"/>
              </w:rPr>
            </w:pPr>
            <w:r>
              <w:rPr>
                <w:b/>
                <w:sz w:val="18"/>
              </w:rPr>
              <w:t>Kararsızım</w:t>
            </w:r>
          </w:p>
        </w:tc>
        <w:tc>
          <w:tcPr>
            <w:tcW w:w="1149" w:type="dxa"/>
            <w:tcBorders>
              <w:top w:val="single" w:sz="4" w:space="0" w:color="000000"/>
              <w:bottom w:val="single" w:sz="4" w:space="0" w:color="000000"/>
            </w:tcBorders>
          </w:tcPr>
          <w:p>
            <w:pPr>
              <w:pStyle w:val="TableParagraph"/>
              <w:spacing w:before="95"/>
              <w:ind w:left="58"/>
              <w:rPr>
                <w:b/>
                <w:sz w:val="18"/>
              </w:rPr>
            </w:pPr>
            <w:r>
              <w:rPr>
                <w:b/>
                <w:sz w:val="18"/>
              </w:rPr>
              <w:t>Katılıyorum</w:t>
            </w:r>
          </w:p>
        </w:tc>
        <w:tc>
          <w:tcPr>
            <w:tcW w:w="1315" w:type="dxa"/>
            <w:tcBorders>
              <w:top w:val="single" w:sz="4" w:space="0" w:color="000000"/>
              <w:bottom w:val="single" w:sz="4" w:space="0" w:color="000000"/>
            </w:tcBorders>
          </w:tcPr>
          <w:p>
            <w:pPr>
              <w:pStyle w:val="TableParagraph"/>
              <w:spacing w:before="95"/>
              <w:ind w:left="148" w:right="197"/>
              <w:rPr>
                <w:b/>
                <w:sz w:val="18"/>
              </w:rPr>
            </w:pPr>
            <w:r>
              <w:rPr>
                <w:b/>
                <w:sz w:val="18"/>
              </w:rPr>
              <w:t>Kesinlikle Katılıyorum</w:t>
            </w:r>
          </w:p>
        </w:tc>
      </w:tr>
      <w:tr>
        <w:trPr>
          <w:trHeight w:val="6194" w:hRule="atLeast"/>
        </w:trPr>
        <w:tc>
          <w:tcPr>
            <w:tcW w:w="1997" w:type="dxa"/>
            <w:tcBorders>
              <w:top w:val="single" w:sz="4" w:space="0" w:color="000000"/>
              <w:bottom w:val="single" w:sz="4" w:space="0" w:color="000000"/>
            </w:tcBorders>
          </w:tcPr>
          <w:p>
            <w:pPr>
              <w:pStyle w:val="TableParagraph"/>
              <w:spacing w:line="276" w:lineRule="auto" w:before="91"/>
              <w:ind w:left="118" w:right="106"/>
              <w:jc w:val="both"/>
              <w:rPr>
                <w:sz w:val="18"/>
              </w:rPr>
            </w:pPr>
            <w:r>
              <w:rPr>
                <w:b/>
                <w:sz w:val="18"/>
              </w:rPr>
              <w:t>Soru 34. </w:t>
            </w:r>
            <w:r>
              <w:rPr>
                <w:sz w:val="18"/>
              </w:rPr>
              <w:t>Kurumum bir afet durumunda, diğer kurumlarla koordinasyo nu sağlayabilecek bilgi, beceri ve kabiliyete sahiptir.</w:t>
            </w:r>
          </w:p>
          <w:p>
            <w:pPr>
              <w:pStyle w:val="TableParagraph"/>
              <w:spacing w:line="276" w:lineRule="auto" w:before="98"/>
              <w:ind w:left="118" w:right="107"/>
              <w:jc w:val="both"/>
              <w:rPr>
                <w:sz w:val="18"/>
              </w:rPr>
            </w:pPr>
            <w:r>
              <w:rPr>
                <w:b/>
                <w:sz w:val="18"/>
              </w:rPr>
              <w:t>Soru 35.</w:t>
            </w:r>
            <w:r>
              <w:rPr>
                <w:sz w:val="18"/>
              </w:rPr>
              <w:t>Diğer</w:t>
            </w:r>
            <w:r>
              <w:rPr>
                <w:color w:val="FFFFFF"/>
                <w:sz w:val="18"/>
              </w:rPr>
              <w:t>.</w:t>
            </w:r>
            <w:r>
              <w:rPr>
                <w:sz w:val="18"/>
              </w:rPr>
              <w:t>kurumlar la birlikte görev</w:t>
            </w:r>
            <w:r>
              <w:rPr>
                <w:spacing w:val="-21"/>
                <w:sz w:val="18"/>
              </w:rPr>
              <w:t> </w:t>
            </w:r>
            <w:r>
              <w:rPr>
                <w:sz w:val="18"/>
              </w:rPr>
              <w:t>yapacak kurumumuz personeli çalışacağı kurumların imkân ve kabiliyetlerini iyice</w:t>
            </w:r>
            <w:r>
              <w:rPr>
                <w:spacing w:val="-2"/>
                <w:sz w:val="18"/>
              </w:rPr>
              <w:t> </w:t>
            </w:r>
            <w:r>
              <w:rPr>
                <w:sz w:val="18"/>
              </w:rPr>
              <w:t>tanımışlardır.</w:t>
            </w:r>
          </w:p>
          <w:p>
            <w:pPr>
              <w:pStyle w:val="TableParagraph"/>
              <w:tabs>
                <w:tab w:pos="732" w:val="left" w:leader="none"/>
                <w:tab w:pos="1305" w:val="left" w:leader="none"/>
              </w:tabs>
              <w:spacing w:line="276" w:lineRule="auto" w:before="96"/>
              <w:ind w:left="118" w:right="104"/>
              <w:rPr>
                <w:sz w:val="18"/>
              </w:rPr>
            </w:pPr>
            <w:r>
              <w:rPr>
                <w:b/>
                <w:sz w:val="18"/>
              </w:rPr>
              <w:t>Soru 36.</w:t>
            </w:r>
            <w:r>
              <w:rPr>
                <w:b/>
                <w:spacing w:val="-9"/>
                <w:sz w:val="18"/>
              </w:rPr>
              <w:t> </w:t>
            </w:r>
            <w:r>
              <w:rPr>
                <w:sz w:val="18"/>
              </w:rPr>
              <w:t>Kurumumuzun afette</w:t>
              <w:tab/>
              <w:t>zarar</w:t>
              <w:tab/>
              <w:t>görmesi halinde öncelikle kimlerden nasıl yardım isteneceğini planlamıştır.</w:t>
            </w:r>
          </w:p>
          <w:p>
            <w:pPr>
              <w:pStyle w:val="TableParagraph"/>
              <w:spacing w:line="276" w:lineRule="auto" w:before="96"/>
              <w:ind w:left="118" w:right="105"/>
              <w:jc w:val="both"/>
              <w:rPr>
                <w:sz w:val="18"/>
              </w:rPr>
            </w:pPr>
            <w:r>
              <w:rPr>
                <w:b/>
                <w:sz w:val="18"/>
              </w:rPr>
              <w:t>Soru 37. </w:t>
            </w:r>
            <w:r>
              <w:rPr>
                <w:sz w:val="18"/>
              </w:rPr>
              <w:t>Kurumumuz afet durumunda gönüllü insan gücü kaynağını kendi kaynaklarına</w:t>
            </w:r>
            <w:r>
              <w:rPr>
                <w:spacing w:val="-15"/>
                <w:sz w:val="18"/>
              </w:rPr>
              <w:t> </w:t>
            </w:r>
            <w:r>
              <w:rPr>
                <w:sz w:val="18"/>
              </w:rPr>
              <w:t>dâhil etmeye dair planlar yapmıştır.</w:t>
            </w:r>
          </w:p>
        </w:tc>
        <w:tc>
          <w:tcPr>
            <w:tcW w:w="831" w:type="dxa"/>
            <w:tcBorders>
              <w:top w:val="single" w:sz="4" w:space="0" w:color="000000"/>
              <w:bottom w:val="single" w:sz="4" w:space="0" w:color="000000"/>
            </w:tcBorders>
          </w:tcPr>
          <w:p>
            <w:pPr>
              <w:pStyle w:val="TableParagraph"/>
              <w:spacing w:before="91"/>
              <w:ind w:left="148"/>
              <w:rPr>
                <w:sz w:val="18"/>
              </w:rPr>
            </w:pPr>
            <w:r>
              <w:rPr>
                <w:sz w:val="18"/>
              </w:rPr>
              <w:t>Sayı</w:t>
            </w:r>
          </w:p>
          <w:p>
            <w:pPr>
              <w:pStyle w:val="TableParagraph"/>
              <w:spacing w:line="276" w:lineRule="auto" w:before="129"/>
              <w:ind w:left="198" w:right="235" w:hanging="92"/>
              <w:rPr>
                <w:sz w:val="18"/>
              </w:rPr>
            </w:pPr>
            <w:r>
              <w:rPr>
                <w:sz w:val="18"/>
              </w:rPr>
              <w:t>Yüzde (%)</w:t>
            </w:r>
          </w:p>
          <w:p>
            <w:pPr>
              <w:pStyle w:val="TableParagraph"/>
              <w:rPr>
                <w:b/>
                <w:sz w:val="20"/>
              </w:rPr>
            </w:pPr>
          </w:p>
          <w:p>
            <w:pPr>
              <w:pStyle w:val="TableParagraph"/>
              <w:rPr>
                <w:b/>
                <w:sz w:val="20"/>
              </w:rPr>
            </w:pPr>
          </w:p>
          <w:p>
            <w:pPr>
              <w:pStyle w:val="TableParagraph"/>
              <w:spacing w:before="3"/>
              <w:rPr>
                <w:b/>
                <w:sz w:val="26"/>
              </w:rPr>
            </w:pPr>
          </w:p>
          <w:p>
            <w:pPr>
              <w:pStyle w:val="TableParagraph"/>
              <w:ind w:left="107"/>
              <w:rPr>
                <w:sz w:val="18"/>
              </w:rPr>
            </w:pPr>
            <w:r>
              <w:rPr>
                <w:sz w:val="18"/>
              </w:rPr>
              <w:t>Sayı</w:t>
            </w:r>
          </w:p>
          <w:p>
            <w:pPr>
              <w:pStyle w:val="TableParagraph"/>
              <w:spacing w:line="276" w:lineRule="auto" w:before="129"/>
              <w:ind w:left="198" w:right="235" w:hanging="92"/>
              <w:rPr>
                <w:sz w:val="18"/>
              </w:rPr>
            </w:pPr>
            <w:r>
              <w:rPr>
                <w:sz w:val="18"/>
              </w:rPr>
              <w:t>Yüzde (%)</w:t>
            </w:r>
          </w:p>
          <w:p>
            <w:pPr>
              <w:pStyle w:val="TableParagraph"/>
              <w:rPr>
                <w:b/>
                <w:sz w:val="20"/>
              </w:rPr>
            </w:pPr>
          </w:p>
          <w:p>
            <w:pPr>
              <w:pStyle w:val="TableParagraph"/>
              <w:rPr>
                <w:b/>
                <w:sz w:val="20"/>
              </w:rPr>
            </w:pPr>
          </w:p>
          <w:p>
            <w:pPr>
              <w:pStyle w:val="TableParagraph"/>
              <w:spacing w:before="3"/>
              <w:rPr>
                <w:b/>
                <w:sz w:val="26"/>
              </w:rPr>
            </w:pPr>
          </w:p>
          <w:p>
            <w:pPr>
              <w:pStyle w:val="TableParagraph"/>
              <w:ind w:left="107"/>
              <w:rPr>
                <w:sz w:val="18"/>
              </w:rPr>
            </w:pPr>
            <w:r>
              <w:rPr>
                <w:sz w:val="18"/>
              </w:rPr>
              <w:t>Sayı</w:t>
            </w:r>
          </w:p>
          <w:p>
            <w:pPr>
              <w:pStyle w:val="TableParagraph"/>
              <w:spacing w:line="278" w:lineRule="auto" w:before="128"/>
              <w:ind w:left="198" w:right="235" w:hanging="92"/>
              <w:rPr>
                <w:sz w:val="18"/>
              </w:rPr>
            </w:pPr>
            <w:r>
              <w:rPr>
                <w:sz w:val="18"/>
              </w:rPr>
              <w:t>Yüzde (%)</w:t>
            </w:r>
          </w:p>
          <w:p>
            <w:pPr>
              <w:pStyle w:val="TableParagraph"/>
              <w:rPr>
                <w:b/>
                <w:sz w:val="20"/>
              </w:rPr>
            </w:pPr>
          </w:p>
          <w:p>
            <w:pPr>
              <w:pStyle w:val="TableParagraph"/>
              <w:rPr>
                <w:b/>
                <w:sz w:val="20"/>
              </w:rPr>
            </w:pPr>
          </w:p>
          <w:p>
            <w:pPr>
              <w:pStyle w:val="TableParagraph"/>
              <w:spacing w:before="1"/>
              <w:rPr>
                <w:b/>
                <w:sz w:val="26"/>
              </w:rPr>
            </w:pPr>
          </w:p>
          <w:p>
            <w:pPr>
              <w:pStyle w:val="TableParagraph"/>
              <w:ind w:left="107"/>
              <w:rPr>
                <w:sz w:val="18"/>
              </w:rPr>
            </w:pPr>
            <w:r>
              <w:rPr>
                <w:sz w:val="18"/>
              </w:rPr>
              <w:t>Sayı</w:t>
            </w:r>
          </w:p>
          <w:p>
            <w:pPr>
              <w:pStyle w:val="TableParagraph"/>
              <w:spacing w:line="278" w:lineRule="auto" w:before="127"/>
              <w:ind w:left="198" w:right="235" w:hanging="92"/>
              <w:rPr>
                <w:sz w:val="18"/>
              </w:rPr>
            </w:pPr>
            <w:r>
              <w:rPr>
                <w:sz w:val="18"/>
              </w:rPr>
              <w:t>Yüzde (%)</w:t>
            </w:r>
          </w:p>
        </w:tc>
        <w:tc>
          <w:tcPr>
            <w:tcW w:w="1065" w:type="dxa"/>
            <w:tcBorders>
              <w:top w:val="single" w:sz="4" w:space="0" w:color="000000"/>
              <w:bottom w:val="single" w:sz="4" w:space="0" w:color="000000"/>
            </w:tcBorders>
          </w:tcPr>
          <w:p>
            <w:pPr>
              <w:pStyle w:val="TableParagraph"/>
              <w:spacing w:before="91"/>
              <w:ind w:left="255"/>
              <w:rPr>
                <w:sz w:val="18"/>
              </w:rPr>
            </w:pPr>
            <w:r>
              <w:rPr>
                <w:sz w:val="18"/>
              </w:rPr>
              <w:t>4</w:t>
            </w:r>
          </w:p>
          <w:p>
            <w:pPr>
              <w:pStyle w:val="TableParagraph"/>
              <w:spacing w:before="129"/>
              <w:ind w:left="255"/>
              <w:rPr>
                <w:sz w:val="18"/>
              </w:rPr>
            </w:pPr>
            <w:r>
              <w:rPr>
                <w:sz w:val="18"/>
              </w:rPr>
              <w:t>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255"/>
              <w:rPr>
                <w:sz w:val="18"/>
              </w:rPr>
            </w:pPr>
            <w:r>
              <w:rPr>
                <w:sz w:val="18"/>
              </w:rPr>
              <w:t>5</w:t>
            </w:r>
          </w:p>
          <w:p>
            <w:pPr>
              <w:pStyle w:val="TableParagraph"/>
              <w:spacing w:before="129"/>
              <w:ind w:left="255"/>
              <w:rPr>
                <w:sz w:val="18"/>
              </w:rPr>
            </w:pPr>
            <w:r>
              <w:rPr>
                <w:sz w:val="18"/>
              </w:rPr>
              <w:t>4,8</w:t>
            </w:r>
          </w:p>
          <w:p>
            <w:pPr>
              <w:pStyle w:val="TableParagraph"/>
              <w:rPr>
                <w:b/>
                <w:sz w:val="20"/>
              </w:rPr>
            </w:pPr>
          </w:p>
          <w:p>
            <w:pPr>
              <w:pStyle w:val="TableParagraph"/>
              <w:rPr>
                <w:b/>
                <w:sz w:val="20"/>
              </w:rPr>
            </w:pPr>
          </w:p>
          <w:p>
            <w:pPr>
              <w:pStyle w:val="TableParagraph"/>
              <w:rPr>
                <w:b/>
                <w:sz w:val="20"/>
              </w:rPr>
            </w:pPr>
          </w:p>
          <w:p>
            <w:pPr>
              <w:pStyle w:val="TableParagraph"/>
              <w:rPr>
                <w:b/>
                <w:sz w:val="22"/>
              </w:rPr>
            </w:pPr>
          </w:p>
          <w:p>
            <w:pPr>
              <w:pStyle w:val="TableParagraph"/>
              <w:ind w:left="255"/>
              <w:rPr>
                <w:sz w:val="18"/>
              </w:rPr>
            </w:pPr>
            <w:r>
              <w:rPr>
                <w:sz w:val="18"/>
              </w:rPr>
              <w:t>1</w:t>
            </w:r>
          </w:p>
          <w:p>
            <w:pPr>
              <w:pStyle w:val="TableParagraph"/>
              <w:spacing w:before="127"/>
              <w:ind w:left="255"/>
              <w:rPr>
                <w:sz w:val="18"/>
              </w:rPr>
            </w:pPr>
            <w:r>
              <w:rPr>
                <w:sz w:val="18"/>
              </w:rPr>
              <w:t>1,0</w:t>
            </w:r>
          </w:p>
          <w:p>
            <w:pPr>
              <w:pStyle w:val="TableParagraph"/>
              <w:rPr>
                <w:b/>
                <w:sz w:val="20"/>
              </w:rPr>
            </w:pPr>
          </w:p>
          <w:p>
            <w:pPr>
              <w:pStyle w:val="TableParagraph"/>
              <w:rPr>
                <w:b/>
                <w:sz w:val="20"/>
              </w:rPr>
            </w:pPr>
          </w:p>
          <w:p>
            <w:pPr>
              <w:pStyle w:val="TableParagraph"/>
              <w:rPr>
                <w:b/>
                <w:sz w:val="20"/>
              </w:rPr>
            </w:pPr>
          </w:p>
          <w:p>
            <w:pPr>
              <w:pStyle w:val="TableParagraph"/>
              <w:spacing w:before="5"/>
              <w:rPr>
                <w:b/>
                <w:sz w:val="24"/>
              </w:rPr>
            </w:pPr>
          </w:p>
          <w:p>
            <w:pPr>
              <w:pStyle w:val="TableParagraph"/>
              <w:spacing w:before="1"/>
              <w:ind w:left="255"/>
              <w:rPr>
                <w:sz w:val="18"/>
              </w:rPr>
            </w:pPr>
            <w:r>
              <w:rPr>
                <w:sz w:val="18"/>
              </w:rPr>
              <w:t>5</w:t>
            </w:r>
          </w:p>
          <w:p>
            <w:pPr>
              <w:pStyle w:val="TableParagraph"/>
              <w:spacing w:before="126"/>
              <w:ind w:left="255"/>
              <w:rPr>
                <w:sz w:val="18"/>
              </w:rPr>
            </w:pPr>
            <w:r>
              <w:rPr>
                <w:sz w:val="18"/>
              </w:rPr>
              <w:t>4,8</w:t>
            </w:r>
          </w:p>
        </w:tc>
        <w:tc>
          <w:tcPr>
            <w:tcW w:w="1275" w:type="dxa"/>
            <w:tcBorders>
              <w:top w:val="single" w:sz="4" w:space="0" w:color="000000"/>
              <w:bottom w:val="single" w:sz="4" w:space="0" w:color="000000"/>
            </w:tcBorders>
          </w:tcPr>
          <w:p>
            <w:pPr>
              <w:pStyle w:val="TableParagraph"/>
              <w:spacing w:before="91"/>
              <w:ind w:right="247"/>
              <w:jc w:val="center"/>
              <w:rPr>
                <w:sz w:val="18"/>
              </w:rPr>
            </w:pPr>
            <w:r>
              <w:rPr>
                <w:sz w:val="18"/>
              </w:rPr>
              <w:t>8</w:t>
            </w:r>
          </w:p>
          <w:p>
            <w:pPr>
              <w:pStyle w:val="TableParagraph"/>
              <w:spacing w:before="129"/>
              <w:ind w:left="358" w:right="469"/>
              <w:jc w:val="center"/>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226" w:right="560"/>
              <w:jc w:val="center"/>
              <w:rPr>
                <w:sz w:val="18"/>
              </w:rPr>
            </w:pPr>
            <w:r>
              <w:rPr>
                <w:sz w:val="18"/>
              </w:rPr>
              <w:t>21</w:t>
            </w:r>
          </w:p>
          <w:p>
            <w:pPr>
              <w:pStyle w:val="TableParagraph"/>
              <w:spacing w:before="129"/>
              <w:ind w:left="356" w:right="560"/>
              <w:jc w:val="center"/>
              <w:rPr>
                <w:sz w:val="18"/>
              </w:rPr>
            </w:pPr>
            <w:r>
              <w:rPr>
                <w:sz w:val="18"/>
              </w:rPr>
              <w:t>20,0</w:t>
            </w:r>
          </w:p>
          <w:p>
            <w:pPr>
              <w:pStyle w:val="TableParagraph"/>
              <w:rPr>
                <w:b/>
                <w:sz w:val="20"/>
              </w:rPr>
            </w:pPr>
          </w:p>
          <w:p>
            <w:pPr>
              <w:pStyle w:val="TableParagraph"/>
              <w:rPr>
                <w:b/>
                <w:sz w:val="20"/>
              </w:rPr>
            </w:pPr>
          </w:p>
          <w:p>
            <w:pPr>
              <w:pStyle w:val="TableParagraph"/>
              <w:rPr>
                <w:b/>
                <w:sz w:val="20"/>
              </w:rPr>
            </w:pPr>
          </w:p>
          <w:p>
            <w:pPr>
              <w:pStyle w:val="TableParagraph"/>
              <w:rPr>
                <w:b/>
                <w:sz w:val="22"/>
              </w:rPr>
            </w:pPr>
          </w:p>
          <w:p>
            <w:pPr>
              <w:pStyle w:val="TableParagraph"/>
              <w:ind w:left="226" w:right="560"/>
              <w:jc w:val="center"/>
              <w:rPr>
                <w:sz w:val="18"/>
              </w:rPr>
            </w:pPr>
            <w:r>
              <w:rPr>
                <w:sz w:val="18"/>
              </w:rPr>
              <w:t>17</w:t>
            </w:r>
          </w:p>
          <w:p>
            <w:pPr>
              <w:pStyle w:val="TableParagraph"/>
              <w:spacing w:before="127"/>
              <w:ind w:left="356" w:right="560"/>
              <w:jc w:val="center"/>
              <w:rPr>
                <w:sz w:val="18"/>
              </w:rPr>
            </w:pPr>
            <w:r>
              <w:rPr>
                <w:sz w:val="18"/>
              </w:rPr>
              <w:t>16,2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8"/>
              </w:rPr>
            </w:pPr>
          </w:p>
          <w:p>
            <w:pPr>
              <w:pStyle w:val="TableParagraph"/>
              <w:ind w:left="226" w:right="560"/>
              <w:jc w:val="center"/>
              <w:rPr>
                <w:sz w:val="18"/>
              </w:rPr>
            </w:pPr>
            <w:r>
              <w:rPr>
                <w:sz w:val="18"/>
              </w:rPr>
              <w:t>13</w:t>
            </w:r>
          </w:p>
          <w:p>
            <w:pPr>
              <w:pStyle w:val="TableParagraph"/>
              <w:spacing w:before="127"/>
              <w:ind w:left="356" w:right="560"/>
              <w:jc w:val="center"/>
              <w:rPr>
                <w:sz w:val="18"/>
              </w:rPr>
            </w:pPr>
            <w:r>
              <w:rPr>
                <w:sz w:val="18"/>
              </w:rPr>
              <w:t>12,4</w:t>
            </w:r>
          </w:p>
        </w:tc>
        <w:tc>
          <w:tcPr>
            <w:tcW w:w="1023" w:type="dxa"/>
            <w:tcBorders>
              <w:top w:val="single" w:sz="4" w:space="0" w:color="000000"/>
              <w:bottom w:val="single" w:sz="4" w:space="0" w:color="000000"/>
            </w:tcBorders>
          </w:tcPr>
          <w:p>
            <w:pPr>
              <w:pStyle w:val="TableParagraph"/>
              <w:spacing w:before="91"/>
              <w:ind w:left="107" w:right="184"/>
              <w:jc w:val="center"/>
              <w:rPr>
                <w:sz w:val="18"/>
              </w:rPr>
            </w:pPr>
            <w:r>
              <w:rPr>
                <w:sz w:val="18"/>
              </w:rPr>
              <w:t>43</w:t>
            </w:r>
          </w:p>
          <w:p>
            <w:pPr>
              <w:pStyle w:val="TableParagraph"/>
              <w:spacing w:before="129"/>
              <w:ind w:left="232" w:right="184"/>
              <w:jc w:val="center"/>
              <w:rPr>
                <w:sz w:val="18"/>
              </w:rPr>
            </w:pPr>
            <w:r>
              <w:rPr>
                <w:sz w:val="18"/>
              </w:rPr>
              <w:t>41,0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107" w:right="184"/>
              <w:jc w:val="center"/>
              <w:rPr>
                <w:sz w:val="18"/>
              </w:rPr>
            </w:pPr>
            <w:r>
              <w:rPr>
                <w:sz w:val="18"/>
              </w:rPr>
              <w:t>38</w:t>
            </w:r>
          </w:p>
          <w:p>
            <w:pPr>
              <w:pStyle w:val="TableParagraph"/>
              <w:spacing w:before="129"/>
              <w:ind w:left="232" w:right="184"/>
              <w:jc w:val="center"/>
              <w:rPr>
                <w:sz w:val="18"/>
              </w:rPr>
            </w:pPr>
            <w:r>
              <w:rPr>
                <w:sz w:val="18"/>
              </w:rPr>
              <w:t>36,2</w:t>
            </w:r>
          </w:p>
          <w:p>
            <w:pPr>
              <w:pStyle w:val="TableParagraph"/>
              <w:rPr>
                <w:b/>
                <w:sz w:val="20"/>
              </w:rPr>
            </w:pPr>
          </w:p>
          <w:p>
            <w:pPr>
              <w:pStyle w:val="TableParagraph"/>
              <w:rPr>
                <w:b/>
                <w:sz w:val="20"/>
              </w:rPr>
            </w:pPr>
          </w:p>
          <w:p>
            <w:pPr>
              <w:pStyle w:val="TableParagraph"/>
              <w:rPr>
                <w:b/>
                <w:sz w:val="20"/>
              </w:rPr>
            </w:pPr>
          </w:p>
          <w:p>
            <w:pPr>
              <w:pStyle w:val="TableParagraph"/>
              <w:rPr>
                <w:b/>
                <w:sz w:val="22"/>
              </w:rPr>
            </w:pPr>
          </w:p>
          <w:p>
            <w:pPr>
              <w:pStyle w:val="TableParagraph"/>
              <w:ind w:left="107" w:right="184"/>
              <w:jc w:val="center"/>
              <w:rPr>
                <w:sz w:val="18"/>
              </w:rPr>
            </w:pPr>
            <w:r>
              <w:rPr>
                <w:sz w:val="18"/>
              </w:rPr>
              <w:t>37</w:t>
            </w:r>
          </w:p>
          <w:p>
            <w:pPr>
              <w:pStyle w:val="TableParagraph"/>
              <w:spacing w:before="127"/>
              <w:ind w:left="232" w:right="184"/>
              <w:jc w:val="center"/>
              <w:rPr>
                <w:sz w:val="18"/>
              </w:rPr>
            </w:pPr>
            <w:r>
              <w:rPr>
                <w:sz w:val="18"/>
              </w:rPr>
              <w:t>35,2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8"/>
              </w:rPr>
            </w:pPr>
          </w:p>
          <w:p>
            <w:pPr>
              <w:pStyle w:val="TableParagraph"/>
              <w:ind w:left="107" w:right="184"/>
              <w:jc w:val="center"/>
              <w:rPr>
                <w:sz w:val="18"/>
              </w:rPr>
            </w:pPr>
            <w:r>
              <w:rPr>
                <w:sz w:val="18"/>
              </w:rPr>
              <w:t>48</w:t>
            </w:r>
          </w:p>
          <w:p>
            <w:pPr>
              <w:pStyle w:val="TableParagraph"/>
              <w:spacing w:before="127"/>
              <w:ind w:left="232" w:right="184"/>
              <w:jc w:val="center"/>
              <w:rPr>
                <w:sz w:val="18"/>
              </w:rPr>
            </w:pPr>
            <w:r>
              <w:rPr>
                <w:sz w:val="18"/>
              </w:rPr>
              <w:t>45,7</w:t>
            </w:r>
          </w:p>
        </w:tc>
        <w:tc>
          <w:tcPr>
            <w:tcW w:w="1149" w:type="dxa"/>
            <w:tcBorders>
              <w:top w:val="single" w:sz="4" w:space="0" w:color="000000"/>
              <w:bottom w:val="single" w:sz="4" w:space="0" w:color="000000"/>
            </w:tcBorders>
          </w:tcPr>
          <w:p>
            <w:pPr>
              <w:pStyle w:val="TableParagraph"/>
              <w:spacing w:before="91"/>
              <w:ind w:left="346"/>
              <w:rPr>
                <w:sz w:val="18"/>
              </w:rPr>
            </w:pPr>
            <w:r>
              <w:rPr>
                <w:sz w:val="18"/>
              </w:rPr>
              <w:t>39</w:t>
            </w:r>
          </w:p>
          <w:p>
            <w:pPr>
              <w:pStyle w:val="TableParagraph"/>
              <w:spacing w:before="129"/>
              <w:ind w:left="344"/>
              <w:rPr>
                <w:sz w:val="18"/>
              </w:rPr>
            </w:pPr>
            <w:r>
              <w:rPr>
                <w:sz w:val="18"/>
              </w:rPr>
              <w:t>37,1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346"/>
              <w:rPr>
                <w:sz w:val="18"/>
              </w:rPr>
            </w:pPr>
            <w:r>
              <w:rPr>
                <w:sz w:val="18"/>
              </w:rPr>
              <w:t>28</w:t>
            </w:r>
          </w:p>
          <w:p>
            <w:pPr>
              <w:pStyle w:val="TableParagraph"/>
              <w:spacing w:before="129"/>
              <w:ind w:left="344"/>
              <w:rPr>
                <w:sz w:val="18"/>
              </w:rPr>
            </w:pPr>
            <w:r>
              <w:rPr>
                <w:sz w:val="18"/>
              </w:rPr>
              <w:t>26,2</w:t>
            </w:r>
          </w:p>
          <w:p>
            <w:pPr>
              <w:pStyle w:val="TableParagraph"/>
              <w:rPr>
                <w:b/>
                <w:sz w:val="20"/>
              </w:rPr>
            </w:pPr>
          </w:p>
          <w:p>
            <w:pPr>
              <w:pStyle w:val="TableParagraph"/>
              <w:rPr>
                <w:b/>
                <w:sz w:val="20"/>
              </w:rPr>
            </w:pPr>
          </w:p>
          <w:p>
            <w:pPr>
              <w:pStyle w:val="TableParagraph"/>
              <w:rPr>
                <w:b/>
                <w:sz w:val="20"/>
              </w:rPr>
            </w:pPr>
          </w:p>
          <w:p>
            <w:pPr>
              <w:pStyle w:val="TableParagraph"/>
              <w:spacing w:before="8"/>
              <w:rPr>
                <w:b/>
                <w:sz w:val="19"/>
              </w:rPr>
            </w:pPr>
          </w:p>
          <w:p>
            <w:pPr>
              <w:pStyle w:val="TableParagraph"/>
              <w:ind w:left="346"/>
              <w:rPr>
                <w:sz w:val="18"/>
              </w:rPr>
            </w:pPr>
            <w:r>
              <w:rPr>
                <w:sz w:val="18"/>
              </w:rPr>
              <w:t>39</w:t>
            </w:r>
          </w:p>
          <w:p>
            <w:pPr>
              <w:pStyle w:val="TableParagraph"/>
              <w:spacing w:before="127"/>
              <w:ind w:left="344"/>
              <w:rPr>
                <w:sz w:val="18"/>
              </w:rPr>
            </w:pPr>
            <w:r>
              <w:rPr>
                <w:sz w:val="18"/>
              </w:rPr>
              <w:t>37,1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8"/>
              </w:rPr>
            </w:pPr>
          </w:p>
          <w:p>
            <w:pPr>
              <w:pStyle w:val="TableParagraph"/>
              <w:ind w:left="346"/>
              <w:rPr>
                <w:sz w:val="18"/>
              </w:rPr>
            </w:pPr>
            <w:r>
              <w:rPr>
                <w:sz w:val="18"/>
              </w:rPr>
              <w:t>28</w:t>
            </w:r>
          </w:p>
          <w:p>
            <w:pPr>
              <w:pStyle w:val="TableParagraph"/>
              <w:spacing w:before="127"/>
              <w:ind w:left="344"/>
              <w:rPr>
                <w:sz w:val="18"/>
              </w:rPr>
            </w:pPr>
            <w:r>
              <w:rPr>
                <w:sz w:val="18"/>
              </w:rPr>
              <w:t>26,7</w:t>
            </w:r>
          </w:p>
        </w:tc>
        <w:tc>
          <w:tcPr>
            <w:tcW w:w="1315" w:type="dxa"/>
            <w:tcBorders>
              <w:top w:val="single" w:sz="4" w:space="0" w:color="000000"/>
              <w:bottom w:val="single" w:sz="4" w:space="0" w:color="000000"/>
            </w:tcBorders>
          </w:tcPr>
          <w:p>
            <w:pPr>
              <w:pStyle w:val="TableParagraph"/>
              <w:spacing w:before="91"/>
              <w:ind w:left="330"/>
              <w:rPr>
                <w:sz w:val="18"/>
              </w:rPr>
            </w:pPr>
            <w:r>
              <w:rPr>
                <w:sz w:val="18"/>
              </w:rPr>
              <w:t>11</w:t>
            </w:r>
          </w:p>
          <w:p>
            <w:pPr>
              <w:pStyle w:val="TableParagraph"/>
              <w:spacing w:before="129"/>
              <w:ind w:left="328"/>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18"/>
              </w:rPr>
            </w:pPr>
          </w:p>
          <w:p>
            <w:pPr>
              <w:pStyle w:val="TableParagraph"/>
              <w:ind w:left="330"/>
              <w:rPr>
                <w:sz w:val="18"/>
              </w:rPr>
            </w:pPr>
            <w:r>
              <w:rPr>
                <w:sz w:val="18"/>
              </w:rPr>
              <w:t>13</w:t>
            </w:r>
          </w:p>
          <w:p>
            <w:pPr>
              <w:pStyle w:val="TableParagraph"/>
              <w:spacing w:before="129"/>
              <w:ind w:left="328"/>
              <w:rPr>
                <w:sz w:val="18"/>
              </w:rPr>
            </w:pPr>
            <w:r>
              <w:rPr>
                <w:sz w:val="18"/>
              </w:rPr>
              <w:t>12,4</w:t>
            </w:r>
          </w:p>
          <w:p>
            <w:pPr>
              <w:pStyle w:val="TableParagraph"/>
              <w:rPr>
                <w:b/>
                <w:sz w:val="20"/>
              </w:rPr>
            </w:pPr>
          </w:p>
          <w:p>
            <w:pPr>
              <w:pStyle w:val="TableParagraph"/>
              <w:rPr>
                <w:b/>
                <w:sz w:val="20"/>
              </w:rPr>
            </w:pPr>
          </w:p>
          <w:p>
            <w:pPr>
              <w:pStyle w:val="TableParagraph"/>
              <w:rPr>
                <w:b/>
                <w:sz w:val="20"/>
              </w:rPr>
            </w:pPr>
          </w:p>
          <w:p>
            <w:pPr>
              <w:pStyle w:val="TableParagraph"/>
              <w:spacing w:before="8"/>
              <w:rPr>
                <w:b/>
                <w:sz w:val="19"/>
              </w:rPr>
            </w:pPr>
          </w:p>
          <w:p>
            <w:pPr>
              <w:pStyle w:val="TableParagraph"/>
              <w:ind w:left="330"/>
              <w:rPr>
                <w:sz w:val="18"/>
              </w:rPr>
            </w:pPr>
            <w:r>
              <w:rPr>
                <w:sz w:val="18"/>
              </w:rPr>
              <w:t>11</w:t>
            </w:r>
          </w:p>
          <w:p>
            <w:pPr>
              <w:pStyle w:val="TableParagraph"/>
              <w:spacing w:before="127"/>
              <w:ind w:left="328"/>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8"/>
              </w:rPr>
            </w:pPr>
          </w:p>
          <w:p>
            <w:pPr>
              <w:pStyle w:val="TableParagraph"/>
              <w:ind w:left="330"/>
              <w:rPr>
                <w:sz w:val="18"/>
              </w:rPr>
            </w:pPr>
            <w:r>
              <w:rPr>
                <w:sz w:val="18"/>
              </w:rPr>
              <w:t>11</w:t>
            </w:r>
          </w:p>
          <w:p>
            <w:pPr>
              <w:pStyle w:val="TableParagraph"/>
              <w:spacing w:before="127"/>
              <w:ind w:left="328"/>
              <w:rPr>
                <w:sz w:val="18"/>
              </w:rPr>
            </w:pPr>
            <w:r>
              <w:rPr>
                <w:sz w:val="18"/>
              </w:rPr>
              <w:t>10,5</w:t>
            </w:r>
          </w:p>
        </w:tc>
      </w:tr>
    </w:tbl>
    <w:p>
      <w:pPr>
        <w:spacing w:after="0"/>
        <w:rPr>
          <w:sz w:val="18"/>
        </w:rPr>
        <w:sectPr>
          <w:pgSz w:w="11910" w:h="16840"/>
          <w:pgMar w:header="0" w:footer="976" w:top="1580" w:bottom="1240" w:left="1140" w:right="520"/>
        </w:sectPr>
      </w:pPr>
    </w:p>
    <w:p>
      <w:pPr>
        <w:pStyle w:val="BodyText"/>
        <w:spacing w:before="11"/>
        <w:rPr>
          <w:b/>
          <w:sz w:val="8"/>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94"/>
        <w:gridCol w:w="832"/>
        <w:gridCol w:w="961"/>
        <w:gridCol w:w="1276"/>
        <w:gridCol w:w="1133"/>
        <w:gridCol w:w="1061"/>
        <w:gridCol w:w="1400"/>
      </w:tblGrid>
      <w:tr>
        <w:trPr>
          <w:trHeight w:val="6240" w:hRule="atLeast"/>
        </w:trPr>
        <w:tc>
          <w:tcPr>
            <w:tcW w:w="1994" w:type="dxa"/>
            <w:tcBorders>
              <w:top w:val="single" w:sz="4" w:space="0" w:color="000000"/>
              <w:bottom w:val="single" w:sz="4" w:space="0" w:color="000000"/>
            </w:tcBorders>
          </w:tcPr>
          <w:p>
            <w:pPr>
              <w:pStyle w:val="TableParagraph"/>
              <w:spacing w:line="276" w:lineRule="auto"/>
              <w:ind w:left="115" w:right="105" w:firstLine="50"/>
              <w:jc w:val="both"/>
              <w:rPr>
                <w:sz w:val="18"/>
              </w:rPr>
            </w:pPr>
            <w:r>
              <w:rPr>
                <w:b/>
                <w:sz w:val="18"/>
              </w:rPr>
              <w:t>Soru 38. </w:t>
            </w:r>
            <w:r>
              <w:rPr>
                <w:sz w:val="18"/>
              </w:rPr>
              <w:t>Kurumumuz bir afet durumunda</w:t>
            </w:r>
            <w:r>
              <w:rPr>
                <w:spacing w:val="-18"/>
                <w:sz w:val="18"/>
              </w:rPr>
              <w:t> </w:t>
            </w:r>
            <w:r>
              <w:rPr>
                <w:sz w:val="18"/>
              </w:rPr>
              <w:t>halkı ve kurum personelini doğru şekilde bilgilendir mek için gerekli çalışmaları</w:t>
            </w:r>
            <w:r>
              <w:rPr>
                <w:spacing w:val="-1"/>
                <w:sz w:val="18"/>
              </w:rPr>
              <w:t> </w:t>
            </w:r>
            <w:r>
              <w:rPr>
                <w:sz w:val="18"/>
              </w:rPr>
              <w:t>yapmıştır.</w:t>
            </w:r>
          </w:p>
          <w:p>
            <w:pPr>
              <w:pStyle w:val="TableParagraph"/>
              <w:spacing w:line="276" w:lineRule="auto" w:before="91"/>
              <w:ind w:left="115" w:right="104"/>
              <w:jc w:val="both"/>
              <w:rPr>
                <w:sz w:val="18"/>
              </w:rPr>
            </w:pPr>
            <w:r>
              <w:rPr>
                <w:b/>
                <w:sz w:val="18"/>
              </w:rPr>
              <w:t>Soru 39. </w:t>
            </w:r>
            <w:r>
              <w:rPr>
                <w:sz w:val="18"/>
              </w:rPr>
              <w:t>Kurumumuz temel acil durum yönetimi prosedürlerini (insanları toplu bir şekilde bir yerden tahliye, geçici iskân sağlama, erken uyarı sistemleriyle uyarma, vb.) ihtiyaç duyduğunda icra edebilir.</w:t>
            </w:r>
          </w:p>
          <w:p>
            <w:pPr>
              <w:pStyle w:val="TableParagraph"/>
              <w:tabs>
                <w:tab w:pos="784" w:val="left" w:leader="none"/>
                <w:tab w:pos="1134" w:val="left" w:leader="none"/>
                <w:tab w:pos="1283" w:val="left" w:leader="none"/>
                <w:tab w:pos="1326" w:val="left" w:leader="none"/>
              </w:tabs>
              <w:spacing w:line="276" w:lineRule="auto" w:before="97"/>
              <w:ind w:left="115" w:right="105"/>
              <w:rPr>
                <w:sz w:val="18"/>
              </w:rPr>
            </w:pPr>
            <w:r>
              <w:rPr>
                <w:b/>
                <w:sz w:val="18"/>
              </w:rPr>
              <w:t>Soru 40. </w:t>
            </w:r>
            <w:r>
              <w:rPr>
                <w:sz w:val="18"/>
              </w:rPr>
              <w:t>Olay yerinde kurumumun ve diğer kurumların</w:t>
              <w:tab/>
              <w:t>görevlileri koordineli şekilde çalışırlar.Kritik safhalar daki</w:t>
              <w:tab/>
              <w:t>bu</w:t>
              <w:tab/>
              <w:tab/>
              <w:tab/>
              <w:t>kolektif çalışmaya kimin liderlik edeceği</w:t>
              <w:tab/>
              <w:tab/>
              <w:tab/>
              <w:t>problem oluşturmaz.</w:t>
            </w:r>
          </w:p>
        </w:tc>
        <w:tc>
          <w:tcPr>
            <w:tcW w:w="832" w:type="dxa"/>
            <w:tcBorders>
              <w:top w:val="single" w:sz="4" w:space="0" w:color="000000"/>
              <w:bottom w:val="single" w:sz="4" w:space="0" w:color="000000"/>
            </w:tcBorders>
          </w:tcPr>
          <w:p>
            <w:pPr>
              <w:pStyle w:val="TableParagraph"/>
              <w:spacing w:before="6"/>
              <w:rPr>
                <w:b/>
                <w:sz w:val="28"/>
              </w:rPr>
            </w:pPr>
          </w:p>
          <w:p>
            <w:pPr>
              <w:pStyle w:val="TableParagraph"/>
              <w:spacing w:before="1"/>
              <w:ind w:left="106"/>
              <w:rPr>
                <w:sz w:val="18"/>
              </w:rPr>
            </w:pPr>
            <w:r>
              <w:rPr>
                <w:sz w:val="18"/>
              </w:rPr>
              <w:t>Sayı</w:t>
            </w:r>
          </w:p>
          <w:p>
            <w:pPr>
              <w:pStyle w:val="TableParagraph"/>
              <w:spacing w:line="276" w:lineRule="auto" w:before="126"/>
              <w:ind w:left="197" w:right="237" w:hanging="92"/>
              <w:rPr>
                <w:sz w:val="18"/>
              </w:rPr>
            </w:pPr>
            <w:r>
              <w:rPr>
                <w:sz w:val="18"/>
              </w:rPr>
              <w:t>Yüzde (%)</w:t>
            </w:r>
          </w:p>
          <w:p>
            <w:pPr>
              <w:pStyle w:val="TableParagraph"/>
              <w:rPr>
                <w:b/>
                <w:sz w:val="20"/>
              </w:rPr>
            </w:pPr>
          </w:p>
          <w:p>
            <w:pPr>
              <w:pStyle w:val="TableParagraph"/>
              <w:rPr>
                <w:b/>
                <w:sz w:val="20"/>
              </w:rPr>
            </w:pPr>
          </w:p>
          <w:p>
            <w:pPr>
              <w:pStyle w:val="TableParagraph"/>
              <w:spacing w:before="6"/>
              <w:rPr>
                <w:b/>
                <w:sz w:val="26"/>
              </w:rPr>
            </w:pPr>
          </w:p>
          <w:p>
            <w:pPr>
              <w:pStyle w:val="TableParagraph"/>
              <w:ind w:left="106"/>
              <w:rPr>
                <w:sz w:val="18"/>
              </w:rPr>
            </w:pPr>
            <w:r>
              <w:rPr>
                <w:sz w:val="18"/>
              </w:rPr>
              <w:t>Sayı</w:t>
            </w:r>
          </w:p>
          <w:p>
            <w:pPr>
              <w:pStyle w:val="TableParagraph"/>
              <w:rPr>
                <w:b/>
                <w:sz w:val="20"/>
              </w:rPr>
            </w:pPr>
          </w:p>
          <w:p>
            <w:pPr>
              <w:pStyle w:val="TableParagraph"/>
              <w:rPr>
                <w:b/>
                <w:sz w:val="20"/>
              </w:rPr>
            </w:pPr>
          </w:p>
          <w:p>
            <w:pPr>
              <w:pStyle w:val="TableParagraph"/>
              <w:spacing w:line="278" w:lineRule="auto"/>
              <w:ind w:left="197" w:right="237"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4"/>
              </w:rPr>
            </w:pPr>
          </w:p>
          <w:p>
            <w:pPr>
              <w:pStyle w:val="TableParagraph"/>
              <w:ind w:left="106"/>
              <w:rPr>
                <w:sz w:val="18"/>
              </w:rPr>
            </w:pPr>
            <w:r>
              <w:rPr>
                <w:sz w:val="18"/>
              </w:rPr>
              <w:t>Sayı</w:t>
            </w:r>
          </w:p>
          <w:p>
            <w:pPr>
              <w:pStyle w:val="TableParagraph"/>
              <w:spacing w:line="276" w:lineRule="auto" w:before="129"/>
              <w:ind w:left="197" w:right="237" w:hanging="92"/>
              <w:rPr>
                <w:sz w:val="18"/>
              </w:rPr>
            </w:pPr>
            <w:r>
              <w:rPr>
                <w:sz w:val="18"/>
              </w:rPr>
              <w:t>Yüzde (%)</w:t>
            </w:r>
          </w:p>
        </w:tc>
        <w:tc>
          <w:tcPr>
            <w:tcW w:w="961" w:type="dxa"/>
            <w:tcBorders>
              <w:top w:val="single" w:sz="4" w:space="0" w:color="000000"/>
              <w:bottom w:val="single" w:sz="4" w:space="0" w:color="000000"/>
            </w:tcBorders>
          </w:tcPr>
          <w:p>
            <w:pPr>
              <w:pStyle w:val="TableParagraph"/>
              <w:rPr>
                <w:b/>
                <w:sz w:val="20"/>
              </w:rPr>
            </w:pPr>
          </w:p>
          <w:p>
            <w:pPr>
              <w:pStyle w:val="TableParagraph"/>
              <w:spacing w:before="2"/>
              <w:rPr>
                <w:b/>
                <w:sz w:val="19"/>
              </w:rPr>
            </w:pPr>
          </w:p>
          <w:p>
            <w:pPr>
              <w:pStyle w:val="TableParagraph"/>
              <w:spacing w:before="1"/>
              <w:ind w:left="253"/>
              <w:rPr>
                <w:sz w:val="18"/>
              </w:rPr>
            </w:pPr>
            <w:r>
              <w:rPr>
                <w:sz w:val="18"/>
              </w:rPr>
              <w:t>5</w:t>
            </w:r>
          </w:p>
          <w:p>
            <w:pPr>
              <w:pStyle w:val="TableParagraph"/>
              <w:spacing w:before="126"/>
              <w:ind w:left="253"/>
              <w:rPr>
                <w:sz w:val="18"/>
              </w:rPr>
            </w:pPr>
            <w:r>
              <w:rPr>
                <w:sz w:val="18"/>
              </w:rPr>
              <w:t>4,8</w:t>
            </w:r>
          </w:p>
          <w:p>
            <w:pPr>
              <w:pStyle w:val="TableParagraph"/>
              <w:rPr>
                <w:b/>
                <w:sz w:val="20"/>
              </w:rPr>
            </w:pPr>
          </w:p>
          <w:p>
            <w:pPr>
              <w:pStyle w:val="TableParagraph"/>
              <w:rPr>
                <w:b/>
                <w:sz w:val="20"/>
              </w:rPr>
            </w:pPr>
          </w:p>
          <w:p>
            <w:pPr>
              <w:pStyle w:val="TableParagraph"/>
              <w:rPr>
                <w:b/>
                <w:sz w:val="20"/>
              </w:rPr>
            </w:pPr>
          </w:p>
          <w:p>
            <w:pPr>
              <w:pStyle w:val="TableParagraph"/>
              <w:spacing w:before="1"/>
              <w:rPr>
                <w:b/>
                <w:sz w:val="29"/>
              </w:rPr>
            </w:pPr>
          </w:p>
          <w:p>
            <w:pPr>
              <w:pStyle w:val="TableParagraph"/>
              <w:ind w:left="253"/>
              <w:rPr>
                <w:sz w:val="18"/>
              </w:rPr>
            </w:pPr>
            <w:r>
              <w:rPr>
                <w:sz w:val="18"/>
              </w:rPr>
              <w:t>5</w:t>
            </w:r>
          </w:p>
          <w:p>
            <w:pPr>
              <w:pStyle w:val="TableParagraph"/>
              <w:rPr>
                <w:b/>
                <w:sz w:val="20"/>
              </w:rPr>
            </w:pPr>
          </w:p>
          <w:p>
            <w:pPr>
              <w:pStyle w:val="TableParagraph"/>
              <w:rPr>
                <w:b/>
                <w:sz w:val="20"/>
              </w:rPr>
            </w:pPr>
          </w:p>
          <w:p>
            <w:pPr>
              <w:pStyle w:val="TableParagraph"/>
              <w:ind w:left="253"/>
              <w:rPr>
                <w:sz w:val="18"/>
              </w:rPr>
            </w:pPr>
            <w:r>
              <w:rPr>
                <w:sz w:val="18"/>
              </w:rPr>
              <w:t>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22"/>
              </w:rPr>
            </w:pPr>
          </w:p>
          <w:p>
            <w:pPr>
              <w:pStyle w:val="TableParagraph"/>
              <w:spacing w:before="1"/>
              <w:ind w:left="253"/>
              <w:rPr>
                <w:sz w:val="18"/>
              </w:rPr>
            </w:pPr>
            <w:r>
              <w:rPr>
                <w:sz w:val="18"/>
              </w:rPr>
              <w:t>5</w:t>
            </w:r>
          </w:p>
          <w:p>
            <w:pPr>
              <w:pStyle w:val="TableParagraph"/>
              <w:spacing w:before="126"/>
              <w:ind w:left="253"/>
              <w:rPr>
                <w:sz w:val="18"/>
              </w:rPr>
            </w:pPr>
            <w:r>
              <w:rPr>
                <w:sz w:val="18"/>
              </w:rPr>
              <w:t>4,8</w:t>
            </w:r>
          </w:p>
        </w:tc>
        <w:tc>
          <w:tcPr>
            <w:tcW w:w="1276" w:type="dxa"/>
            <w:tcBorders>
              <w:top w:val="single" w:sz="4" w:space="0" w:color="000000"/>
              <w:bottom w:val="single" w:sz="4" w:space="0" w:color="000000"/>
            </w:tcBorders>
          </w:tcPr>
          <w:p>
            <w:pPr>
              <w:pStyle w:val="TableParagraph"/>
              <w:rPr>
                <w:b/>
                <w:sz w:val="20"/>
              </w:rPr>
            </w:pPr>
          </w:p>
          <w:p>
            <w:pPr>
              <w:pStyle w:val="TableParagraph"/>
              <w:spacing w:before="6"/>
              <w:rPr>
                <w:b/>
                <w:sz w:val="21"/>
              </w:rPr>
            </w:pPr>
          </w:p>
          <w:p>
            <w:pPr>
              <w:pStyle w:val="TableParagraph"/>
              <w:ind w:left="260" w:right="389"/>
              <w:jc w:val="center"/>
              <w:rPr>
                <w:sz w:val="18"/>
              </w:rPr>
            </w:pPr>
            <w:r>
              <w:rPr>
                <w:sz w:val="18"/>
              </w:rPr>
              <w:t>17</w:t>
            </w:r>
          </w:p>
          <w:p>
            <w:pPr>
              <w:pStyle w:val="TableParagraph"/>
              <w:spacing w:before="127"/>
              <w:ind w:left="388" w:right="389"/>
              <w:jc w:val="center"/>
              <w:rPr>
                <w:sz w:val="18"/>
              </w:rPr>
            </w:pPr>
            <w:r>
              <w:rPr>
                <w:sz w:val="18"/>
              </w:rPr>
              <w:t>16,2</w:t>
            </w:r>
          </w:p>
          <w:p>
            <w:pPr>
              <w:pStyle w:val="TableParagraph"/>
              <w:rPr>
                <w:b/>
                <w:sz w:val="20"/>
              </w:rPr>
            </w:pPr>
          </w:p>
          <w:p>
            <w:pPr>
              <w:pStyle w:val="TableParagraph"/>
              <w:rPr>
                <w:b/>
                <w:sz w:val="20"/>
              </w:rPr>
            </w:pPr>
          </w:p>
          <w:p>
            <w:pPr>
              <w:pStyle w:val="TableParagraph"/>
              <w:rPr>
                <w:b/>
                <w:sz w:val="20"/>
              </w:rPr>
            </w:pPr>
          </w:p>
          <w:p>
            <w:pPr>
              <w:pStyle w:val="TableParagraph"/>
              <w:rPr>
                <w:b/>
                <w:sz w:val="29"/>
              </w:rPr>
            </w:pPr>
          </w:p>
          <w:p>
            <w:pPr>
              <w:pStyle w:val="TableParagraph"/>
              <w:ind w:left="260" w:right="389"/>
              <w:jc w:val="center"/>
              <w:rPr>
                <w:sz w:val="18"/>
              </w:rPr>
            </w:pPr>
            <w:r>
              <w:rPr>
                <w:sz w:val="18"/>
              </w:rPr>
              <w:t>17</w:t>
            </w:r>
          </w:p>
          <w:p>
            <w:pPr>
              <w:pStyle w:val="TableParagraph"/>
              <w:rPr>
                <w:b/>
                <w:sz w:val="20"/>
              </w:rPr>
            </w:pPr>
          </w:p>
          <w:p>
            <w:pPr>
              <w:pStyle w:val="TableParagraph"/>
              <w:rPr>
                <w:b/>
                <w:sz w:val="20"/>
              </w:rPr>
            </w:pPr>
          </w:p>
          <w:p>
            <w:pPr>
              <w:pStyle w:val="TableParagraph"/>
              <w:spacing w:before="1"/>
              <w:ind w:left="388" w:right="389"/>
              <w:jc w:val="center"/>
              <w:rPr>
                <w:sz w:val="18"/>
              </w:rPr>
            </w:pPr>
            <w:r>
              <w:rPr>
                <w:sz w:val="18"/>
              </w:rPr>
              <w:t>16,2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22"/>
              </w:rPr>
            </w:pPr>
          </w:p>
          <w:p>
            <w:pPr>
              <w:pStyle w:val="TableParagraph"/>
              <w:ind w:left="260" w:right="389"/>
              <w:jc w:val="center"/>
              <w:rPr>
                <w:sz w:val="18"/>
              </w:rPr>
            </w:pPr>
            <w:r>
              <w:rPr>
                <w:sz w:val="18"/>
              </w:rPr>
              <w:t>12</w:t>
            </w:r>
          </w:p>
          <w:p>
            <w:pPr>
              <w:pStyle w:val="TableParagraph"/>
              <w:spacing w:before="127"/>
              <w:ind w:left="388" w:right="389"/>
              <w:jc w:val="center"/>
              <w:rPr>
                <w:sz w:val="18"/>
              </w:rPr>
            </w:pPr>
            <w:r>
              <w:rPr>
                <w:sz w:val="18"/>
              </w:rPr>
              <w:t>11,4</w:t>
            </w:r>
          </w:p>
        </w:tc>
        <w:tc>
          <w:tcPr>
            <w:tcW w:w="1133" w:type="dxa"/>
            <w:tcBorders>
              <w:top w:val="single" w:sz="4" w:space="0" w:color="000000"/>
              <w:bottom w:val="single" w:sz="4" w:space="0" w:color="000000"/>
            </w:tcBorders>
          </w:tcPr>
          <w:p>
            <w:pPr>
              <w:pStyle w:val="TableParagraph"/>
              <w:rPr>
                <w:b/>
                <w:sz w:val="20"/>
              </w:rPr>
            </w:pPr>
          </w:p>
          <w:p>
            <w:pPr>
              <w:pStyle w:val="TableParagraph"/>
              <w:spacing w:before="6"/>
              <w:rPr>
                <w:b/>
                <w:sz w:val="21"/>
              </w:rPr>
            </w:pPr>
          </w:p>
          <w:p>
            <w:pPr>
              <w:pStyle w:val="TableParagraph"/>
              <w:ind w:left="331" w:right="318"/>
              <w:jc w:val="center"/>
              <w:rPr>
                <w:sz w:val="18"/>
              </w:rPr>
            </w:pPr>
            <w:r>
              <w:rPr>
                <w:sz w:val="18"/>
              </w:rPr>
              <w:t>50</w:t>
            </w:r>
          </w:p>
          <w:p>
            <w:pPr>
              <w:pStyle w:val="TableParagraph"/>
              <w:spacing w:before="127"/>
              <w:ind w:left="459" w:right="318"/>
              <w:jc w:val="center"/>
              <w:rPr>
                <w:sz w:val="18"/>
              </w:rPr>
            </w:pPr>
            <w:r>
              <w:rPr>
                <w:sz w:val="18"/>
              </w:rPr>
              <w:t>47,6</w:t>
            </w:r>
          </w:p>
          <w:p>
            <w:pPr>
              <w:pStyle w:val="TableParagraph"/>
              <w:rPr>
                <w:b/>
                <w:sz w:val="20"/>
              </w:rPr>
            </w:pPr>
          </w:p>
          <w:p>
            <w:pPr>
              <w:pStyle w:val="TableParagraph"/>
              <w:rPr>
                <w:b/>
                <w:sz w:val="20"/>
              </w:rPr>
            </w:pPr>
          </w:p>
          <w:p>
            <w:pPr>
              <w:pStyle w:val="TableParagraph"/>
              <w:rPr>
                <w:b/>
                <w:sz w:val="20"/>
              </w:rPr>
            </w:pPr>
          </w:p>
          <w:p>
            <w:pPr>
              <w:pStyle w:val="TableParagraph"/>
              <w:rPr>
                <w:b/>
                <w:sz w:val="29"/>
              </w:rPr>
            </w:pPr>
          </w:p>
          <w:p>
            <w:pPr>
              <w:pStyle w:val="TableParagraph"/>
              <w:ind w:left="331" w:right="318"/>
              <w:jc w:val="center"/>
              <w:rPr>
                <w:sz w:val="18"/>
              </w:rPr>
            </w:pPr>
            <w:r>
              <w:rPr>
                <w:sz w:val="18"/>
              </w:rPr>
              <w:t>46</w:t>
            </w:r>
          </w:p>
          <w:p>
            <w:pPr>
              <w:pStyle w:val="TableParagraph"/>
              <w:rPr>
                <w:b/>
                <w:sz w:val="20"/>
              </w:rPr>
            </w:pPr>
          </w:p>
          <w:p>
            <w:pPr>
              <w:pStyle w:val="TableParagraph"/>
              <w:rPr>
                <w:b/>
                <w:sz w:val="20"/>
              </w:rPr>
            </w:pPr>
          </w:p>
          <w:p>
            <w:pPr>
              <w:pStyle w:val="TableParagraph"/>
              <w:spacing w:before="1"/>
              <w:ind w:left="459" w:right="318"/>
              <w:jc w:val="center"/>
              <w:rPr>
                <w:sz w:val="18"/>
              </w:rPr>
            </w:pPr>
            <w:r>
              <w:rPr>
                <w:sz w:val="18"/>
              </w:rPr>
              <w:t>43,8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27"/>
              </w:rPr>
            </w:pPr>
          </w:p>
          <w:p>
            <w:pPr>
              <w:pStyle w:val="TableParagraph"/>
              <w:ind w:left="331" w:right="318"/>
              <w:jc w:val="center"/>
              <w:rPr>
                <w:sz w:val="18"/>
              </w:rPr>
            </w:pPr>
            <w:r>
              <w:rPr>
                <w:sz w:val="18"/>
              </w:rPr>
              <w:t>35</w:t>
            </w:r>
          </w:p>
          <w:p>
            <w:pPr>
              <w:pStyle w:val="TableParagraph"/>
              <w:spacing w:before="129"/>
              <w:ind w:left="459" w:right="318"/>
              <w:jc w:val="center"/>
              <w:rPr>
                <w:sz w:val="18"/>
              </w:rPr>
            </w:pPr>
            <w:r>
              <w:rPr>
                <w:sz w:val="18"/>
              </w:rPr>
              <w:t>33,3</w:t>
            </w:r>
          </w:p>
        </w:tc>
        <w:tc>
          <w:tcPr>
            <w:tcW w:w="1061" w:type="dxa"/>
            <w:tcBorders>
              <w:top w:val="single" w:sz="4" w:space="0" w:color="000000"/>
              <w:bottom w:val="single" w:sz="4" w:space="0" w:color="000000"/>
            </w:tcBorders>
          </w:tcPr>
          <w:p>
            <w:pPr>
              <w:pStyle w:val="TableParagraph"/>
              <w:rPr>
                <w:b/>
                <w:sz w:val="20"/>
              </w:rPr>
            </w:pPr>
          </w:p>
          <w:p>
            <w:pPr>
              <w:pStyle w:val="TableParagraph"/>
              <w:spacing w:before="6"/>
              <w:rPr>
                <w:b/>
                <w:sz w:val="21"/>
              </w:rPr>
            </w:pPr>
          </w:p>
          <w:p>
            <w:pPr>
              <w:pStyle w:val="TableParagraph"/>
              <w:ind w:left="337"/>
              <w:rPr>
                <w:sz w:val="18"/>
              </w:rPr>
            </w:pPr>
            <w:r>
              <w:rPr>
                <w:sz w:val="18"/>
              </w:rPr>
              <w:t>25</w:t>
            </w:r>
          </w:p>
          <w:p>
            <w:pPr>
              <w:pStyle w:val="TableParagraph"/>
              <w:spacing w:before="127"/>
              <w:ind w:left="335"/>
              <w:rPr>
                <w:sz w:val="18"/>
              </w:rPr>
            </w:pPr>
            <w:r>
              <w:rPr>
                <w:sz w:val="18"/>
              </w:rPr>
              <w:t>23,8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30"/>
              <w:ind w:left="337"/>
              <w:rPr>
                <w:sz w:val="18"/>
              </w:rPr>
            </w:pPr>
            <w:r>
              <w:rPr>
                <w:sz w:val="18"/>
              </w:rPr>
              <w:t>29</w:t>
            </w:r>
          </w:p>
          <w:p>
            <w:pPr>
              <w:pStyle w:val="TableParagraph"/>
              <w:rPr>
                <w:b/>
                <w:sz w:val="20"/>
              </w:rPr>
            </w:pPr>
          </w:p>
          <w:p>
            <w:pPr>
              <w:pStyle w:val="TableParagraph"/>
              <w:rPr>
                <w:b/>
                <w:sz w:val="20"/>
              </w:rPr>
            </w:pPr>
          </w:p>
          <w:p>
            <w:pPr>
              <w:pStyle w:val="TableParagraph"/>
              <w:spacing w:before="1"/>
              <w:ind w:left="335"/>
              <w:rPr>
                <w:sz w:val="18"/>
              </w:rPr>
            </w:pPr>
            <w:r>
              <w:rPr>
                <w:sz w:val="18"/>
              </w:rPr>
              <w:t>27,6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9"/>
              <w:rPr>
                <w:b/>
                <w:sz w:val="24"/>
              </w:rPr>
            </w:pPr>
          </w:p>
          <w:p>
            <w:pPr>
              <w:pStyle w:val="TableParagraph"/>
              <w:ind w:left="337"/>
              <w:rPr>
                <w:sz w:val="18"/>
              </w:rPr>
            </w:pPr>
            <w:r>
              <w:rPr>
                <w:sz w:val="18"/>
              </w:rPr>
              <w:t>39</w:t>
            </w:r>
          </w:p>
          <w:p>
            <w:pPr>
              <w:pStyle w:val="TableParagraph"/>
              <w:spacing w:before="129"/>
              <w:ind w:left="335"/>
              <w:rPr>
                <w:sz w:val="18"/>
              </w:rPr>
            </w:pPr>
            <w:r>
              <w:rPr>
                <w:sz w:val="18"/>
              </w:rPr>
              <w:t>37,1</w:t>
            </w:r>
          </w:p>
        </w:tc>
        <w:tc>
          <w:tcPr>
            <w:tcW w:w="1400" w:type="dxa"/>
            <w:tcBorders>
              <w:top w:val="single" w:sz="4" w:space="0" w:color="000000"/>
              <w:bottom w:val="single" w:sz="4" w:space="0" w:color="000000"/>
            </w:tcBorders>
          </w:tcPr>
          <w:p>
            <w:pPr>
              <w:pStyle w:val="TableParagraph"/>
              <w:rPr>
                <w:b/>
                <w:sz w:val="20"/>
              </w:rPr>
            </w:pPr>
          </w:p>
          <w:p>
            <w:pPr>
              <w:pStyle w:val="TableParagraph"/>
              <w:spacing w:before="2"/>
              <w:rPr>
                <w:b/>
                <w:sz w:val="19"/>
              </w:rPr>
            </w:pPr>
          </w:p>
          <w:p>
            <w:pPr>
              <w:pStyle w:val="TableParagraph"/>
              <w:spacing w:before="1"/>
              <w:ind w:right="311"/>
              <w:jc w:val="center"/>
              <w:rPr>
                <w:sz w:val="18"/>
              </w:rPr>
            </w:pPr>
            <w:r>
              <w:rPr>
                <w:sz w:val="18"/>
              </w:rPr>
              <w:t>8</w:t>
            </w:r>
          </w:p>
          <w:p>
            <w:pPr>
              <w:pStyle w:val="TableParagraph"/>
              <w:spacing w:before="126"/>
              <w:ind w:left="389" w:right="562"/>
              <w:jc w:val="center"/>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31"/>
              <w:ind w:right="311"/>
              <w:jc w:val="center"/>
              <w:rPr>
                <w:sz w:val="18"/>
              </w:rPr>
            </w:pPr>
            <w:r>
              <w:rPr>
                <w:sz w:val="18"/>
              </w:rPr>
              <w:t>8</w:t>
            </w:r>
          </w:p>
          <w:p>
            <w:pPr>
              <w:pStyle w:val="TableParagraph"/>
              <w:rPr>
                <w:b/>
                <w:sz w:val="20"/>
              </w:rPr>
            </w:pPr>
          </w:p>
          <w:p>
            <w:pPr>
              <w:pStyle w:val="TableParagraph"/>
              <w:rPr>
                <w:b/>
                <w:sz w:val="20"/>
              </w:rPr>
            </w:pPr>
          </w:p>
          <w:p>
            <w:pPr>
              <w:pStyle w:val="TableParagraph"/>
              <w:ind w:left="389" w:right="562"/>
              <w:jc w:val="center"/>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ind w:left="259" w:right="654"/>
              <w:jc w:val="center"/>
              <w:rPr>
                <w:sz w:val="18"/>
              </w:rPr>
            </w:pPr>
            <w:r>
              <w:rPr>
                <w:sz w:val="18"/>
              </w:rPr>
              <w:t>14</w:t>
            </w:r>
          </w:p>
          <w:p>
            <w:pPr>
              <w:pStyle w:val="TableParagraph"/>
              <w:spacing w:before="129"/>
              <w:ind w:left="387" w:right="654"/>
              <w:jc w:val="center"/>
              <w:rPr>
                <w:sz w:val="18"/>
              </w:rPr>
            </w:pPr>
            <w:r>
              <w:rPr>
                <w:sz w:val="18"/>
              </w:rPr>
              <w:t>13,3</w:t>
            </w:r>
          </w:p>
        </w:tc>
      </w:tr>
    </w:tbl>
    <w:p>
      <w:pPr>
        <w:pStyle w:val="BodyText"/>
        <w:rPr>
          <w:b/>
          <w:sz w:val="20"/>
        </w:rPr>
      </w:pPr>
    </w:p>
    <w:p>
      <w:pPr>
        <w:pStyle w:val="BodyText"/>
        <w:spacing w:line="360" w:lineRule="auto" w:before="220"/>
        <w:ind w:left="1128" w:right="609" w:firstLine="768"/>
        <w:jc w:val="both"/>
      </w:pPr>
      <w:r>
        <w:rPr/>
        <w:t>‘‘Kurumum bir afet durumunda, diğer kurumlarla koordinasyonu sağlayabilecek bilgi, beceri ve kabiliyete sahiptir (soru 34)’’ sorusuna, kesinlikle katılmıyorum şıkkının işaretlenme oranı %3,8, katılmıyorum şıkkının işaretlenme oranı %7,6, kararsızım şıkkının işaretlenme oranı %41,0, katılıyorum şıkkının işaretlenme oranı %37,1, kesinlikle katılıyorum şıkkının işaretlenme oranı %10,5’tir.</w:t>
      </w:r>
    </w:p>
    <w:p>
      <w:pPr>
        <w:pStyle w:val="BodyText"/>
        <w:spacing w:line="360" w:lineRule="auto" w:before="2"/>
        <w:ind w:left="1128" w:right="608" w:firstLine="708"/>
        <w:jc w:val="both"/>
      </w:pPr>
      <w:r>
        <w:rPr/>
        <w:t>‘‘Diğer kurumlarla birlikte görev yapacak kurumumuz personeli çalışacağı kurumların imkân ve kabiliyetlerini iyice tanımışlardır (soru 35)’’ sorusuna, kesinlikle katılmıyorum şıkkının işaretlenme oranı %4,8, katılmıyorum şıkkının işaretlenme oranı</w:t>
      </w:r>
    </w:p>
    <w:p>
      <w:pPr>
        <w:pStyle w:val="BodyText"/>
        <w:spacing w:line="360" w:lineRule="auto"/>
        <w:ind w:left="1128" w:right="613"/>
      </w:pPr>
      <w:r>
        <w:rPr/>
        <w:t>%20,0, kararsızım şıkkının işaretlenme oranı %36,2, katılıyorum şıkkının işaretlenme oranı %26,7, kesinlikle katılıyorum şıkkının işaretlenme oranı %12,4’tür.</w:t>
      </w:r>
    </w:p>
    <w:p>
      <w:pPr>
        <w:pStyle w:val="BodyText"/>
        <w:spacing w:line="360" w:lineRule="auto"/>
        <w:ind w:left="1128" w:right="609" w:firstLine="708"/>
        <w:jc w:val="both"/>
      </w:pPr>
      <w:r>
        <w:rPr/>
        <w:t>‘‘Kurumumuzun afette zarar görmesi halinde öncelikle kimlerden nasıl yardım isteneceğini planlamıştır (soru 36)’’ sorusuna, kesinlikle katılmıyorum şıkkının işaretlenme oranı %1,0, katılmıyorum şıkkının işaretlenme oranı %16,2, kararsızım şıkkının işaretlenme oranı %35,2, katılıyorum şıkkının işaretlenme oranı %37,1, kesinlikle katılıyorum şıkkının işaretlenme oranı %10,5’tir.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firstLine="708"/>
        <w:jc w:val="both"/>
      </w:pPr>
      <w:r>
        <w:rPr/>
        <w:t>‘‘Kurumumuz afet durumunda gönüllü insan gücü kaynağını kendi kaynaklarına dâhil</w:t>
      </w:r>
      <w:r>
        <w:rPr>
          <w:spacing w:val="-14"/>
        </w:rPr>
        <w:t> </w:t>
      </w:r>
      <w:r>
        <w:rPr/>
        <w:t>etmeye</w:t>
      </w:r>
      <w:r>
        <w:rPr>
          <w:spacing w:val="-14"/>
        </w:rPr>
        <w:t> </w:t>
      </w:r>
      <w:r>
        <w:rPr/>
        <w:t>dair</w:t>
      </w:r>
      <w:r>
        <w:rPr>
          <w:spacing w:val="-14"/>
        </w:rPr>
        <w:t> </w:t>
      </w:r>
      <w:r>
        <w:rPr/>
        <w:t>planlar</w:t>
      </w:r>
      <w:r>
        <w:rPr>
          <w:spacing w:val="-13"/>
        </w:rPr>
        <w:t> </w:t>
      </w:r>
      <w:r>
        <w:rPr/>
        <w:t>yapmıştır</w:t>
      </w:r>
      <w:r>
        <w:rPr>
          <w:spacing w:val="-11"/>
        </w:rPr>
        <w:t> </w:t>
      </w:r>
      <w:r>
        <w:rPr/>
        <w:t>(soru</w:t>
      </w:r>
      <w:r>
        <w:rPr>
          <w:spacing w:val="-14"/>
        </w:rPr>
        <w:t> </w:t>
      </w:r>
      <w:r>
        <w:rPr/>
        <w:t>37)’’</w:t>
      </w:r>
      <w:r>
        <w:rPr>
          <w:spacing w:val="-15"/>
        </w:rPr>
        <w:t> </w:t>
      </w:r>
      <w:r>
        <w:rPr/>
        <w:t>sorusuna,</w:t>
      </w:r>
      <w:r>
        <w:rPr>
          <w:spacing w:val="-13"/>
        </w:rPr>
        <w:t> </w:t>
      </w:r>
      <w:r>
        <w:rPr/>
        <w:t>kesinlikle</w:t>
      </w:r>
      <w:r>
        <w:rPr>
          <w:spacing w:val="-14"/>
        </w:rPr>
        <w:t> </w:t>
      </w:r>
      <w:r>
        <w:rPr/>
        <w:t>katılmıyorum</w:t>
      </w:r>
      <w:r>
        <w:rPr>
          <w:spacing w:val="-14"/>
        </w:rPr>
        <w:t> </w:t>
      </w:r>
      <w:r>
        <w:rPr/>
        <w:t>şıkkının işaretlenme oranı %4,8, katılmıyorum şıkkının işaretlenme oranı %12,4, kararsızım şıkkının işaretlenme oranı %45,7, katılıyorum şıkkının işaretlenme oranı %26,7, kesinlikle katılıyorum şıkkının işaretlenme oranı %10,5’tir.</w:t>
      </w:r>
    </w:p>
    <w:p>
      <w:pPr>
        <w:pStyle w:val="BodyText"/>
        <w:spacing w:line="360" w:lineRule="auto"/>
        <w:ind w:left="1128" w:right="607" w:firstLine="708"/>
        <w:jc w:val="both"/>
      </w:pPr>
      <w:r>
        <w:rPr/>
        <w:t>‘‘Kurumumuz bir afet durumunda halkı ve kurum personelini doğru şekilde bilgilendirmek için gerekli çalışmaları yapmıştır (soru 38)’’ sorusuna, kesinlikle katılmıyorum şıkkının işaretlenme oranı %4,8, katılmıyorum şıkkının işaretlenme oranı</w:t>
      </w:r>
    </w:p>
    <w:p>
      <w:pPr>
        <w:pStyle w:val="BodyText"/>
        <w:spacing w:line="360" w:lineRule="auto"/>
        <w:ind w:left="1128" w:right="612"/>
        <w:jc w:val="both"/>
      </w:pPr>
      <w:r>
        <w:rPr/>
        <w:t>%16,2, kararsızım şıkkının işaretlenme oranı %47,6, katılıyorum şıkkının işaretlenme oranı %23,8, kesinlikle katılıyorum şıkkının işaretlenme oranı %7,6’dır.</w:t>
      </w:r>
    </w:p>
    <w:p>
      <w:pPr>
        <w:pStyle w:val="BodyText"/>
        <w:spacing w:line="360" w:lineRule="auto" w:before="1"/>
        <w:ind w:left="1128" w:right="609" w:firstLine="708"/>
        <w:jc w:val="both"/>
      </w:pPr>
      <w:r>
        <w:rPr/>
        <w:t>‘‘Kurumumuz temel acil durum yönetimi prosedürlerini (insanları toplu bir şekilde bir yerden tahliye, geçici iskân sağlama, erken uyarı sistemleriyle uyarma, vb.) ihtiyaç duyduğunda icra edebilir (soru 39)’’ sorusuna, kesinlikle katılmıyorum şıkkının işaretlenme oranı %4,8, katılmıyorum şıkkının işaretlenme oranı %16,2, kararsızım şıkkının işaretlenme oranı %43,8, katılıyorum şıkkının işaretlenme oranı %27,6, kesinlikle katılıyorum şıkkının işaretlenme oranı %7,6’dır.</w:t>
      </w:r>
    </w:p>
    <w:p>
      <w:pPr>
        <w:pStyle w:val="BodyText"/>
        <w:spacing w:line="360" w:lineRule="auto"/>
        <w:ind w:left="1128" w:right="611" w:firstLine="708"/>
        <w:jc w:val="both"/>
      </w:pPr>
      <w:r>
        <w:rPr/>
        <w:t>‘‘Olay yerinde kurumumun ve diğer kurumların görevlileri koordineli şekilde çalışırlar. Kritik safhalardaki bu kolektif çalışmaya kimin liderlik edeceği problem oluşturmaz (soru 40)’’ sorusuna, kesinlikle katılmıyorum şıkkının işaretlenme oranı</w:t>
      </w:r>
    </w:p>
    <w:p>
      <w:pPr>
        <w:pStyle w:val="BodyText"/>
        <w:spacing w:line="360" w:lineRule="auto"/>
        <w:ind w:left="1128" w:right="609"/>
        <w:jc w:val="both"/>
      </w:pPr>
      <w:r>
        <w:rPr/>
        <w:t>%4,8, katılmıyorum şıkkının işaretlenme oranı %11,4, kararsızım şıkkının işaretlenme oranı %33,3, katılıyorum şıkkının işaretlenme oranı %37,1, kesinlikle katılıyorum şıkkının işaretlenme oranı %13,3’tür.</w:t>
      </w:r>
    </w:p>
    <w:p>
      <w:pPr>
        <w:pStyle w:val="BodyText"/>
        <w:spacing w:line="360" w:lineRule="auto"/>
        <w:ind w:left="1128" w:right="609" w:firstLine="708"/>
        <w:jc w:val="both"/>
      </w:pPr>
      <w:r>
        <w:rPr/>
        <w:t>Araştırma grubundaki kişilerin personel ve yöneticiler hakkındaki anket sorularının incelenmesi Tablo 4. 10’da gösterilmiştir.</w:t>
      </w:r>
    </w:p>
    <w:p>
      <w:pPr>
        <w:spacing w:after="0" w:line="360" w:lineRule="auto"/>
        <w:jc w:val="both"/>
        <w:sectPr>
          <w:pgSz w:w="11910" w:h="16840"/>
          <w:pgMar w:header="0" w:footer="976" w:top="1580" w:bottom="1240" w:left="1140" w:right="520"/>
        </w:sectPr>
      </w:pPr>
    </w:p>
    <w:p>
      <w:pPr>
        <w:pStyle w:val="Heading1"/>
        <w:spacing w:line="256" w:lineRule="auto" w:before="102"/>
        <w:ind w:left="3807" w:right="688" w:hanging="2593"/>
      </w:pPr>
      <w:r>
        <w:rPr/>
        <w:t>Tablo 4. 10. Araştırma Grubundaki Kişilerin Personel ve Yöneticiler Hakkındaki Anket Sorularının İncelenmesi</w:t>
      </w:r>
    </w:p>
    <w:p>
      <w:pPr>
        <w:pStyle w:val="BodyText"/>
        <w:spacing w:before="10" w:after="1"/>
        <w:rPr>
          <w:b/>
          <w:sz w:val="14"/>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16"/>
        <w:gridCol w:w="786"/>
        <w:gridCol w:w="1246"/>
        <w:gridCol w:w="1335"/>
        <w:gridCol w:w="1112"/>
        <w:gridCol w:w="1170"/>
        <w:gridCol w:w="1296"/>
      </w:tblGrid>
      <w:tr>
        <w:trPr>
          <w:trHeight w:val="637" w:hRule="atLeast"/>
        </w:trPr>
        <w:tc>
          <w:tcPr>
            <w:tcW w:w="1716" w:type="dxa"/>
            <w:tcBorders>
              <w:top w:val="single" w:sz="4" w:space="0" w:color="000000"/>
              <w:bottom w:val="single" w:sz="4" w:space="0" w:color="000000"/>
            </w:tcBorders>
          </w:tcPr>
          <w:p>
            <w:pPr>
              <w:pStyle w:val="TableParagraph"/>
              <w:spacing w:before="95"/>
              <w:ind w:left="118"/>
              <w:rPr>
                <w:b/>
                <w:sz w:val="18"/>
              </w:rPr>
            </w:pPr>
            <w:r>
              <w:rPr>
                <w:b/>
                <w:sz w:val="18"/>
              </w:rPr>
              <w:t>Soru</w:t>
            </w:r>
          </w:p>
        </w:tc>
        <w:tc>
          <w:tcPr>
            <w:tcW w:w="786" w:type="dxa"/>
            <w:tcBorders>
              <w:top w:val="single" w:sz="4" w:space="0" w:color="000000"/>
              <w:bottom w:val="single" w:sz="4" w:space="0" w:color="000000"/>
            </w:tcBorders>
          </w:tcPr>
          <w:p>
            <w:pPr>
              <w:pStyle w:val="TableParagraph"/>
              <w:rPr>
                <w:sz w:val="18"/>
              </w:rPr>
            </w:pPr>
          </w:p>
        </w:tc>
        <w:tc>
          <w:tcPr>
            <w:tcW w:w="1246" w:type="dxa"/>
            <w:tcBorders>
              <w:top w:val="single" w:sz="4" w:space="0" w:color="000000"/>
              <w:bottom w:val="single" w:sz="4" w:space="0" w:color="000000"/>
            </w:tcBorders>
          </w:tcPr>
          <w:p>
            <w:pPr>
              <w:pStyle w:val="TableParagraph"/>
              <w:spacing w:line="259" w:lineRule="auto" w:before="95"/>
              <w:ind w:left="29" w:right="97"/>
              <w:rPr>
                <w:b/>
                <w:sz w:val="18"/>
              </w:rPr>
            </w:pPr>
            <w:r>
              <w:rPr>
                <w:b/>
                <w:sz w:val="18"/>
              </w:rPr>
              <w:t>Kesinlikle Katılmıyorum</w:t>
            </w:r>
          </w:p>
        </w:tc>
        <w:tc>
          <w:tcPr>
            <w:tcW w:w="1335" w:type="dxa"/>
            <w:tcBorders>
              <w:top w:val="single" w:sz="4" w:space="0" w:color="000000"/>
              <w:bottom w:val="single" w:sz="4" w:space="0" w:color="000000"/>
            </w:tcBorders>
          </w:tcPr>
          <w:p>
            <w:pPr>
              <w:pStyle w:val="TableParagraph"/>
              <w:spacing w:before="95"/>
              <w:ind w:left="115"/>
              <w:rPr>
                <w:b/>
                <w:sz w:val="18"/>
              </w:rPr>
            </w:pPr>
            <w:r>
              <w:rPr>
                <w:b/>
                <w:sz w:val="18"/>
              </w:rPr>
              <w:t>Katılmıyorum</w:t>
            </w:r>
          </w:p>
        </w:tc>
        <w:tc>
          <w:tcPr>
            <w:tcW w:w="1112" w:type="dxa"/>
            <w:tcBorders>
              <w:top w:val="single" w:sz="4" w:space="0" w:color="000000"/>
              <w:bottom w:val="single" w:sz="4" w:space="0" w:color="000000"/>
            </w:tcBorders>
          </w:tcPr>
          <w:p>
            <w:pPr>
              <w:pStyle w:val="TableParagraph"/>
              <w:spacing w:before="95"/>
              <w:ind w:left="117"/>
              <w:rPr>
                <w:b/>
                <w:sz w:val="18"/>
              </w:rPr>
            </w:pPr>
            <w:r>
              <w:rPr>
                <w:b/>
                <w:sz w:val="18"/>
              </w:rPr>
              <w:t>Kararsızım</w:t>
            </w:r>
          </w:p>
        </w:tc>
        <w:tc>
          <w:tcPr>
            <w:tcW w:w="1170" w:type="dxa"/>
            <w:tcBorders>
              <w:top w:val="single" w:sz="4" w:space="0" w:color="000000"/>
              <w:bottom w:val="single" w:sz="4" w:space="0" w:color="000000"/>
            </w:tcBorders>
          </w:tcPr>
          <w:p>
            <w:pPr>
              <w:pStyle w:val="TableParagraph"/>
              <w:spacing w:before="95"/>
              <w:ind w:left="109"/>
              <w:rPr>
                <w:b/>
                <w:sz w:val="18"/>
              </w:rPr>
            </w:pPr>
            <w:r>
              <w:rPr>
                <w:b/>
                <w:sz w:val="18"/>
              </w:rPr>
              <w:t>Katılıyorum</w:t>
            </w:r>
          </w:p>
        </w:tc>
        <w:tc>
          <w:tcPr>
            <w:tcW w:w="1296" w:type="dxa"/>
            <w:tcBorders>
              <w:top w:val="single" w:sz="4" w:space="0" w:color="000000"/>
              <w:bottom w:val="single" w:sz="4" w:space="0" w:color="000000"/>
            </w:tcBorders>
          </w:tcPr>
          <w:p>
            <w:pPr>
              <w:pStyle w:val="TableParagraph"/>
              <w:spacing w:line="259" w:lineRule="auto" w:before="95"/>
              <w:ind w:left="106" w:right="220"/>
              <w:rPr>
                <w:b/>
                <w:sz w:val="18"/>
              </w:rPr>
            </w:pPr>
            <w:r>
              <w:rPr>
                <w:b/>
                <w:sz w:val="18"/>
              </w:rPr>
              <w:t>Kesinlikle Katılıyorum</w:t>
            </w:r>
          </w:p>
        </w:tc>
      </w:tr>
      <w:tr>
        <w:trPr>
          <w:trHeight w:val="312" w:hRule="atLeast"/>
        </w:trPr>
        <w:tc>
          <w:tcPr>
            <w:tcW w:w="1716" w:type="dxa"/>
            <w:tcBorders>
              <w:top w:val="single" w:sz="4" w:space="0" w:color="000000"/>
            </w:tcBorders>
          </w:tcPr>
          <w:p>
            <w:pPr>
              <w:pStyle w:val="TableParagraph"/>
              <w:spacing w:line="201" w:lineRule="exact" w:before="91"/>
              <w:ind w:left="118"/>
              <w:rPr>
                <w:sz w:val="18"/>
              </w:rPr>
            </w:pPr>
            <w:r>
              <w:rPr>
                <w:b/>
                <w:sz w:val="18"/>
              </w:rPr>
              <w:t>Soru 41. </w:t>
            </w:r>
            <w:r>
              <w:rPr>
                <w:sz w:val="18"/>
              </w:rPr>
              <w:t>Bir afet</w:t>
            </w:r>
          </w:p>
        </w:tc>
        <w:tc>
          <w:tcPr>
            <w:tcW w:w="786" w:type="dxa"/>
            <w:vMerge w:val="restart"/>
            <w:tcBorders>
              <w:top w:val="single" w:sz="4" w:space="0" w:color="000000"/>
              <w:bottom w:val="single" w:sz="4" w:space="0" w:color="000000"/>
            </w:tcBorders>
          </w:tcPr>
          <w:p>
            <w:pPr>
              <w:pStyle w:val="TableParagraph"/>
              <w:spacing w:before="91"/>
              <w:ind w:left="148"/>
              <w:rPr>
                <w:sz w:val="18"/>
              </w:rPr>
            </w:pPr>
            <w:r>
              <w:rPr>
                <w:sz w:val="18"/>
              </w:rPr>
              <w:t>Sayı</w:t>
            </w:r>
          </w:p>
          <w:p>
            <w:pPr>
              <w:pStyle w:val="TableParagraph"/>
              <w:spacing w:line="276" w:lineRule="auto" w:before="126"/>
              <w:ind w:left="198" w:right="19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79"/>
              <w:ind w:left="107"/>
              <w:rPr>
                <w:sz w:val="18"/>
              </w:rPr>
            </w:pPr>
            <w:r>
              <w:rPr>
                <w:sz w:val="18"/>
              </w:rPr>
              <w:t>Sayı</w:t>
            </w:r>
          </w:p>
          <w:p>
            <w:pPr>
              <w:pStyle w:val="TableParagraph"/>
              <w:spacing w:line="278" w:lineRule="auto" w:before="127"/>
              <w:ind w:left="198" w:right="19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4"/>
              </w:rPr>
            </w:pPr>
          </w:p>
          <w:p>
            <w:pPr>
              <w:pStyle w:val="TableParagraph"/>
              <w:ind w:left="107"/>
              <w:rPr>
                <w:sz w:val="18"/>
              </w:rPr>
            </w:pPr>
            <w:r>
              <w:rPr>
                <w:sz w:val="18"/>
              </w:rPr>
              <w:t>Sayı</w:t>
            </w:r>
          </w:p>
          <w:p>
            <w:pPr>
              <w:pStyle w:val="TableParagraph"/>
              <w:spacing w:line="276" w:lineRule="auto" w:before="129"/>
              <w:ind w:left="198" w:right="19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24"/>
              </w:rPr>
            </w:pPr>
          </w:p>
          <w:p>
            <w:pPr>
              <w:pStyle w:val="TableParagraph"/>
              <w:ind w:left="107"/>
              <w:rPr>
                <w:sz w:val="18"/>
              </w:rPr>
            </w:pPr>
            <w:r>
              <w:rPr>
                <w:sz w:val="18"/>
              </w:rPr>
              <w:t>Sayı</w:t>
            </w:r>
          </w:p>
          <w:p>
            <w:pPr>
              <w:pStyle w:val="TableParagraph"/>
              <w:spacing w:line="276" w:lineRule="auto" w:before="127"/>
              <w:ind w:left="198" w:right="19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24"/>
              </w:rPr>
            </w:pPr>
          </w:p>
          <w:p>
            <w:pPr>
              <w:pStyle w:val="TableParagraph"/>
              <w:ind w:left="107"/>
              <w:rPr>
                <w:sz w:val="18"/>
              </w:rPr>
            </w:pPr>
            <w:r>
              <w:rPr>
                <w:sz w:val="18"/>
              </w:rPr>
              <w:t>Sayı</w:t>
            </w:r>
          </w:p>
          <w:p>
            <w:pPr>
              <w:pStyle w:val="TableParagraph"/>
              <w:spacing w:line="276" w:lineRule="auto" w:before="127"/>
              <w:ind w:left="198" w:right="190"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56"/>
              <w:ind w:left="107"/>
              <w:rPr>
                <w:sz w:val="18"/>
              </w:rPr>
            </w:pPr>
            <w:r>
              <w:rPr>
                <w:sz w:val="18"/>
              </w:rPr>
              <w:t>Sayı</w:t>
            </w:r>
          </w:p>
        </w:tc>
        <w:tc>
          <w:tcPr>
            <w:tcW w:w="1246" w:type="dxa"/>
            <w:vMerge w:val="restart"/>
            <w:tcBorders>
              <w:top w:val="single" w:sz="4" w:space="0" w:color="000000"/>
              <w:bottom w:val="single" w:sz="4" w:space="0" w:color="000000"/>
            </w:tcBorders>
          </w:tcPr>
          <w:p>
            <w:pPr>
              <w:pStyle w:val="TableParagraph"/>
              <w:spacing w:before="91"/>
              <w:ind w:left="298"/>
              <w:rPr>
                <w:sz w:val="18"/>
              </w:rPr>
            </w:pPr>
            <w:r>
              <w:rPr>
                <w:sz w:val="18"/>
              </w:rPr>
              <w:t>4</w:t>
            </w:r>
          </w:p>
          <w:p>
            <w:pPr>
              <w:pStyle w:val="TableParagraph"/>
              <w:spacing w:before="126"/>
              <w:ind w:left="298"/>
              <w:rPr>
                <w:sz w:val="18"/>
              </w:rPr>
            </w:pPr>
            <w:r>
              <w:rPr>
                <w:sz w:val="18"/>
              </w:rPr>
              <w:t>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7"/>
              </w:rPr>
            </w:pPr>
          </w:p>
          <w:p>
            <w:pPr>
              <w:pStyle w:val="TableParagraph"/>
              <w:ind w:left="298"/>
              <w:rPr>
                <w:sz w:val="18"/>
              </w:rPr>
            </w:pPr>
            <w:r>
              <w:rPr>
                <w:sz w:val="18"/>
              </w:rPr>
              <w:t>4</w:t>
            </w:r>
          </w:p>
          <w:p>
            <w:pPr>
              <w:pStyle w:val="TableParagraph"/>
              <w:spacing w:before="127"/>
              <w:ind w:left="298"/>
              <w:rPr>
                <w:sz w:val="18"/>
              </w:rPr>
            </w:pPr>
            <w:r>
              <w:rPr>
                <w:sz w:val="18"/>
              </w:rPr>
              <w:t>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spacing w:before="1"/>
              <w:ind w:left="298"/>
              <w:rPr>
                <w:sz w:val="18"/>
              </w:rPr>
            </w:pPr>
            <w:r>
              <w:rPr>
                <w:sz w:val="18"/>
              </w:rPr>
              <w:t>8</w:t>
            </w:r>
          </w:p>
          <w:p>
            <w:pPr>
              <w:pStyle w:val="TableParagraph"/>
              <w:spacing w:before="126"/>
              <w:ind w:left="298"/>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16"/>
              </w:rPr>
            </w:pPr>
          </w:p>
          <w:p>
            <w:pPr>
              <w:pStyle w:val="TableParagraph"/>
              <w:ind w:left="298"/>
              <w:rPr>
                <w:sz w:val="18"/>
              </w:rPr>
            </w:pPr>
            <w:r>
              <w:rPr>
                <w:sz w:val="18"/>
              </w:rPr>
              <w:t>9</w:t>
            </w:r>
          </w:p>
          <w:p>
            <w:pPr>
              <w:pStyle w:val="TableParagraph"/>
              <w:spacing w:before="127"/>
              <w:ind w:left="298"/>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09"/>
              <w:rPr>
                <w:sz w:val="18"/>
              </w:rPr>
            </w:pPr>
            <w:r>
              <w:rPr>
                <w:sz w:val="18"/>
              </w:rPr>
              <w:t>11</w:t>
            </w:r>
          </w:p>
          <w:p>
            <w:pPr>
              <w:pStyle w:val="TableParagraph"/>
              <w:spacing w:before="127"/>
              <w:ind w:left="206"/>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5"/>
              </w:rPr>
            </w:pPr>
          </w:p>
          <w:p>
            <w:pPr>
              <w:pStyle w:val="TableParagraph"/>
              <w:ind w:left="298"/>
              <w:rPr>
                <w:sz w:val="18"/>
              </w:rPr>
            </w:pPr>
            <w:r>
              <w:rPr>
                <w:sz w:val="18"/>
              </w:rPr>
              <w:t>8</w:t>
            </w:r>
          </w:p>
        </w:tc>
        <w:tc>
          <w:tcPr>
            <w:tcW w:w="1335" w:type="dxa"/>
            <w:vMerge w:val="restart"/>
            <w:tcBorders>
              <w:top w:val="single" w:sz="4" w:space="0" w:color="000000"/>
              <w:bottom w:val="single" w:sz="4" w:space="0" w:color="000000"/>
            </w:tcBorders>
          </w:tcPr>
          <w:p>
            <w:pPr>
              <w:pStyle w:val="TableParagraph"/>
              <w:spacing w:before="91"/>
              <w:ind w:left="295"/>
              <w:rPr>
                <w:sz w:val="18"/>
              </w:rPr>
            </w:pPr>
            <w:r>
              <w:rPr>
                <w:sz w:val="18"/>
              </w:rPr>
              <w:t>23</w:t>
            </w:r>
          </w:p>
          <w:p>
            <w:pPr>
              <w:pStyle w:val="TableParagraph"/>
              <w:spacing w:before="126"/>
              <w:ind w:left="293"/>
              <w:rPr>
                <w:sz w:val="18"/>
              </w:rPr>
            </w:pPr>
            <w:r>
              <w:rPr>
                <w:sz w:val="18"/>
              </w:rPr>
              <w:t>21,9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7"/>
              </w:rPr>
            </w:pPr>
          </w:p>
          <w:p>
            <w:pPr>
              <w:pStyle w:val="TableParagraph"/>
              <w:ind w:left="295"/>
              <w:rPr>
                <w:sz w:val="18"/>
              </w:rPr>
            </w:pPr>
            <w:r>
              <w:rPr>
                <w:sz w:val="18"/>
              </w:rPr>
              <w:t>20</w:t>
            </w:r>
          </w:p>
          <w:p>
            <w:pPr>
              <w:pStyle w:val="TableParagraph"/>
              <w:spacing w:before="127"/>
              <w:ind w:left="293"/>
              <w:rPr>
                <w:sz w:val="18"/>
              </w:rPr>
            </w:pPr>
            <w:r>
              <w:rPr>
                <w:sz w:val="18"/>
              </w:rPr>
              <w:t>19,0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spacing w:before="1"/>
              <w:ind w:left="295"/>
              <w:rPr>
                <w:sz w:val="18"/>
              </w:rPr>
            </w:pPr>
            <w:r>
              <w:rPr>
                <w:sz w:val="18"/>
              </w:rPr>
              <w:t>19</w:t>
            </w:r>
          </w:p>
          <w:p>
            <w:pPr>
              <w:pStyle w:val="TableParagraph"/>
              <w:spacing w:before="126"/>
              <w:ind w:left="293"/>
              <w:rPr>
                <w:sz w:val="18"/>
              </w:rPr>
            </w:pPr>
            <w:r>
              <w:rPr>
                <w:sz w:val="18"/>
              </w:rPr>
              <w:t>18,1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16"/>
              </w:rPr>
            </w:pPr>
          </w:p>
          <w:p>
            <w:pPr>
              <w:pStyle w:val="TableParagraph"/>
              <w:ind w:left="295"/>
              <w:rPr>
                <w:sz w:val="18"/>
              </w:rPr>
            </w:pPr>
            <w:r>
              <w:rPr>
                <w:sz w:val="18"/>
              </w:rPr>
              <w:t>25</w:t>
            </w:r>
          </w:p>
          <w:p>
            <w:pPr>
              <w:pStyle w:val="TableParagraph"/>
              <w:spacing w:before="127"/>
              <w:ind w:left="293"/>
              <w:rPr>
                <w:sz w:val="18"/>
              </w:rPr>
            </w:pPr>
            <w:r>
              <w:rPr>
                <w:sz w:val="18"/>
              </w:rPr>
              <w:t>23,8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95"/>
              <w:rPr>
                <w:sz w:val="18"/>
              </w:rPr>
            </w:pPr>
            <w:r>
              <w:rPr>
                <w:sz w:val="18"/>
              </w:rPr>
              <w:t>20</w:t>
            </w:r>
          </w:p>
          <w:p>
            <w:pPr>
              <w:pStyle w:val="TableParagraph"/>
              <w:spacing w:before="127"/>
              <w:ind w:left="293"/>
              <w:rPr>
                <w:sz w:val="18"/>
              </w:rPr>
            </w:pPr>
            <w:r>
              <w:rPr>
                <w:sz w:val="18"/>
              </w:rPr>
              <w:t>19,0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5"/>
              </w:rPr>
            </w:pPr>
          </w:p>
          <w:p>
            <w:pPr>
              <w:pStyle w:val="TableParagraph"/>
              <w:ind w:left="295"/>
              <w:rPr>
                <w:sz w:val="18"/>
              </w:rPr>
            </w:pPr>
            <w:r>
              <w:rPr>
                <w:sz w:val="18"/>
              </w:rPr>
              <w:t>21</w:t>
            </w:r>
          </w:p>
        </w:tc>
        <w:tc>
          <w:tcPr>
            <w:tcW w:w="1112" w:type="dxa"/>
            <w:vMerge w:val="restart"/>
            <w:tcBorders>
              <w:top w:val="single" w:sz="4" w:space="0" w:color="000000"/>
              <w:bottom w:val="single" w:sz="4" w:space="0" w:color="000000"/>
            </w:tcBorders>
          </w:tcPr>
          <w:p>
            <w:pPr>
              <w:pStyle w:val="TableParagraph"/>
              <w:spacing w:before="91"/>
              <w:ind w:left="297"/>
              <w:rPr>
                <w:sz w:val="18"/>
              </w:rPr>
            </w:pPr>
            <w:r>
              <w:rPr>
                <w:sz w:val="18"/>
              </w:rPr>
              <w:t>40</w:t>
            </w:r>
          </w:p>
          <w:p>
            <w:pPr>
              <w:pStyle w:val="TableParagraph"/>
              <w:spacing w:before="126"/>
              <w:ind w:left="295"/>
              <w:rPr>
                <w:sz w:val="18"/>
              </w:rPr>
            </w:pPr>
            <w:r>
              <w:rPr>
                <w:sz w:val="18"/>
              </w:rPr>
              <w:t>38,1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7"/>
              </w:rPr>
            </w:pPr>
          </w:p>
          <w:p>
            <w:pPr>
              <w:pStyle w:val="TableParagraph"/>
              <w:ind w:left="297"/>
              <w:rPr>
                <w:sz w:val="18"/>
              </w:rPr>
            </w:pPr>
            <w:r>
              <w:rPr>
                <w:sz w:val="18"/>
              </w:rPr>
              <w:t>45</w:t>
            </w:r>
          </w:p>
          <w:p>
            <w:pPr>
              <w:pStyle w:val="TableParagraph"/>
              <w:spacing w:before="127"/>
              <w:ind w:left="295"/>
              <w:rPr>
                <w:sz w:val="18"/>
              </w:rPr>
            </w:pPr>
            <w:r>
              <w:rPr>
                <w:sz w:val="18"/>
              </w:rPr>
              <w:t>42,9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spacing w:before="1"/>
              <w:ind w:left="297"/>
              <w:rPr>
                <w:sz w:val="18"/>
              </w:rPr>
            </w:pPr>
            <w:r>
              <w:rPr>
                <w:sz w:val="18"/>
              </w:rPr>
              <w:t>36</w:t>
            </w:r>
          </w:p>
          <w:p>
            <w:pPr>
              <w:pStyle w:val="TableParagraph"/>
              <w:spacing w:before="126"/>
              <w:ind w:left="295"/>
              <w:rPr>
                <w:sz w:val="18"/>
              </w:rPr>
            </w:pPr>
            <w:r>
              <w:rPr>
                <w:sz w:val="18"/>
              </w:rPr>
              <w:t>34,3</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16"/>
              </w:rPr>
            </w:pPr>
          </w:p>
          <w:p>
            <w:pPr>
              <w:pStyle w:val="TableParagraph"/>
              <w:ind w:left="297"/>
              <w:rPr>
                <w:sz w:val="18"/>
              </w:rPr>
            </w:pPr>
            <w:r>
              <w:rPr>
                <w:sz w:val="18"/>
              </w:rPr>
              <w:t>38</w:t>
            </w:r>
          </w:p>
          <w:p>
            <w:pPr>
              <w:pStyle w:val="TableParagraph"/>
              <w:spacing w:before="127"/>
              <w:ind w:left="295"/>
              <w:rPr>
                <w:sz w:val="18"/>
              </w:rPr>
            </w:pPr>
            <w:r>
              <w:rPr>
                <w:sz w:val="18"/>
              </w:rPr>
              <w:t>36,2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97"/>
              <w:rPr>
                <w:sz w:val="18"/>
              </w:rPr>
            </w:pPr>
            <w:r>
              <w:rPr>
                <w:sz w:val="18"/>
              </w:rPr>
              <w:t>42</w:t>
            </w:r>
          </w:p>
          <w:p>
            <w:pPr>
              <w:pStyle w:val="TableParagraph"/>
              <w:spacing w:before="127"/>
              <w:ind w:left="295"/>
              <w:rPr>
                <w:sz w:val="18"/>
              </w:rPr>
            </w:pPr>
            <w:r>
              <w:rPr>
                <w:sz w:val="18"/>
              </w:rPr>
              <w:t>40,0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5"/>
              </w:rPr>
            </w:pPr>
          </w:p>
          <w:p>
            <w:pPr>
              <w:pStyle w:val="TableParagraph"/>
              <w:ind w:left="297"/>
              <w:rPr>
                <w:sz w:val="18"/>
              </w:rPr>
            </w:pPr>
            <w:r>
              <w:rPr>
                <w:sz w:val="18"/>
              </w:rPr>
              <w:t>45</w:t>
            </w:r>
          </w:p>
        </w:tc>
        <w:tc>
          <w:tcPr>
            <w:tcW w:w="1170" w:type="dxa"/>
            <w:vMerge w:val="restart"/>
            <w:tcBorders>
              <w:top w:val="single" w:sz="4" w:space="0" w:color="000000"/>
              <w:bottom w:val="single" w:sz="4" w:space="0" w:color="000000"/>
            </w:tcBorders>
          </w:tcPr>
          <w:p>
            <w:pPr>
              <w:pStyle w:val="TableParagraph"/>
              <w:spacing w:before="91"/>
              <w:ind w:left="289"/>
              <w:rPr>
                <w:sz w:val="18"/>
              </w:rPr>
            </w:pPr>
            <w:r>
              <w:rPr>
                <w:sz w:val="18"/>
              </w:rPr>
              <w:t>29</w:t>
            </w:r>
          </w:p>
          <w:p>
            <w:pPr>
              <w:pStyle w:val="TableParagraph"/>
              <w:spacing w:before="126"/>
              <w:ind w:left="287"/>
              <w:rPr>
                <w:sz w:val="18"/>
              </w:rPr>
            </w:pPr>
            <w:r>
              <w:rPr>
                <w:sz w:val="18"/>
              </w:rPr>
              <w:t>27,6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7"/>
              </w:rPr>
            </w:pPr>
          </w:p>
          <w:p>
            <w:pPr>
              <w:pStyle w:val="TableParagraph"/>
              <w:ind w:left="289"/>
              <w:rPr>
                <w:sz w:val="18"/>
              </w:rPr>
            </w:pPr>
            <w:r>
              <w:rPr>
                <w:sz w:val="18"/>
              </w:rPr>
              <w:t>27</w:t>
            </w:r>
          </w:p>
          <w:p>
            <w:pPr>
              <w:pStyle w:val="TableParagraph"/>
              <w:spacing w:before="127"/>
              <w:ind w:left="287"/>
              <w:rPr>
                <w:sz w:val="18"/>
              </w:rPr>
            </w:pPr>
            <w:r>
              <w:rPr>
                <w:sz w:val="18"/>
              </w:rPr>
              <w:t>25,7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spacing w:before="1"/>
              <w:ind w:left="289"/>
              <w:rPr>
                <w:sz w:val="18"/>
              </w:rPr>
            </w:pPr>
            <w:r>
              <w:rPr>
                <w:sz w:val="18"/>
              </w:rPr>
              <w:t>33</w:t>
            </w:r>
          </w:p>
          <w:p>
            <w:pPr>
              <w:pStyle w:val="TableParagraph"/>
              <w:spacing w:before="126"/>
              <w:ind w:left="287"/>
              <w:rPr>
                <w:sz w:val="18"/>
              </w:rPr>
            </w:pPr>
            <w:r>
              <w:rPr>
                <w:sz w:val="18"/>
              </w:rPr>
              <w:t>31,4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16"/>
              </w:rPr>
            </w:pPr>
          </w:p>
          <w:p>
            <w:pPr>
              <w:pStyle w:val="TableParagraph"/>
              <w:ind w:left="289"/>
              <w:rPr>
                <w:sz w:val="18"/>
              </w:rPr>
            </w:pPr>
            <w:r>
              <w:rPr>
                <w:sz w:val="18"/>
              </w:rPr>
              <w:t>26</w:t>
            </w:r>
          </w:p>
          <w:p>
            <w:pPr>
              <w:pStyle w:val="TableParagraph"/>
              <w:spacing w:before="127"/>
              <w:ind w:left="287"/>
              <w:rPr>
                <w:sz w:val="18"/>
              </w:rPr>
            </w:pPr>
            <w:r>
              <w:rPr>
                <w:sz w:val="18"/>
              </w:rPr>
              <w:t>24,8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89"/>
              <w:rPr>
                <w:sz w:val="18"/>
              </w:rPr>
            </w:pPr>
            <w:r>
              <w:rPr>
                <w:sz w:val="18"/>
              </w:rPr>
              <w:t>24</w:t>
            </w:r>
          </w:p>
          <w:p>
            <w:pPr>
              <w:pStyle w:val="TableParagraph"/>
              <w:spacing w:before="127"/>
              <w:ind w:left="287"/>
              <w:rPr>
                <w:sz w:val="18"/>
              </w:rPr>
            </w:pPr>
            <w:r>
              <w:rPr>
                <w:sz w:val="18"/>
              </w:rPr>
              <w:t>22,9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5"/>
              </w:rPr>
            </w:pPr>
          </w:p>
          <w:p>
            <w:pPr>
              <w:pStyle w:val="TableParagraph"/>
              <w:ind w:left="289"/>
              <w:rPr>
                <w:sz w:val="18"/>
              </w:rPr>
            </w:pPr>
            <w:r>
              <w:rPr>
                <w:sz w:val="18"/>
              </w:rPr>
              <w:t>26</w:t>
            </w:r>
          </w:p>
        </w:tc>
        <w:tc>
          <w:tcPr>
            <w:tcW w:w="1296" w:type="dxa"/>
            <w:vMerge w:val="restart"/>
            <w:tcBorders>
              <w:top w:val="single" w:sz="4" w:space="0" w:color="000000"/>
              <w:bottom w:val="single" w:sz="4" w:space="0" w:color="000000"/>
            </w:tcBorders>
          </w:tcPr>
          <w:p>
            <w:pPr>
              <w:pStyle w:val="TableParagraph"/>
              <w:spacing w:before="91"/>
              <w:ind w:left="312"/>
              <w:rPr>
                <w:sz w:val="18"/>
              </w:rPr>
            </w:pPr>
            <w:r>
              <w:rPr>
                <w:sz w:val="18"/>
              </w:rPr>
              <w:t>9</w:t>
            </w:r>
          </w:p>
          <w:p>
            <w:pPr>
              <w:pStyle w:val="TableParagraph"/>
              <w:spacing w:before="126"/>
              <w:ind w:left="312"/>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7"/>
              </w:rPr>
            </w:pPr>
          </w:p>
          <w:p>
            <w:pPr>
              <w:pStyle w:val="TableParagraph"/>
              <w:ind w:left="312"/>
              <w:rPr>
                <w:sz w:val="18"/>
              </w:rPr>
            </w:pPr>
            <w:r>
              <w:rPr>
                <w:sz w:val="18"/>
              </w:rPr>
              <w:t>9</w:t>
            </w:r>
          </w:p>
          <w:p>
            <w:pPr>
              <w:pStyle w:val="TableParagraph"/>
              <w:spacing w:before="127"/>
              <w:ind w:left="312"/>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2"/>
              <w:rPr>
                <w:b/>
                <w:sz w:val="27"/>
              </w:rPr>
            </w:pPr>
          </w:p>
          <w:p>
            <w:pPr>
              <w:pStyle w:val="TableParagraph"/>
              <w:spacing w:before="1"/>
              <w:ind w:left="312"/>
              <w:rPr>
                <w:sz w:val="18"/>
              </w:rPr>
            </w:pPr>
            <w:r>
              <w:rPr>
                <w:sz w:val="18"/>
              </w:rPr>
              <w:t>9</w:t>
            </w:r>
          </w:p>
          <w:p>
            <w:pPr>
              <w:pStyle w:val="TableParagraph"/>
              <w:spacing w:before="126"/>
              <w:ind w:left="312"/>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16"/>
              </w:rPr>
            </w:pPr>
          </w:p>
          <w:p>
            <w:pPr>
              <w:pStyle w:val="TableParagraph"/>
              <w:ind w:left="312"/>
              <w:rPr>
                <w:sz w:val="18"/>
              </w:rPr>
            </w:pPr>
            <w:r>
              <w:rPr>
                <w:sz w:val="18"/>
              </w:rPr>
              <w:t>7</w:t>
            </w:r>
          </w:p>
          <w:p>
            <w:pPr>
              <w:pStyle w:val="TableParagraph"/>
              <w:spacing w:before="127"/>
              <w:ind w:left="312"/>
              <w:rPr>
                <w:sz w:val="18"/>
              </w:rPr>
            </w:pPr>
            <w:r>
              <w:rPr>
                <w:sz w:val="18"/>
              </w:rPr>
              <w:t>6,7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312"/>
              <w:rPr>
                <w:sz w:val="18"/>
              </w:rPr>
            </w:pPr>
            <w:r>
              <w:rPr>
                <w:sz w:val="18"/>
              </w:rPr>
              <w:t>8</w:t>
            </w:r>
          </w:p>
          <w:p>
            <w:pPr>
              <w:pStyle w:val="TableParagraph"/>
              <w:spacing w:before="127"/>
              <w:ind w:left="312"/>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5"/>
              </w:rPr>
            </w:pPr>
          </w:p>
          <w:p>
            <w:pPr>
              <w:pStyle w:val="TableParagraph"/>
              <w:ind w:left="312"/>
              <w:rPr>
                <w:sz w:val="18"/>
              </w:rPr>
            </w:pPr>
            <w:r>
              <w:rPr>
                <w:sz w:val="18"/>
              </w:rPr>
              <w:t>5</w:t>
            </w:r>
          </w:p>
        </w:tc>
      </w:tr>
      <w:tr>
        <w:trPr>
          <w:trHeight w:val="227" w:hRule="atLeast"/>
        </w:trPr>
        <w:tc>
          <w:tcPr>
            <w:tcW w:w="1716" w:type="dxa"/>
          </w:tcPr>
          <w:p>
            <w:pPr>
              <w:pStyle w:val="TableParagraph"/>
              <w:spacing w:line="201" w:lineRule="exact" w:before="6"/>
              <w:ind w:left="118"/>
              <w:rPr>
                <w:sz w:val="18"/>
              </w:rPr>
            </w:pPr>
            <w:r>
              <w:rPr>
                <w:sz w:val="18"/>
              </w:rPr>
              <w:t>durumunda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spacing w:line="202" w:lineRule="exact" w:before="6"/>
              <w:ind w:left="118"/>
              <w:rPr>
                <w:sz w:val="18"/>
              </w:rPr>
            </w:pPr>
            <w:r>
              <w:rPr>
                <w:sz w:val="18"/>
              </w:rPr>
              <w:t>kurumumun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tabs>
                <w:tab w:pos="1236" w:val="left" w:leader="none"/>
              </w:tabs>
              <w:spacing w:line="201" w:lineRule="exact" w:before="7"/>
              <w:ind w:left="118"/>
              <w:rPr>
                <w:sz w:val="18"/>
              </w:rPr>
            </w:pPr>
            <w:r>
              <w:rPr>
                <w:sz w:val="18"/>
              </w:rPr>
              <w:t>yöneticileri,</w:t>
              <w:tab/>
              <w:t>Afeti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yönetebilecek bilgi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994" w:val="left" w:leader="none"/>
              </w:tabs>
              <w:spacing w:line="201" w:lineRule="exact" w:before="6"/>
              <w:ind w:left="118"/>
              <w:rPr>
                <w:sz w:val="18"/>
              </w:rPr>
            </w:pPr>
            <w:r>
              <w:rPr>
                <w:sz w:val="18"/>
              </w:rPr>
              <w:t>ve</w:t>
              <w:tab/>
              <w:t>beceriye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5" w:hRule="atLeast"/>
        </w:trPr>
        <w:tc>
          <w:tcPr>
            <w:tcW w:w="1716" w:type="dxa"/>
          </w:tcPr>
          <w:p>
            <w:pPr>
              <w:pStyle w:val="TableParagraph"/>
              <w:spacing w:before="6"/>
              <w:ind w:left="118"/>
              <w:rPr>
                <w:sz w:val="18"/>
              </w:rPr>
            </w:pPr>
            <w:r>
              <w:rPr>
                <w:sz w:val="18"/>
              </w:rPr>
              <w:t>sahiptirler.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7" w:hRule="atLeast"/>
        </w:trPr>
        <w:tc>
          <w:tcPr>
            <w:tcW w:w="1716" w:type="dxa"/>
          </w:tcPr>
          <w:p>
            <w:pPr>
              <w:pStyle w:val="TableParagraph"/>
              <w:tabs>
                <w:tab w:pos="703" w:val="left" w:leader="none"/>
                <w:tab w:pos="1157" w:val="left" w:leader="none"/>
              </w:tabs>
              <w:spacing w:line="203" w:lineRule="exact" w:before="54"/>
              <w:ind w:left="118"/>
              <w:rPr>
                <w:sz w:val="18"/>
              </w:rPr>
            </w:pPr>
            <w:r>
              <w:rPr>
                <w:b/>
                <w:sz w:val="18"/>
              </w:rPr>
              <w:t>Soru</w:t>
              <w:tab/>
              <w:t>42.</w:t>
              <w:tab/>
            </w:r>
            <w:r>
              <w:rPr>
                <w:sz w:val="18"/>
              </w:rPr>
              <w:t>Afette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9" w:hRule="atLeast"/>
        </w:trPr>
        <w:tc>
          <w:tcPr>
            <w:tcW w:w="1716" w:type="dxa"/>
          </w:tcPr>
          <w:p>
            <w:pPr>
              <w:pStyle w:val="TableParagraph"/>
              <w:spacing w:line="201" w:lineRule="exact" w:before="8"/>
              <w:ind w:left="118"/>
              <w:rPr>
                <w:sz w:val="18"/>
              </w:rPr>
            </w:pPr>
            <w:r>
              <w:rPr>
                <w:sz w:val="18"/>
              </w:rPr>
              <w:t>görevi olan personel</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967" w:val="left" w:leader="none"/>
                <w:tab w:pos="1437" w:val="left" w:leader="none"/>
              </w:tabs>
              <w:spacing w:line="201" w:lineRule="exact" w:before="6"/>
              <w:ind w:left="118"/>
              <w:rPr>
                <w:sz w:val="18"/>
              </w:rPr>
            </w:pPr>
            <w:r>
              <w:rPr>
                <w:sz w:val="18"/>
              </w:rPr>
              <w:t>görevini</w:t>
              <w:tab/>
              <w:t>net</w:t>
              <w:tab/>
              <w:t>ve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157" w:val="left" w:leader="none"/>
              </w:tabs>
              <w:spacing w:line="201" w:lineRule="exact" w:before="6"/>
              <w:ind w:left="118"/>
              <w:rPr>
                <w:sz w:val="18"/>
              </w:rPr>
            </w:pPr>
            <w:r>
              <w:rPr>
                <w:sz w:val="18"/>
              </w:rPr>
              <w:t>ayrıntılı</w:t>
              <w:tab/>
              <w:t>olarak</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bilmektedir.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157" w:val="left" w:leader="none"/>
              </w:tabs>
              <w:spacing w:line="201" w:lineRule="exact" w:before="6"/>
              <w:ind w:left="118"/>
              <w:rPr>
                <w:sz w:val="18"/>
              </w:rPr>
            </w:pPr>
            <w:r>
              <w:rPr>
                <w:sz w:val="18"/>
              </w:rPr>
              <w:t>Görevini</w:t>
              <w:tab/>
              <w:t>yerine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tabs>
                <w:tab w:pos="1272" w:val="left" w:leader="none"/>
              </w:tabs>
              <w:spacing w:line="202" w:lineRule="exact" w:before="6"/>
              <w:ind w:left="118"/>
              <w:rPr>
                <w:sz w:val="18"/>
              </w:rPr>
            </w:pPr>
            <w:r>
              <w:rPr>
                <w:sz w:val="18"/>
              </w:rPr>
              <w:t>getirebilecek</w:t>
              <w:tab/>
              <w:t>bilgi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6" w:hRule="atLeast"/>
        </w:trPr>
        <w:tc>
          <w:tcPr>
            <w:tcW w:w="1716" w:type="dxa"/>
          </w:tcPr>
          <w:p>
            <w:pPr>
              <w:pStyle w:val="TableParagraph"/>
              <w:spacing w:before="7"/>
              <w:ind w:left="118"/>
              <w:rPr>
                <w:sz w:val="18"/>
              </w:rPr>
            </w:pPr>
            <w:r>
              <w:rPr>
                <w:sz w:val="18"/>
              </w:rPr>
              <w:t>ve beceriye sahiptir.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5" w:hRule="atLeast"/>
        </w:trPr>
        <w:tc>
          <w:tcPr>
            <w:tcW w:w="1716" w:type="dxa"/>
          </w:tcPr>
          <w:p>
            <w:pPr>
              <w:pStyle w:val="TableParagraph"/>
              <w:tabs>
                <w:tab w:pos="768" w:val="left" w:leader="none"/>
                <w:tab w:pos="1287" w:val="left" w:leader="none"/>
              </w:tabs>
              <w:spacing w:line="201" w:lineRule="exact" w:before="54"/>
              <w:ind w:left="118"/>
              <w:rPr>
                <w:sz w:val="18"/>
              </w:rPr>
            </w:pPr>
            <w:r>
              <w:rPr>
                <w:b/>
                <w:sz w:val="18"/>
              </w:rPr>
              <w:t>Soru</w:t>
              <w:tab/>
              <w:t>43.</w:t>
              <w:tab/>
            </w:r>
            <w:r>
              <w:rPr>
                <w:sz w:val="18"/>
              </w:rPr>
              <w:t>Afet</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durumunda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265" w:val="left" w:leader="none"/>
              </w:tabs>
              <w:spacing w:line="201" w:lineRule="exact" w:before="6"/>
              <w:ind w:left="118"/>
              <w:rPr>
                <w:sz w:val="18"/>
              </w:rPr>
            </w:pPr>
            <w:r>
              <w:rPr>
                <w:sz w:val="18"/>
              </w:rPr>
              <w:t>personelle</w:t>
              <w:tab/>
              <w:t>nasıl</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spacing w:line="202" w:lineRule="exact" w:before="6"/>
              <w:ind w:left="118"/>
              <w:rPr>
                <w:sz w:val="18"/>
              </w:rPr>
            </w:pPr>
            <w:r>
              <w:rPr>
                <w:sz w:val="18"/>
              </w:rPr>
              <w:t>haberleşeceği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spacing w:line="201" w:lineRule="exact" w:before="7"/>
              <w:ind w:left="118"/>
              <w:rPr>
                <w:sz w:val="18"/>
              </w:rPr>
            </w:pPr>
            <w:r>
              <w:rPr>
                <w:sz w:val="18"/>
              </w:rPr>
              <w:t>planlanmıştır.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327" w:val="left" w:leader="none"/>
              </w:tabs>
              <w:spacing w:line="201" w:lineRule="exact" w:before="6"/>
              <w:ind w:left="118"/>
              <w:rPr>
                <w:sz w:val="18"/>
              </w:rPr>
            </w:pPr>
            <w:r>
              <w:rPr>
                <w:sz w:val="18"/>
              </w:rPr>
              <w:t>Kurumun</w:t>
              <w:tab/>
              <w:t>tüm</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personeli bu plandan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442" w:hRule="atLeast"/>
        </w:trPr>
        <w:tc>
          <w:tcPr>
            <w:tcW w:w="1716" w:type="dxa"/>
          </w:tcPr>
          <w:p>
            <w:pPr>
              <w:pStyle w:val="TableParagraph"/>
              <w:spacing w:before="6"/>
              <w:ind w:left="118"/>
              <w:rPr>
                <w:sz w:val="18"/>
              </w:rPr>
            </w:pPr>
            <w:r>
              <w:rPr>
                <w:sz w:val="18"/>
              </w:rPr>
              <w:t>haberdardır.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443" w:hRule="atLeast"/>
        </w:trPr>
        <w:tc>
          <w:tcPr>
            <w:tcW w:w="1716" w:type="dxa"/>
          </w:tcPr>
          <w:p>
            <w:pPr>
              <w:pStyle w:val="TableParagraph"/>
              <w:spacing w:before="3"/>
              <w:rPr>
                <w:b/>
                <w:sz w:val="19"/>
              </w:rPr>
            </w:pPr>
          </w:p>
          <w:p>
            <w:pPr>
              <w:pStyle w:val="TableParagraph"/>
              <w:tabs>
                <w:tab w:pos="771" w:val="left" w:leader="none"/>
                <w:tab w:pos="1287" w:val="left" w:leader="none"/>
              </w:tabs>
              <w:spacing w:line="202" w:lineRule="exact"/>
              <w:ind w:left="118"/>
              <w:rPr>
                <w:sz w:val="18"/>
              </w:rPr>
            </w:pPr>
            <w:r>
              <w:rPr>
                <w:b/>
                <w:sz w:val="18"/>
              </w:rPr>
              <w:t>Soru</w:t>
              <w:tab/>
              <w:t>44.</w:t>
              <w:tab/>
            </w:r>
            <w:r>
              <w:rPr>
                <w:sz w:val="18"/>
              </w:rPr>
              <w:t>Afet</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tabs>
                <w:tab w:pos="1198" w:val="left" w:leader="none"/>
              </w:tabs>
              <w:spacing w:line="201" w:lineRule="exact" w:before="7"/>
              <w:ind w:left="118"/>
              <w:rPr>
                <w:sz w:val="18"/>
              </w:rPr>
            </w:pPr>
            <w:r>
              <w:rPr>
                <w:sz w:val="18"/>
              </w:rPr>
              <w:t>anında</w:t>
              <w:tab/>
              <w:t>görev</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296" w:val="left" w:leader="none"/>
              </w:tabs>
              <w:spacing w:line="201" w:lineRule="exact" w:before="6"/>
              <w:ind w:left="118"/>
              <w:rPr>
                <w:sz w:val="18"/>
              </w:rPr>
            </w:pPr>
            <w:r>
              <w:rPr>
                <w:sz w:val="18"/>
              </w:rPr>
              <w:t>başında</w:t>
              <w:tab/>
              <w:t>olan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personelin ailesi ve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yakınları hakkında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1277" w:val="left" w:leader="none"/>
              </w:tabs>
              <w:spacing w:line="201" w:lineRule="exact" w:before="6"/>
              <w:ind w:left="118"/>
              <w:rPr>
                <w:sz w:val="18"/>
              </w:rPr>
            </w:pPr>
            <w:r>
              <w:rPr>
                <w:sz w:val="18"/>
              </w:rPr>
              <w:t>nasıl</w:t>
              <w:tab/>
              <w:t>bilgi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spacing w:line="202" w:lineRule="exact" w:before="6"/>
              <w:ind w:left="118"/>
              <w:rPr>
                <w:sz w:val="18"/>
              </w:rPr>
            </w:pPr>
            <w:r>
              <w:rPr>
                <w:sz w:val="18"/>
              </w:rPr>
              <w:t>edinebileceği</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tabs>
                <w:tab w:pos="1156" w:val="left" w:leader="none"/>
              </w:tabs>
              <w:spacing w:line="201" w:lineRule="exact" w:before="7"/>
              <w:ind w:left="118"/>
              <w:rPr>
                <w:sz w:val="18"/>
              </w:rPr>
            </w:pPr>
            <w:r>
              <w:rPr>
                <w:sz w:val="18"/>
              </w:rPr>
              <w:t>ayrıntılı</w:t>
              <w:tab/>
              <w:t>olarak</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5" w:hRule="atLeast"/>
        </w:trPr>
        <w:tc>
          <w:tcPr>
            <w:tcW w:w="1716" w:type="dxa"/>
          </w:tcPr>
          <w:p>
            <w:pPr>
              <w:pStyle w:val="TableParagraph"/>
              <w:spacing w:before="6"/>
              <w:ind w:left="118"/>
              <w:rPr>
                <w:sz w:val="18"/>
              </w:rPr>
            </w:pPr>
            <w:r>
              <w:rPr>
                <w:sz w:val="18"/>
              </w:rPr>
              <w:t>düzenlenmiştir.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5" w:hRule="atLeast"/>
        </w:trPr>
        <w:tc>
          <w:tcPr>
            <w:tcW w:w="1716" w:type="dxa"/>
          </w:tcPr>
          <w:p>
            <w:pPr>
              <w:pStyle w:val="TableParagraph"/>
              <w:spacing w:line="201" w:lineRule="exact" w:before="54"/>
              <w:ind w:left="169"/>
              <w:rPr>
                <w:sz w:val="18"/>
              </w:rPr>
            </w:pPr>
            <w:r>
              <w:rPr>
                <w:b/>
                <w:sz w:val="18"/>
              </w:rPr>
              <w:t>Soru 45. </w:t>
            </w:r>
            <w:r>
              <w:rPr>
                <w:sz w:val="18"/>
              </w:rPr>
              <w:t>Bir afette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kurumumuz</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tabs>
                <w:tab w:pos="1248" w:val="left" w:leader="none"/>
              </w:tabs>
              <w:spacing w:line="202" w:lineRule="exact" w:before="6"/>
              <w:ind w:left="118"/>
              <w:rPr>
                <w:sz w:val="18"/>
              </w:rPr>
            </w:pPr>
            <w:r>
              <w:rPr>
                <w:sz w:val="18"/>
              </w:rPr>
              <w:t>personelinin</w:t>
              <w:tab/>
              <w:t>zarar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9" w:hRule="atLeast"/>
        </w:trPr>
        <w:tc>
          <w:tcPr>
            <w:tcW w:w="1716" w:type="dxa"/>
          </w:tcPr>
          <w:p>
            <w:pPr>
              <w:pStyle w:val="TableParagraph"/>
              <w:spacing w:line="201" w:lineRule="exact" w:before="7"/>
              <w:ind w:left="118"/>
              <w:rPr>
                <w:sz w:val="18"/>
              </w:rPr>
            </w:pPr>
            <w:r>
              <w:rPr>
                <w:sz w:val="18"/>
              </w:rPr>
              <w:t>görmesi durumunda,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personel</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kurumumuzun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yardımıyla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mağduriyetinin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8" w:hRule="atLeast"/>
        </w:trPr>
        <w:tc>
          <w:tcPr>
            <w:tcW w:w="1716" w:type="dxa"/>
          </w:tcPr>
          <w:p>
            <w:pPr>
              <w:pStyle w:val="TableParagraph"/>
              <w:spacing w:line="202" w:lineRule="exact" w:before="6"/>
              <w:ind w:left="118"/>
              <w:rPr>
                <w:sz w:val="18"/>
              </w:rPr>
            </w:pPr>
            <w:r>
              <w:rPr>
                <w:sz w:val="18"/>
              </w:rPr>
              <w:t>azaltılacağına</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6" w:hRule="atLeast"/>
        </w:trPr>
        <w:tc>
          <w:tcPr>
            <w:tcW w:w="1716" w:type="dxa"/>
          </w:tcPr>
          <w:p>
            <w:pPr>
              <w:pStyle w:val="TableParagraph"/>
              <w:spacing w:before="7"/>
              <w:ind w:left="118"/>
              <w:rPr>
                <w:sz w:val="18"/>
              </w:rPr>
            </w:pPr>
            <w:r>
              <w:rPr>
                <w:sz w:val="18"/>
              </w:rPr>
              <w:t>inanmaktadır.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75" w:hRule="atLeast"/>
        </w:trPr>
        <w:tc>
          <w:tcPr>
            <w:tcW w:w="1716" w:type="dxa"/>
          </w:tcPr>
          <w:p>
            <w:pPr>
              <w:pStyle w:val="TableParagraph"/>
              <w:spacing w:line="201" w:lineRule="exact" w:before="54"/>
              <w:ind w:left="118"/>
              <w:rPr>
                <w:sz w:val="18"/>
              </w:rPr>
            </w:pPr>
            <w:r>
              <w:rPr>
                <w:b/>
                <w:sz w:val="18"/>
              </w:rPr>
              <w:t>Soru 46. </w:t>
            </w:r>
            <w:r>
              <w:rPr>
                <w:sz w:val="18"/>
              </w:rPr>
              <w:t>Yöneticiler</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spacing w:line="201" w:lineRule="exact" w:before="6"/>
              <w:ind w:left="118"/>
              <w:rPr>
                <w:sz w:val="18"/>
              </w:rPr>
            </w:pPr>
            <w:r>
              <w:rPr>
                <w:sz w:val="18"/>
              </w:rPr>
              <w:t>ve personel afetlerle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27" w:hRule="atLeast"/>
        </w:trPr>
        <w:tc>
          <w:tcPr>
            <w:tcW w:w="1716" w:type="dxa"/>
          </w:tcPr>
          <w:p>
            <w:pPr>
              <w:pStyle w:val="TableParagraph"/>
              <w:tabs>
                <w:tab w:pos="787" w:val="left" w:leader="none"/>
              </w:tabs>
              <w:spacing w:line="201" w:lineRule="exact" w:before="6"/>
              <w:ind w:left="118"/>
              <w:rPr>
                <w:sz w:val="18"/>
              </w:rPr>
            </w:pPr>
            <w:r>
              <w:rPr>
                <w:sz w:val="18"/>
              </w:rPr>
              <w:t>ilgili</w:t>
              <w:tab/>
              <w:t>düzenlenen</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r>
        <w:trPr>
          <w:trHeight w:val="251" w:hRule="atLeast"/>
        </w:trPr>
        <w:tc>
          <w:tcPr>
            <w:tcW w:w="1716" w:type="dxa"/>
            <w:tcBorders>
              <w:bottom w:val="single" w:sz="4" w:space="0" w:color="000000"/>
            </w:tcBorders>
          </w:tcPr>
          <w:p>
            <w:pPr>
              <w:pStyle w:val="TableParagraph"/>
              <w:spacing w:before="6"/>
              <w:ind w:left="118"/>
              <w:rPr>
                <w:sz w:val="18"/>
              </w:rPr>
            </w:pPr>
            <w:r>
              <w:rPr>
                <w:sz w:val="18"/>
              </w:rPr>
              <w:t>sürekli eğitim ve</w:t>
            </w:r>
          </w:p>
        </w:tc>
        <w:tc>
          <w:tcPr>
            <w:tcW w:w="786" w:type="dxa"/>
            <w:vMerge/>
            <w:tcBorders>
              <w:top w:val="nil"/>
              <w:bottom w:val="single" w:sz="4" w:space="0" w:color="000000"/>
            </w:tcBorders>
          </w:tcPr>
          <w:p>
            <w:pPr>
              <w:rPr>
                <w:sz w:val="2"/>
                <w:szCs w:val="2"/>
              </w:rPr>
            </w:pPr>
          </w:p>
        </w:tc>
        <w:tc>
          <w:tcPr>
            <w:tcW w:w="1246" w:type="dxa"/>
            <w:vMerge/>
            <w:tcBorders>
              <w:top w:val="nil"/>
              <w:bottom w:val="single" w:sz="4" w:space="0" w:color="000000"/>
            </w:tcBorders>
          </w:tcPr>
          <w:p>
            <w:pPr>
              <w:rPr>
                <w:sz w:val="2"/>
                <w:szCs w:val="2"/>
              </w:rPr>
            </w:pPr>
          </w:p>
        </w:tc>
        <w:tc>
          <w:tcPr>
            <w:tcW w:w="1335" w:type="dxa"/>
            <w:vMerge/>
            <w:tcBorders>
              <w:top w:val="nil"/>
              <w:bottom w:val="single" w:sz="4" w:space="0" w:color="000000"/>
            </w:tcBorders>
          </w:tcPr>
          <w:p>
            <w:pPr>
              <w:rPr>
                <w:sz w:val="2"/>
                <w:szCs w:val="2"/>
              </w:rPr>
            </w:pPr>
          </w:p>
        </w:tc>
        <w:tc>
          <w:tcPr>
            <w:tcW w:w="1112" w:type="dxa"/>
            <w:vMerge/>
            <w:tcBorders>
              <w:top w:val="nil"/>
              <w:bottom w:val="single" w:sz="4" w:space="0" w:color="000000"/>
            </w:tcBorders>
          </w:tcPr>
          <w:p>
            <w:pPr>
              <w:rPr>
                <w:sz w:val="2"/>
                <w:szCs w:val="2"/>
              </w:rPr>
            </w:pPr>
          </w:p>
        </w:tc>
        <w:tc>
          <w:tcPr>
            <w:tcW w:w="1170" w:type="dxa"/>
            <w:vMerge/>
            <w:tcBorders>
              <w:top w:val="nil"/>
              <w:bottom w:val="single" w:sz="4" w:space="0" w:color="000000"/>
            </w:tcBorders>
          </w:tcPr>
          <w:p>
            <w:pPr>
              <w:rPr>
                <w:sz w:val="2"/>
                <w:szCs w:val="2"/>
              </w:rPr>
            </w:pPr>
          </w:p>
        </w:tc>
        <w:tc>
          <w:tcPr>
            <w:tcW w:w="1296" w:type="dxa"/>
            <w:vMerge/>
            <w:tcBorders>
              <w:top w:val="nil"/>
              <w:bottom w:val="single" w:sz="4" w:space="0" w:color="000000"/>
            </w:tcBorders>
          </w:tcPr>
          <w:p>
            <w:pPr>
              <w:rPr>
                <w:sz w:val="2"/>
                <w:szCs w:val="2"/>
              </w:rPr>
            </w:pPr>
          </w:p>
        </w:tc>
      </w:tr>
    </w:tbl>
    <w:p>
      <w:pPr>
        <w:spacing w:after="0"/>
        <w:rPr>
          <w:sz w:val="2"/>
          <w:szCs w:val="2"/>
        </w:rPr>
        <w:sectPr>
          <w:pgSz w:w="11910" w:h="16840"/>
          <w:pgMar w:header="0" w:footer="976" w:top="1580" w:bottom="1240" w:left="1140" w:right="520"/>
        </w:sectPr>
      </w:pPr>
    </w:p>
    <w:p>
      <w:pPr>
        <w:pStyle w:val="BodyText"/>
        <w:spacing w:before="11"/>
        <w:rPr>
          <w:b/>
          <w:sz w:val="8"/>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12"/>
        <w:gridCol w:w="786"/>
        <w:gridCol w:w="1032"/>
        <w:gridCol w:w="1333"/>
        <w:gridCol w:w="1220"/>
        <w:gridCol w:w="1105"/>
        <w:gridCol w:w="1466"/>
      </w:tblGrid>
      <w:tr>
        <w:trPr>
          <w:trHeight w:val="8240" w:hRule="atLeast"/>
        </w:trPr>
        <w:tc>
          <w:tcPr>
            <w:tcW w:w="1712" w:type="dxa"/>
            <w:tcBorders>
              <w:top w:val="single" w:sz="4" w:space="0" w:color="000000"/>
              <w:bottom w:val="single" w:sz="4" w:space="0" w:color="000000"/>
            </w:tcBorders>
          </w:tcPr>
          <w:p>
            <w:pPr>
              <w:pStyle w:val="TableParagraph"/>
              <w:tabs>
                <w:tab w:pos="942" w:val="left" w:leader="none"/>
                <w:tab w:pos="1331" w:val="left" w:leader="none"/>
              </w:tabs>
              <w:spacing w:line="276" w:lineRule="auto"/>
              <w:ind w:left="115" w:right="107"/>
              <w:rPr>
                <w:sz w:val="18"/>
              </w:rPr>
            </w:pPr>
            <w:r>
              <w:rPr>
                <w:sz w:val="18"/>
              </w:rPr>
              <w:t>tatbikatlarla</w:t>
              <w:tab/>
              <w:t>afet planındaki görevleri ni en iyi şekilde yerine</w:t>
              <w:tab/>
              <w:t>getirecek becerileri kazanmışlardır.</w:t>
            </w:r>
          </w:p>
          <w:p>
            <w:pPr>
              <w:pStyle w:val="TableParagraph"/>
              <w:tabs>
                <w:tab w:pos="1374" w:val="left" w:leader="none"/>
              </w:tabs>
              <w:spacing w:before="96"/>
              <w:ind w:left="115"/>
              <w:rPr>
                <w:b/>
                <w:sz w:val="18"/>
              </w:rPr>
            </w:pPr>
            <w:r>
              <w:rPr>
                <w:b/>
                <w:sz w:val="18"/>
              </w:rPr>
              <w:t>Soru</w:t>
              <w:tab/>
              <w:t>47.</w:t>
            </w:r>
          </w:p>
          <w:p>
            <w:pPr>
              <w:pStyle w:val="TableParagraph"/>
              <w:tabs>
                <w:tab w:pos="1074" w:val="left" w:leader="none"/>
                <w:tab w:pos="1151" w:val="left" w:leader="none"/>
                <w:tab w:pos="1391" w:val="left" w:leader="none"/>
              </w:tabs>
              <w:spacing w:line="276" w:lineRule="auto" w:before="25"/>
              <w:ind w:left="115" w:right="106"/>
              <w:rPr>
                <w:sz w:val="18"/>
              </w:rPr>
            </w:pPr>
            <w:r>
              <w:rPr>
                <w:sz w:val="18"/>
              </w:rPr>
              <w:t>Kurumumuzun afet planının hazırlanmasında personelin</w:t>
              <w:tab/>
              <w:t>katkıda bulunmasına önem verilmiştir.</w:t>
              <w:tab/>
              <w:tab/>
              <w:tab/>
              <w:t>Bu durum</w:t>
              <w:tab/>
              <w:tab/>
              <w:t>planın personel</w:t>
            </w:r>
          </w:p>
          <w:p>
            <w:pPr>
              <w:pStyle w:val="TableParagraph"/>
              <w:spacing w:line="276" w:lineRule="auto" w:before="2"/>
              <w:ind w:left="115" w:right="112"/>
              <w:rPr>
                <w:sz w:val="18"/>
              </w:rPr>
            </w:pPr>
            <w:r>
              <w:rPr>
                <w:sz w:val="18"/>
              </w:rPr>
              <w:t>tarafından benimsen mesini sağlamıştır.</w:t>
            </w:r>
          </w:p>
          <w:p>
            <w:pPr>
              <w:pStyle w:val="TableParagraph"/>
              <w:tabs>
                <w:tab w:pos="1374" w:val="left" w:leader="none"/>
              </w:tabs>
              <w:spacing w:before="100"/>
              <w:ind w:left="115"/>
              <w:rPr>
                <w:b/>
                <w:sz w:val="18"/>
              </w:rPr>
            </w:pPr>
            <w:r>
              <w:rPr>
                <w:b/>
                <w:sz w:val="18"/>
              </w:rPr>
              <w:t>Soru</w:t>
              <w:tab/>
              <w:t>48.</w:t>
            </w:r>
          </w:p>
          <w:p>
            <w:pPr>
              <w:pStyle w:val="TableParagraph"/>
              <w:tabs>
                <w:tab w:pos="913" w:val="left" w:leader="none"/>
                <w:tab w:pos="1192" w:val="left" w:leader="none"/>
                <w:tab w:pos="1434" w:val="left" w:leader="none"/>
              </w:tabs>
              <w:spacing w:line="276" w:lineRule="auto" w:before="26"/>
              <w:ind w:left="115" w:right="106"/>
              <w:rPr>
                <w:sz w:val="18"/>
              </w:rPr>
            </w:pPr>
            <w:r>
              <w:rPr>
                <w:sz w:val="18"/>
              </w:rPr>
              <w:t>Kurumumuz personeli</w:t>
              <w:tab/>
              <w:tab/>
              <w:tab/>
              <w:t>ve yöneticilerinde afetlerle</w:t>
              <w:tab/>
              <w:t>mücadele etmede</w:t>
              <w:tab/>
              <w:tab/>
              <w:t>bilinç oluşmuştur.</w:t>
            </w:r>
          </w:p>
          <w:p>
            <w:pPr>
              <w:pStyle w:val="TableParagraph"/>
              <w:tabs>
                <w:tab w:pos="1374" w:val="left" w:leader="none"/>
              </w:tabs>
              <w:spacing w:before="101"/>
              <w:ind w:left="115"/>
              <w:rPr>
                <w:b/>
                <w:sz w:val="18"/>
              </w:rPr>
            </w:pPr>
            <w:r>
              <w:rPr>
                <w:b/>
                <w:sz w:val="18"/>
              </w:rPr>
              <w:t>Soru</w:t>
              <w:tab/>
              <w:t>49.</w:t>
            </w:r>
          </w:p>
          <w:p>
            <w:pPr>
              <w:pStyle w:val="TableParagraph"/>
              <w:spacing w:line="276" w:lineRule="auto" w:before="26"/>
              <w:ind w:left="115" w:right="107"/>
              <w:jc w:val="both"/>
              <w:rPr>
                <w:sz w:val="18"/>
              </w:rPr>
            </w:pPr>
            <w:r>
              <w:rPr>
                <w:sz w:val="18"/>
              </w:rPr>
              <w:t>Kurumumuzun afet planının</w:t>
            </w:r>
            <w:r>
              <w:rPr>
                <w:color w:val="FFFFFF"/>
                <w:sz w:val="18"/>
              </w:rPr>
              <w:t>.</w:t>
            </w:r>
            <w:r>
              <w:rPr>
                <w:sz w:val="18"/>
              </w:rPr>
              <w:t>hazırlanma sında görev verilen personel afetle ilgili risk analizlerini yapabilecek bilgi, beceri ve kabiliyete sahiptir.</w:t>
            </w:r>
          </w:p>
        </w:tc>
        <w:tc>
          <w:tcPr>
            <w:tcW w:w="786" w:type="dxa"/>
            <w:tcBorders>
              <w:top w:val="single" w:sz="4" w:space="0" w:color="000000"/>
              <w:bottom w:val="single" w:sz="4" w:space="0" w:color="000000"/>
            </w:tcBorders>
          </w:tcPr>
          <w:p>
            <w:pPr>
              <w:pStyle w:val="TableParagraph"/>
              <w:spacing w:line="276" w:lineRule="auto"/>
              <w:ind w:left="199" w:right="189"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
              <w:rPr>
                <w:b/>
                <w:sz w:val="24"/>
              </w:rPr>
            </w:pPr>
          </w:p>
          <w:p>
            <w:pPr>
              <w:pStyle w:val="TableParagraph"/>
              <w:ind w:left="107"/>
              <w:rPr>
                <w:sz w:val="18"/>
              </w:rPr>
            </w:pPr>
            <w:r>
              <w:rPr>
                <w:sz w:val="18"/>
              </w:rPr>
              <w:t>Sayı</w:t>
            </w:r>
          </w:p>
          <w:p>
            <w:pPr>
              <w:pStyle w:val="TableParagraph"/>
              <w:spacing w:line="276" w:lineRule="auto" w:before="127"/>
              <w:ind w:left="199" w:right="189"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56"/>
              <w:ind w:left="107"/>
              <w:rPr>
                <w:sz w:val="18"/>
              </w:rPr>
            </w:pPr>
            <w:r>
              <w:rPr>
                <w:sz w:val="18"/>
              </w:rPr>
              <w:t>Sayı</w:t>
            </w:r>
          </w:p>
          <w:p>
            <w:pPr>
              <w:pStyle w:val="TableParagraph"/>
              <w:spacing w:line="276" w:lineRule="auto" w:before="129"/>
              <w:ind w:left="199" w:right="189"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6"/>
              <w:rPr>
                <w:b/>
                <w:sz w:val="24"/>
              </w:rPr>
            </w:pPr>
          </w:p>
          <w:p>
            <w:pPr>
              <w:pStyle w:val="TableParagraph"/>
              <w:ind w:left="107" w:firstLine="40"/>
              <w:rPr>
                <w:sz w:val="18"/>
              </w:rPr>
            </w:pPr>
            <w:r>
              <w:rPr>
                <w:sz w:val="18"/>
              </w:rPr>
              <w:t>Sayı</w:t>
            </w:r>
          </w:p>
          <w:p>
            <w:pPr>
              <w:pStyle w:val="TableParagraph"/>
              <w:spacing w:line="276" w:lineRule="auto" w:before="127"/>
              <w:ind w:left="199" w:right="189" w:hanging="92"/>
              <w:rPr>
                <w:sz w:val="18"/>
              </w:rPr>
            </w:pPr>
            <w:r>
              <w:rPr>
                <w:sz w:val="18"/>
              </w:rPr>
              <w:t>Yüzde (%)</w:t>
            </w:r>
          </w:p>
        </w:tc>
        <w:tc>
          <w:tcPr>
            <w:tcW w:w="1032" w:type="dxa"/>
            <w:tcBorders>
              <w:top w:val="single" w:sz="4" w:space="0" w:color="000000"/>
              <w:bottom w:val="single" w:sz="4" w:space="0" w:color="000000"/>
            </w:tcBorders>
          </w:tcPr>
          <w:p>
            <w:pPr>
              <w:pStyle w:val="TableParagraph"/>
              <w:spacing w:line="202" w:lineRule="exact"/>
              <w:ind w:left="298"/>
              <w:rPr>
                <w:sz w:val="18"/>
              </w:rPr>
            </w:pPr>
            <w:r>
              <w:rPr>
                <w:sz w:val="18"/>
              </w:rPr>
              <w:t>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09"/>
              <w:rPr>
                <w:sz w:val="18"/>
              </w:rPr>
            </w:pPr>
            <w:r>
              <w:rPr>
                <w:sz w:val="18"/>
              </w:rPr>
              <w:t>11</w:t>
            </w:r>
          </w:p>
          <w:p>
            <w:pPr>
              <w:pStyle w:val="TableParagraph"/>
              <w:spacing w:before="126"/>
              <w:ind w:left="207"/>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5"/>
              </w:rPr>
            </w:pPr>
          </w:p>
          <w:p>
            <w:pPr>
              <w:pStyle w:val="TableParagraph"/>
              <w:ind w:left="298"/>
              <w:rPr>
                <w:sz w:val="18"/>
              </w:rPr>
            </w:pPr>
            <w:r>
              <w:rPr>
                <w:sz w:val="18"/>
              </w:rPr>
              <w:t>9</w:t>
            </w:r>
          </w:p>
          <w:p>
            <w:pPr>
              <w:pStyle w:val="TableParagraph"/>
              <w:spacing w:before="129"/>
              <w:ind w:left="298"/>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9"/>
              <w:rPr>
                <w:b/>
                <w:sz w:val="24"/>
              </w:rPr>
            </w:pPr>
          </w:p>
          <w:p>
            <w:pPr>
              <w:pStyle w:val="TableParagraph"/>
              <w:spacing w:before="1"/>
              <w:ind w:left="209"/>
              <w:rPr>
                <w:sz w:val="18"/>
              </w:rPr>
            </w:pPr>
            <w:r>
              <w:rPr>
                <w:sz w:val="18"/>
              </w:rPr>
              <w:t>13</w:t>
            </w:r>
          </w:p>
          <w:p>
            <w:pPr>
              <w:pStyle w:val="TableParagraph"/>
              <w:spacing w:before="127"/>
              <w:ind w:left="207"/>
              <w:rPr>
                <w:sz w:val="18"/>
              </w:rPr>
            </w:pPr>
            <w:r>
              <w:rPr>
                <w:sz w:val="18"/>
              </w:rPr>
              <w:t>12,4</w:t>
            </w:r>
          </w:p>
        </w:tc>
        <w:tc>
          <w:tcPr>
            <w:tcW w:w="1333" w:type="dxa"/>
            <w:tcBorders>
              <w:top w:val="single" w:sz="4" w:space="0" w:color="000000"/>
              <w:bottom w:val="single" w:sz="4" w:space="0" w:color="000000"/>
            </w:tcBorders>
          </w:tcPr>
          <w:p>
            <w:pPr>
              <w:pStyle w:val="TableParagraph"/>
              <w:spacing w:line="202" w:lineRule="exact"/>
              <w:ind w:left="489" w:right="489"/>
              <w:jc w:val="center"/>
              <w:rPr>
                <w:sz w:val="18"/>
              </w:rPr>
            </w:pPr>
            <w:r>
              <w:rPr>
                <w:sz w:val="18"/>
              </w:rPr>
              <w:t>20,0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361" w:right="489"/>
              <w:jc w:val="center"/>
              <w:rPr>
                <w:sz w:val="18"/>
              </w:rPr>
            </w:pPr>
            <w:r>
              <w:rPr>
                <w:sz w:val="18"/>
              </w:rPr>
              <w:t>22</w:t>
            </w:r>
          </w:p>
          <w:p>
            <w:pPr>
              <w:pStyle w:val="TableParagraph"/>
              <w:spacing w:before="126"/>
              <w:ind w:left="489" w:right="489"/>
              <w:jc w:val="center"/>
              <w:rPr>
                <w:sz w:val="18"/>
              </w:rPr>
            </w:pPr>
            <w:r>
              <w:rPr>
                <w:sz w:val="18"/>
              </w:rPr>
              <w:t>21,0</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5"/>
              </w:rPr>
            </w:pPr>
          </w:p>
          <w:p>
            <w:pPr>
              <w:pStyle w:val="TableParagraph"/>
              <w:ind w:left="361" w:right="489"/>
              <w:jc w:val="center"/>
              <w:rPr>
                <w:sz w:val="18"/>
              </w:rPr>
            </w:pPr>
            <w:r>
              <w:rPr>
                <w:sz w:val="18"/>
              </w:rPr>
              <w:t>24</w:t>
            </w:r>
          </w:p>
          <w:p>
            <w:pPr>
              <w:pStyle w:val="TableParagraph"/>
              <w:spacing w:before="129"/>
              <w:ind w:left="489" w:right="489"/>
              <w:jc w:val="center"/>
              <w:rPr>
                <w:sz w:val="18"/>
              </w:rPr>
            </w:pPr>
            <w:r>
              <w:rPr>
                <w:sz w:val="18"/>
              </w:rPr>
              <w:t>22,9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spacing w:before="1"/>
              <w:ind w:left="361" w:right="489"/>
              <w:jc w:val="center"/>
              <w:rPr>
                <w:sz w:val="18"/>
              </w:rPr>
            </w:pPr>
            <w:r>
              <w:rPr>
                <w:sz w:val="18"/>
              </w:rPr>
              <w:t>16</w:t>
            </w:r>
          </w:p>
          <w:p>
            <w:pPr>
              <w:pStyle w:val="TableParagraph"/>
              <w:spacing w:before="127"/>
              <w:ind w:left="489" w:right="489"/>
              <w:jc w:val="center"/>
              <w:rPr>
                <w:sz w:val="18"/>
              </w:rPr>
            </w:pPr>
            <w:r>
              <w:rPr>
                <w:sz w:val="18"/>
              </w:rPr>
              <w:t>15,2</w:t>
            </w:r>
          </w:p>
        </w:tc>
        <w:tc>
          <w:tcPr>
            <w:tcW w:w="1220" w:type="dxa"/>
            <w:tcBorders>
              <w:top w:val="single" w:sz="4" w:space="0" w:color="000000"/>
              <w:bottom w:val="single" w:sz="4" w:space="0" w:color="000000"/>
            </w:tcBorders>
          </w:tcPr>
          <w:p>
            <w:pPr>
              <w:pStyle w:val="TableParagraph"/>
              <w:spacing w:line="202" w:lineRule="exact"/>
              <w:ind w:left="491" w:right="373"/>
              <w:jc w:val="center"/>
              <w:rPr>
                <w:sz w:val="18"/>
              </w:rPr>
            </w:pPr>
            <w:r>
              <w:rPr>
                <w:sz w:val="18"/>
              </w:rPr>
              <w:t>42,9</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366" w:right="373"/>
              <w:jc w:val="center"/>
              <w:rPr>
                <w:sz w:val="18"/>
              </w:rPr>
            </w:pPr>
            <w:r>
              <w:rPr>
                <w:sz w:val="18"/>
              </w:rPr>
              <w:t>39</w:t>
            </w:r>
          </w:p>
          <w:p>
            <w:pPr>
              <w:pStyle w:val="TableParagraph"/>
              <w:spacing w:before="126"/>
              <w:ind w:left="491" w:right="373"/>
              <w:jc w:val="center"/>
              <w:rPr>
                <w:sz w:val="18"/>
              </w:rPr>
            </w:pPr>
            <w:r>
              <w:rPr>
                <w:sz w:val="18"/>
              </w:rPr>
              <w:t>37,1</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5"/>
              </w:rPr>
            </w:pPr>
          </w:p>
          <w:p>
            <w:pPr>
              <w:pStyle w:val="TableParagraph"/>
              <w:ind w:left="366" w:right="373"/>
              <w:jc w:val="center"/>
              <w:rPr>
                <w:sz w:val="18"/>
              </w:rPr>
            </w:pPr>
            <w:r>
              <w:rPr>
                <w:sz w:val="18"/>
              </w:rPr>
              <w:t>34</w:t>
            </w:r>
          </w:p>
          <w:p>
            <w:pPr>
              <w:pStyle w:val="TableParagraph"/>
              <w:spacing w:before="129"/>
              <w:ind w:left="491" w:right="373"/>
              <w:jc w:val="center"/>
              <w:rPr>
                <w:sz w:val="18"/>
              </w:rPr>
            </w:pPr>
            <w:r>
              <w:rPr>
                <w:sz w:val="18"/>
              </w:rPr>
              <w:t>32,4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spacing w:before="1"/>
              <w:ind w:left="366" w:right="373"/>
              <w:jc w:val="center"/>
              <w:rPr>
                <w:sz w:val="18"/>
              </w:rPr>
            </w:pPr>
            <w:r>
              <w:rPr>
                <w:sz w:val="18"/>
              </w:rPr>
              <w:t>35</w:t>
            </w:r>
          </w:p>
          <w:p>
            <w:pPr>
              <w:pStyle w:val="TableParagraph"/>
              <w:spacing w:before="127"/>
              <w:ind w:left="491" w:right="373"/>
              <w:jc w:val="center"/>
              <w:rPr>
                <w:sz w:val="18"/>
              </w:rPr>
            </w:pPr>
            <w:r>
              <w:rPr>
                <w:sz w:val="18"/>
              </w:rPr>
              <w:t>33,3</w:t>
            </w:r>
          </w:p>
        </w:tc>
        <w:tc>
          <w:tcPr>
            <w:tcW w:w="1105" w:type="dxa"/>
            <w:tcBorders>
              <w:top w:val="single" w:sz="4" w:space="0" w:color="000000"/>
              <w:bottom w:val="single" w:sz="4" w:space="0" w:color="000000"/>
            </w:tcBorders>
          </w:tcPr>
          <w:p>
            <w:pPr>
              <w:pStyle w:val="TableParagraph"/>
              <w:spacing w:line="202" w:lineRule="exact"/>
              <w:ind w:left="375" w:right="374"/>
              <w:jc w:val="center"/>
              <w:rPr>
                <w:sz w:val="18"/>
              </w:rPr>
            </w:pPr>
            <w:r>
              <w:rPr>
                <w:sz w:val="18"/>
              </w:rPr>
              <w:t>24,8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250" w:right="374"/>
              <w:jc w:val="center"/>
              <w:rPr>
                <w:sz w:val="18"/>
              </w:rPr>
            </w:pPr>
            <w:r>
              <w:rPr>
                <w:sz w:val="18"/>
              </w:rPr>
              <w:t>28</w:t>
            </w:r>
          </w:p>
          <w:p>
            <w:pPr>
              <w:pStyle w:val="TableParagraph"/>
              <w:spacing w:before="126"/>
              <w:ind w:left="375" w:right="374"/>
              <w:jc w:val="center"/>
              <w:rPr>
                <w:sz w:val="18"/>
              </w:rPr>
            </w:pPr>
            <w:r>
              <w:rPr>
                <w:sz w:val="18"/>
              </w:rPr>
              <w:t>26,7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5"/>
              </w:rPr>
            </w:pPr>
          </w:p>
          <w:p>
            <w:pPr>
              <w:pStyle w:val="TableParagraph"/>
              <w:ind w:left="250" w:right="374"/>
              <w:jc w:val="center"/>
              <w:rPr>
                <w:sz w:val="18"/>
              </w:rPr>
            </w:pPr>
            <w:r>
              <w:rPr>
                <w:sz w:val="18"/>
              </w:rPr>
              <w:t>29</w:t>
            </w:r>
          </w:p>
          <w:p>
            <w:pPr>
              <w:pStyle w:val="TableParagraph"/>
              <w:spacing w:before="129"/>
              <w:ind w:left="375" w:right="374"/>
              <w:jc w:val="center"/>
              <w:rPr>
                <w:sz w:val="18"/>
              </w:rPr>
            </w:pPr>
            <w:r>
              <w:rPr>
                <w:sz w:val="18"/>
              </w:rPr>
              <w:t>27,6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spacing w:before="1"/>
              <w:ind w:left="250" w:right="374"/>
              <w:jc w:val="center"/>
              <w:rPr>
                <w:sz w:val="18"/>
              </w:rPr>
            </w:pPr>
            <w:r>
              <w:rPr>
                <w:sz w:val="18"/>
              </w:rPr>
              <w:t>31</w:t>
            </w:r>
          </w:p>
          <w:p>
            <w:pPr>
              <w:pStyle w:val="TableParagraph"/>
              <w:spacing w:before="127"/>
              <w:ind w:left="375" w:right="374"/>
              <w:jc w:val="center"/>
              <w:rPr>
                <w:sz w:val="18"/>
              </w:rPr>
            </w:pPr>
            <w:r>
              <w:rPr>
                <w:sz w:val="18"/>
              </w:rPr>
              <w:t>29,5</w:t>
            </w:r>
          </w:p>
        </w:tc>
        <w:tc>
          <w:tcPr>
            <w:tcW w:w="1466" w:type="dxa"/>
            <w:tcBorders>
              <w:top w:val="single" w:sz="4" w:space="0" w:color="000000"/>
              <w:bottom w:val="single" w:sz="4" w:space="0" w:color="000000"/>
            </w:tcBorders>
          </w:tcPr>
          <w:p>
            <w:pPr>
              <w:pStyle w:val="TableParagraph"/>
              <w:spacing w:line="202" w:lineRule="exact"/>
              <w:ind w:left="486"/>
              <w:rPr>
                <w:sz w:val="18"/>
              </w:rPr>
            </w:pPr>
            <w:r>
              <w:rPr>
                <w:sz w:val="18"/>
              </w:rPr>
              <w:t>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16"/>
              </w:rPr>
            </w:pPr>
          </w:p>
          <w:p>
            <w:pPr>
              <w:pStyle w:val="TableParagraph"/>
              <w:ind w:left="486"/>
              <w:rPr>
                <w:sz w:val="18"/>
              </w:rPr>
            </w:pPr>
            <w:r>
              <w:rPr>
                <w:sz w:val="18"/>
              </w:rPr>
              <w:t>5</w:t>
            </w:r>
          </w:p>
          <w:p>
            <w:pPr>
              <w:pStyle w:val="TableParagraph"/>
              <w:spacing w:before="126"/>
              <w:ind w:left="486"/>
              <w:rPr>
                <w:sz w:val="18"/>
              </w:rPr>
            </w:pPr>
            <w:r>
              <w:rPr>
                <w:sz w:val="18"/>
              </w:rPr>
              <w:t>4,8</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4"/>
              <w:rPr>
                <w:b/>
                <w:sz w:val="25"/>
              </w:rPr>
            </w:pPr>
          </w:p>
          <w:p>
            <w:pPr>
              <w:pStyle w:val="TableParagraph"/>
              <w:ind w:left="486"/>
              <w:rPr>
                <w:sz w:val="18"/>
              </w:rPr>
            </w:pPr>
            <w:r>
              <w:rPr>
                <w:sz w:val="18"/>
              </w:rPr>
              <w:t>9</w:t>
            </w:r>
          </w:p>
          <w:p>
            <w:pPr>
              <w:pStyle w:val="TableParagraph"/>
              <w:spacing w:before="129"/>
              <w:ind w:left="486"/>
              <w:rPr>
                <w:sz w:val="18"/>
              </w:rPr>
            </w:pPr>
            <w:r>
              <w:rPr>
                <w:sz w:val="18"/>
              </w:rPr>
              <w:t>8,6</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1"/>
              <w:rPr>
                <w:b/>
                <w:sz w:val="16"/>
              </w:rPr>
            </w:pPr>
          </w:p>
          <w:p>
            <w:pPr>
              <w:pStyle w:val="TableParagraph"/>
              <w:ind w:left="397"/>
              <w:rPr>
                <w:sz w:val="18"/>
              </w:rPr>
            </w:pPr>
            <w:r>
              <w:rPr>
                <w:sz w:val="18"/>
              </w:rPr>
              <w:t>10</w:t>
            </w:r>
          </w:p>
          <w:p>
            <w:pPr>
              <w:pStyle w:val="TableParagraph"/>
              <w:spacing w:before="127"/>
              <w:ind w:left="486"/>
              <w:rPr>
                <w:sz w:val="18"/>
              </w:rPr>
            </w:pPr>
            <w:r>
              <w:rPr>
                <w:sz w:val="18"/>
              </w:rPr>
              <w:t>9,5</w:t>
            </w:r>
          </w:p>
        </w:tc>
      </w:tr>
    </w:tbl>
    <w:p>
      <w:pPr>
        <w:pStyle w:val="BodyText"/>
        <w:rPr>
          <w:b/>
          <w:sz w:val="20"/>
        </w:rPr>
      </w:pPr>
    </w:p>
    <w:p>
      <w:pPr>
        <w:pStyle w:val="BodyText"/>
        <w:spacing w:line="360" w:lineRule="auto" w:before="222"/>
        <w:ind w:left="1128" w:right="608" w:firstLine="768"/>
        <w:jc w:val="both"/>
      </w:pPr>
      <w:r>
        <w:rPr/>
        <w:t>‘‘Bir afet durumunda kurumumun yöneticileri, Afeti yönetebilecek bilgi ve beceriye sahiptirler (soru 41)’’ sorusuna, kesinlikle katılmıyorum şıkkının işaretlenme oranı %3,8, katılmıyorum şıkkının işaretlenme oranı %21,9, kararsızım şıkkının işaretlenme oranı %38,1, katılıyorum şıkkının işaretlenme oranı %27,6, kesinlikle katılıyorum şıkkının işaretlenme oranı %8,6’dır.</w:t>
      </w:r>
    </w:p>
    <w:p>
      <w:pPr>
        <w:pStyle w:val="BodyText"/>
        <w:spacing w:line="360" w:lineRule="auto"/>
        <w:ind w:left="1128" w:right="610" w:firstLine="708"/>
        <w:jc w:val="both"/>
      </w:pPr>
      <w:r>
        <w:rPr/>
        <w:t>‘‘Afette</w:t>
      </w:r>
      <w:r>
        <w:rPr>
          <w:spacing w:val="-18"/>
        </w:rPr>
        <w:t> </w:t>
      </w:r>
      <w:r>
        <w:rPr/>
        <w:t>görevi</w:t>
      </w:r>
      <w:r>
        <w:rPr>
          <w:spacing w:val="-16"/>
        </w:rPr>
        <w:t> </w:t>
      </w:r>
      <w:r>
        <w:rPr/>
        <w:t>olan</w:t>
      </w:r>
      <w:r>
        <w:rPr>
          <w:spacing w:val="-17"/>
        </w:rPr>
        <w:t> </w:t>
      </w:r>
      <w:r>
        <w:rPr/>
        <w:t>personel</w:t>
      </w:r>
      <w:r>
        <w:rPr>
          <w:spacing w:val="-16"/>
        </w:rPr>
        <w:t> </w:t>
      </w:r>
      <w:r>
        <w:rPr/>
        <w:t>görevini</w:t>
      </w:r>
      <w:r>
        <w:rPr>
          <w:spacing w:val="-16"/>
        </w:rPr>
        <w:t> </w:t>
      </w:r>
      <w:r>
        <w:rPr/>
        <w:t>net</w:t>
      </w:r>
      <w:r>
        <w:rPr>
          <w:spacing w:val="-16"/>
        </w:rPr>
        <w:t> </w:t>
      </w:r>
      <w:r>
        <w:rPr/>
        <w:t>ve</w:t>
      </w:r>
      <w:r>
        <w:rPr>
          <w:spacing w:val="-18"/>
        </w:rPr>
        <w:t> </w:t>
      </w:r>
      <w:r>
        <w:rPr/>
        <w:t>ayrıntılı</w:t>
      </w:r>
      <w:r>
        <w:rPr>
          <w:spacing w:val="-16"/>
        </w:rPr>
        <w:t> </w:t>
      </w:r>
      <w:r>
        <w:rPr/>
        <w:t>olarak</w:t>
      </w:r>
      <w:r>
        <w:rPr>
          <w:spacing w:val="-17"/>
        </w:rPr>
        <w:t> </w:t>
      </w:r>
      <w:r>
        <w:rPr/>
        <w:t>bilmektedir.</w:t>
      </w:r>
      <w:r>
        <w:rPr>
          <w:spacing w:val="26"/>
        </w:rPr>
        <w:t> </w:t>
      </w:r>
      <w:r>
        <w:rPr/>
        <w:t>Görevini yerine getirebilecek bilgi ve beceriye sahiptir (soru 42)’’ sorusuna, kesinlikle katılmıyorum</w:t>
      </w:r>
      <w:r>
        <w:rPr>
          <w:spacing w:val="10"/>
        </w:rPr>
        <w:t> </w:t>
      </w:r>
      <w:r>
        <w:rPr/>
        <w:t>şıkkının</w:t>
      </w:r>
      <w:r>
        <w:rPr>
          <w:spacing w:val="10"/>
        </w:rPr>
        <w:t> </w:t>
      </w:r>
      <w:r>
        <w:rPr/>
        <w:t>işaretlenme</w:t>
      </w:r>
      <w:r>
        <w:rPr>
          <w:spacing w:val="11"/>
        </w:rPr>
        <w:t> </w:t>
      </w:r>
      <w:r>
        <w:rPr/>
        <w:t>oranı</w:t>
      </w:r>
      <w:r>
        <w:rPr>
          <w:spacing w:val="10"/>
        </w:rPr>
        <w:t> </w:t>
      </w:r>
      <w:r>
        <w:rPr/>
        <w:t>%3,8,</w:t>
      </w:r>
      <w:r>
        <w:rPr>
          <w:spacing w:val="10"/>
        </w:rPr>
        <w:t> </w:t>
      </w:r>
      <w:r>
        <w:rPr/>
        <w:t>katılmıyorum</w:t>
      </w:r>
      <w:r>
        <w:rPr>
          <w:spacing w:val="10"/>
        </w:rPr>
        <w:t> </w:t>
      </w:r>
      <w:r>
        <w:rPr/>
        <w:t>şıkkının</w:t>
      </w:r>
      <w:r>
        <w:rPr>
          <w:spacing w:val="10"/>
        </w:rPr>
        <w:t> </w:t>
      </w:r>
      <w:r>
        <w:rPr/>
        <w:t>işaretlenme</w:t>
      </w:r>
      <w:r>
        <w:rPr>
          <w:spacing w:val="11"/>
        </w:rPr>
        <w:t> </w:t>
      </w:r>
      <w:r>
        <w:rPr/>
        <w:t>oranı</w:t>
      </w:r>
    </w:p>
    <w:p>
      <w:pPr>
        <w:pStyle w:val="BodyText"/>
        <w:spacing w:line="360" w:lineRule="auto" w:before="1"/>
        <w:ind w:left="1128" w:right="613"/>
      </w:pPr>
      <w:r>
        <w:rPr/>
        <w:t>%19,0, kararsızım şıkkının işaretlenme oranı %42,9, katılıyorum şıkkının işaretlenme oranı %25,7, kesinlikle katılıyorum şıkkının işaretlenme oranı %8,6’dır.</w:t>
      </w:r>
    </w:p>
    <w:p>
      <w:pPr>
        <w:spacing w:after="0" w:line="360" w:lineRule="auto"/>
        <w:sectPr>
          <w:pgSz w:w="11910" w:h="16840"/>
          <w:pgMar w:header="0" w:footer="976" w:top="1580" w:bottom="1240" w:left="1140" w:right="520"/>
        </w:sectPr>
      </w:pPr>
    </w:p>
    <w:p>
      <w:pPr>
        <w:pStyle w:val="BodyText"/>
        <w:spacing w:line="360" w:lineRule="auto" w:before="98"/>
        <w:ind w:left="1128" w:right="609" w:firstLine="708"/>
        <w:jc w:val="both"/>
      </w:pPr>
      <w:r>
        <w:rPr/>
        <w:t>‘‘Afet durumunda personelle nasıl haberleşeceği planlanmıştır. Kurumun tüm personeli bu plandan haberdardır (soru 43)’’ sorusuna, kesinlikle katılmıyorum şıkkının işaretlenme oranı %7,6, katılmıyorum şıkkının işaretlenme oranı %18,1, kararsızım şıkkının işaretlenme oranı %34,3, katılıyorum şıkkının işaretlenme oranı %31,4, kesinlikle katılıyorum şıkkının işaretlenme oranı %8,6’dır.</w:t>
      </w:r>
    </w:p>
    <w:p>
      <w:pPr>
        <w:pStyle w:val="BodyText"/>
        <w:spacing w:line="360" w:lineRule="auto"/>
        <w:ind w:left="1128" w:right="610" w:firstLine="708"/>
        <w:jc w:val="both"/>
      </w:pPr>
      <w:r>
        <w:rPr/>
        <w:t>‘‘Afet</w:t>
      </w:r>
      <w:r>
        <w:rPr>
          <w:spacing w:val="-15"/>
        </w:rPr>
        <w:t> </w:t>
      </w:r>
      <w:r>
        <w:rPr/>
        <w:t>anında</w:t>
      </w:r>
      <w:r>
        <w:rPr>
          <w:spacing w:val="-16"/>
        </w:rPr>
        <w:t> </w:t>
      </w:r>
      <w:r>
        <w:rPr/>
        <w:t>görev</w:t>
      </w:r>
      <w:r>
        <w:rPr>
          <w:spacing w:val="-14"/>
        </w:rPr>
        <w:t> </w:t>
      </w:r>
      <w:r>
        <w:rPr/>
        <w:t>başında</w:t>
      </w:r>
      <w:r>
        <w:rPr>
          <w:spacing w:val="-16"/>
        </w:rPr>
        <w:t> </w:t>
      </w:r>
      <w:r>
        <w:rPr/>
        <w:t>olan</w:t>
      </w:r>
      <w:r>
        <w:rPr>
          <w:spacing w:val="-16"/>
        </w:rPr>
        <w:t> </w:t>
      </w:r>
      <w:r>
        <w:rPr/>
        <w:t>personelin</w:t>
      </w:r>
      <w:r>
        <w:rPr>
          <w:spacing w:val="-14"/>
        </w:rPr>
        <w:t> </w:t>
      </w:r>
      <w:r>
        <w:rPr/>
        <w:t>ailesi</w:t>
      </w:r>
      <w:r>
        <w:rPr>
          <w:spacing w:val="-15"/>
        </w:rPr>
        <w:t> </w:t>
      </w:r>
      <w:r>
        <w:rPr/>
        <w:t>ve</w:t>
      </w:r>
      <w:r>
        <w:rPr>
          <w:spacing w:val="-14"/>
        </w:rPr>
        <w:t> </w:t>
      </w:r>
      <w:r>
        <w:rPr/>
        <w:t>yakınları</w:t>
      </w:r>
      <w:r>
        <w:rPr>
          <w:spacing w:val="-15"/>
        </w:rPr>
        <w:t> </w:t>
      </w:r>
      <w:r>
        <w:rPr/>
        <w:t>hakkında</w:t>
      </w:r>
      <w:r>
        <w:rPr>
          <w:spacing w:val="-16"/>
        </w:rPr>
        <w:t> </w:t>
      </w:r>
      <w:r>
        <w:rPr/>
        <w:t>nasıl</w:t>
      </w:r>
      <w:r>
        <w:rPr>
          <w:spacing w:val="-15"/>
        </w:rPr>
        <w:t> </w:t>
      </w:r>
      <w:r>
        <w:rPr/>
        <w:t>bilgi edinebileceği ayrıntılı olarak düzenlenmiştir (soru 44)’’ sorusuna, kesinlikle katılmıyorum</w:t>
      </w:r>
      <w:r>
        <w:rPr>
          <w:spacing w:val="10"/>
        </w:rPr>
        <w:t> </w:t>
      </w:r>
      <w:r>
        <w:rPr/>
        <w:t>şıkkının</w:t>
      </w:r>
      <w:r>
        <w:rPr>
          <w:spacing w:val="10"/>
        </w:rPr>
        <w:t> </w:t>
      </w:r>
      <w:r>
        <w:rPr/>
        <w:t>işaretlenme</w:t>
      </w:r>
      <w:r>
        <w:rPr>
          <w:spacing w:val="11"/>
        </w:rPr>
        <w:t> </w:t>
      </w:r>
      <w:r>
        <w:rPr/>
        <w:t>oranı</w:t>
      </w:r>
      <w:r>
        <w:rPr>
          <w:spacing w:val="10"/>
        </w:rPr>
        <w:t> </w:t>
      </w:r>
      <w:r>
        <w:rPr/>
        <w:t>%8,6,</w:t>
      </w:r>
      <w:r>
        <w:rPr>
          <w:spacing w:val="10"/>
        </w:rPr>
        <w:t> </w:t>
      </w:r>
      <w:r>
        <w:rPr/>
        <w:t>katılmıyorum</w:t>
      </w:r>
      <w:r>
        <w:rPr>
          <w:spacing w:val="10"/>
        </w:rPr>
        <w:t> </w:t>
      </w:r>
      <w:r>
        <w:rPr/>
        <w:t>şıkkının</w:t>
      </w:r>
      <w:r>
        <w:rPr>
          <w:spacing w:val="10"/>
        </w:rPr>
        <w:t> </w:t>
      </w:r>
      <w:r>
        <w:rPr/>
        <w:t>işaretlenme</w:t>
      </w:r>
      <w:r>
        <w:rPr>
          <w:spacing w:val="11"/>
        </w:rPr>
        <w:t> </w:t>
      </w:r>
      <w:r>
        <w:rPr/>
        <w:t>oranı</w:t>
      </w:r>
    </w:p>
    <w:p>
      <w:pPr>
        <w:pStyle w:val="BodyText"/>
        <w:spacing w:line="360" w:lineRule="auto"/>
        <w:ind w:left="1128" w:right="613"/>
      </w:pPr>
      <w:r>
        <w:rPr/>
        <w:t>%23,8, kararsızım şıkkının işaretlenme oranı %36,2, katılıyorum şıkkının işaretlenme oranı %24,8, kesinlikle katılıyorum şıkkının işaretlenme oranı %6,7’dir.</w:t>
      </w:r>
    </w:p>
    <w:p>
      <w:pPr>
        <w:pStyle w:val="BodyText"/>
        <w:spacing w:line="360" w:lineRule="auto" w:before="1"/>
        <w:ind w:left="1128" w:right="610" w:firstLine="708"/>
        <w:jc w:val="both"/>
      </w:pPr>
      <w:r>
        <w:rPr/>
        <w:t>‘‘Bir afette kurumumuz personelinin zarar görmesi durumunda, personel kurumumuzun yardımıyla mağduriyetinin azaltılacağına inanmaktadır (soru 45)’’ sorusuna, kesinlikle katılmıyorum şıkkının işaretlenme oranı %10,5, katılmıyorum şıkkının işaretlenme oranı %19,0, kararsızım şıkkının işaretlenme oranı %40,0, katılıyorum</w:t>
      </w:r>
      <w:r>
        <w:rPr>
          <w:spacing w:val="-14"/>
        </w:rPr>
        <w:t> </w:t>
      </w:r>
      <w:r>
        <w:rPr/>
        <w:t>şıkkının</w:t>
      </w:r>
      <w:r>
        <w:rPr>
          <w:spacing w:val="-13"/>
        </w:rPr>
        <w:t> </w:t>
      </w:r>
      <w:r>
        <w:rPr/>
        <w:t>işaretlenme</w:t>
      </w:r>
      <w:r>
        <w:rPr>
          <w:spacing w:val="-13"/>
        </w:rPr>
        <w:t> </w:t>
      </w:r>
      <w:r>
        <w:rPr/>
        <w:t>oranı</w:t>
      </w:r>
      <w:r>
        <w:rPr>
          <w:spacing w:val="-13"/>
        </w:rPr>
        <w:t> </w:t>
      </w:r>
      <w:r>
        <w:rPr/>
        <w:t>%22,9,</w:t>
      </w:r>
      <w:r>
        <w:rPr>
          <w:spacing w:val="-13"/>
        </w:rPr>
        <w:t> </w:t>
      </w:r>
      <w:r>
        <w:rPr/>
        <w:t>kesinlikle</w:t>
      </w:r>
      <w:r>
        <w:rPr>
          <w:spacing w:val="-14"/>
        </w:rPr>
        <w:t> </w:t>
      </w:r>
      <w:r>
        <w:rPr/>
        <w:t>katılıyorum</w:t>
      </w:r>
      <w:r>
        <w:rPr>
          <w:spacing w:val="-14"/>
        </w:rPr>
        <w:t> </w:t>
      </w:r>
      <w:r>
        <w:rPr/>
        <w:t>şıkkının</w:t>
      </w:r>
      <w:r>
        <w:rPr>
          <w:spacing w:val="-13"/>
        </w:rPr>
        <w:t> </w:t>
      </w:r>
      <w:r>
        <w:rPr/>
        <w:t>işaretlenme oranı</w:t>
      </w:r>
      <w:r>
        <w:rPr>
          <w:spacing w:val="-1"/>
        </w:rPr>
        <w:t> </w:t>
      </w:r>
      <w:r>
        <w:rPr/>
        <w:t>%7,6’dır.</w:t>
      </w:r>
    </w:p>
    <w:p>
      <w:pPr>
        <w:pStyle w:val="BodyText"/>
        <w:spacing w:line="360" w:lineRule="auto"/>
        <w:ind w:left="1128" w:right="608" w:firstLine="708"/>
        <w:jc w:val="both"/>
      </w:pPr>
      <w:r>
        <w:rPr/>
        <w:t>‘‘Yöneticiler ve personel afetlerle ilgili düzenlenen sürekli eğitim ve tatbikatlarla afet planındaki görevlerini en </w:t>
      </w:r>
      <w:r>
        <w:rPr>
          <w:spacing w:val="-2"/>
        </w:rPr>
        <w:t>iyi </w:t>
      </w:r>
      <w:r>
        <w:rPr/>
        <w:t>şekilde yerine getirecek becerileri kazanmışlardır (soru 46)’’ sorusuna, kesinlikle katılmıyorum şıkkının işaretlenme oranı %7,6, katılmıyorum şıkkının işaretlenme oranı %20,0, kararsızım şıkkının işaretlenme oranı %42,9, katılıyorum</w:t>
      </w:r>
      <w:r>
        <w:rPr>
          <w:spacing w:val="-14"/>
        </w:rPr>
        <w:t> </w:t>
      </w:r>
      <w:r>
        <w:rPr/>
        <w:t>şıkkının</w:t>
      </w:r>
      <w:r>
        <w:rPr>
          <w:spacing w:val="-13"/>
        </w:rPr>
        <w:t> </w:t>
      </w:r>
      <w:r>
        <w:rPr/>
        <w:t>işaretlenme</w:t>
      </w:r>
      <w:r>
        <w:rPr>
          <w:spacing w:val="-12"/>
        </w:rPr>
        <w:t> </w:t>
      </w:r>
      <w:r>
        <w:rPr/>
        <w:t>oranı</w:t>
      </w:r>
      <w:r>
        <w:rPr>
          <w:spacing w:val="-14"/>
        </w:rPr>
        <w:t> </w:t>
      </w:r>
      <w:r>
        <w:rPr/>
        <w:t>%24,8,</w:t>
      </w:r>
      <w:r>
        <w:rPr>
          <w:spacing w:val="-13"/>
        </w:rPr>
        <w:t> </w:t>
      </w:r>
      <w:r>
        <w:rPr/>
        <w:t>kesinlikle</w:t>
      </w:r>
      <w:r>
        <w:rPr>
          <w:spacing w:val="-14"/>
        </w:rPr>
        <w:t> </w:t>
      </w:r>
      <w:r>
        <w:rPr/>
        <w:t>katılıyorum</w:t>
      </w:r>
      <w:r>
        <w:rPr>
          <w:spacing w:val="-14"/>
        </w:rPr>
        <w:t> </w:t>
      </w:r>
      <w:r>
        <w:rPr/>
        <w:t>şıkkının</w:t>
      </w:r>
      <w:r>
        <w:rPr>
          <w:spacing w:val="-13"/>
        </w:rPr>
        <w:t> </w:t>
      </w:r>
      <w:r>
        <w:rPr/>
        <w:t>işaretlenme oranı</w:t>
      </w:r>
      <w:r>
        <w:rPr>
          <w:spacing w:val="-1"/>
        </w:rPr>
        <w:t> </w:t>
      </w:r>
      <w:r>
        <w:rPr/>
        <w:t>%4,8’dir.</w:t>
      </w:r>
    </w:p>
    <w:p>
      <w:pPr>
        <w:pStyle w:val="BodyText"/>
        <w:spacing w:line="360" w:lineRule="auto"/>
        <w:ind w:left="1128" w:right="611" w:firstLine="708"/>
        <w:jc w:val="both"/>
      </w:pPr>
      <w:r>
        <w:rPr/>
        <w:t>‘‘Kurumumuzun afet planının hazırlanmasında personelin katkıda bulunmasına önem</w:t>
      </w:r>
      <w:r>
        <w:rPr>
          <w:spacing w:val="-5"/>
        </w:rPr>
        <w:t> </w:t>
      </w:r>
      <w:r>
        <w:rPr/>
        <w:t>verilmiştir.</w:t>
      </w:r>
      <w:r>
        <w:rPr>
          <w:spacing w:val="-6"/>
        </w:rPr>
        <w:t> </w:t>
      </w:r>
      <w:r>
        <w:rPr/>
        <w:t>Bu</w:t>
      </w:r>
      <w:r>
        <w:rPr>
          <w:spacing w:val="-5"/>
        </w:rPr>
        <w:t> </w:t>
      </w:r>
      <w:r>
        <w:rPr/>
        <w:t>durum</w:t>
      </w:r>
      <w:r>
        <w:rPr>
          <w:spacing w:val="-5"/>
        </w:rPr>
        <w:t> </w:t>
      </w:r>
      <w:r>
        <w:rPr/>
        <w:t>planın</w:t>
      </w:r>
      <w:r>
        <w:rPr>
          <w:spacing w:val="-6"/>
        </w:rPr>
        <w:t> </w:t>
      </w:r>
      <w:r>
        <w:rPr/>
        <w:t>personel</w:t>
      </w:r>
      <w:r>
        <w:rPr>
          <w:spacing w:val="-2"/>
        </w:rPr>
        <w:t> </w:t>
      </w:r>
      <w:r>
        <w:rPr/>
        <w:t>tarafından</w:t>
      </w:r>
      <w:r>
        <w:rPr>
          <w:spacing w:val="-5"/>
        </w:rPr>
        <w:t> </w:t>
      </w:r>
      <w:r>
        <w:rPr/>
        <w:t>benimsenmesini</w:t>
      </w:r>
      <w:r>
        <w:rPr>
          <w:spacing w:val="-4"/>
        </w:rPr>
        <w:t> </w:t>
      </w:r>
      <w:r>
        <w:rPr/>
        <w:t>sağlamıştır</w:t>
      </w:r>
      <w:r>
        <w:rPr>
          <w:spacing w:val="-7"/>
        </w:rPr>
        <w:t> </w:t>
      </w:r>
      <w:r>
        <w:rPr/>
        <w:t>(soru 47)’’ sorusuna, kesinlikle katılmıyorum şıkkının işaretlenme oranı %10,5, katılmıyorum şıkkının işaretlenme oranı %21,0, kararsızım şıkkının işaretlenme oranı %37,1, katılıyorum</w:t>
      </w:r>
      <w:r>
        <w:rPr>
          <w:spacing w:val="-14"/>
        </w:rPr>
        <w:t> </w:t>
      </w:r>
      <w:r>
        <w:rPr/>
        <w:t>şıkkının</w:t>
      </w:r>
      <w:r>
        <w:rPr>
          <w:spacing w:val="-14"/>
        </w:rPr>
        <w:t> </w:t>
      </w:r>
      <w:r>
        <w:rPr/>
        <w:t>işaretlenme</w:t>
      </w:r>
      <w:r>
        <w:rPr>
          <w:spacing w:val="-12"/>
        </w:rPr>
        <w:t> </w:t>
      </w:r>
      <w:r>
        <w:rPr/>
        <w:t>oranı</w:t>
      </w:r>
      <w:r>
        <w:rPr>
          <w:spacing w:val="-14"/>
        </w:rPr>
        <w:t> </w:t>
      </w:r>
      <w:r>
        <w:rPr/>
        <w:t>%26,7,</w:t>
      </w:r>
      <w:r>
        <w:rPr>
          <w:spacing w:val="-13"/>
        </w:rPr>
        <w:t> </w:t>
      </w:r>
      <w:r>
        <w:rPr/>
        <w:t>kesinlikle</w:t>
      </w:r>
      <w:r>
        <w:rPr>
          <w:spacing w:val="-15"/>
        </w:rPr>
        <w:t> </w:t>
      </w:r>
      <w:r>
        <w:rPr/>
        <w:t>katılıyorum</w:t>
      </w:r>
      <w:r>
        <w:rPr>
          <w:spacing w:val="-12"/>
        </w:rPr>
        <w:t> </w:t>
      </w:r>
      <w:r>
        <w:rPr/>
        <w:t>şıkkının</w:t>
      </w:r>
      <w:r>
        <w:rPr>
          <w:spacing w:val="-14"/>
        </w:rPr>
        <w:t> </w:t>
      </w:r>
      <w:r>
        <w:rPr/>
        <w:t>işaretlenme oranı</w:t>
      </w:r>
      <w:r>
        <w:rPr>
          <w:spacing w:val="-1"/>
        </w:rPr>
        <w:t> </w:t>
      </w:r>
      <w:r>
        <w:rPr/>
        <w:t>%4,8’dir.</w:t>
      </w:r>
    </w:p>
    <w:p>
      <w:pPr>
        <w:pStyle w:val="BodyText"/>
        <w:spacing w:line="360" w:lineRule="auto"/>
        <w:ind w:left="1128" w:right="611" w:firstLine="708"/>
        <w:jc w:val="both"/>
      </w:pPr>
      <w:r>
        <w:rPr/>
        <w:t>‘‘Kurumumuz personeli ve yöneticilerinde afetlerle mücadele etmede bilinç oluşmuştur  (soru  48)’’  sorusuna,  kesinlikle  katılmıyorum  şıkkının  işaretlenme</w:t>
      </w:r>
      <w:r>
        <w:rPr>
          <w:spacing w:val="17"/>
        </w:rPr>
        <w:t> </w:t>
      </w:r>
      <w:r>
        <w:rPr/>
        <w:t>oranı</w:t>
      </w:r>
    </w:p>
    <w:p>
      <w:pPr>
        <w:pStyle w:val="BodyText"/>
        <w:ind w:left="1128"/>
      </w:pPr>
      <w:r>
        <w:rPr/>
        <w:t>%8,6,</w:t>
      </w:r>
      <w:r>
        <w:rPr>
          <w:spacing w:val="23"/>
        </w:rPr>
        <w:t> </w:t>
      </w:r>
      <w:r>
        <w:rPr/>
        <w:t>katılmıyorum</w:t>
      </w:r>
      <w:r>
        <w:rPr>
          <w:spacing w:val="23"/>
        </w:rPr>
        <w:t> </w:t>
      </w:r>
      <w:r>
        <w:rPr/>
        <w:t>şıkkının</w:t>
      </w:r>
      <w:r>
        <w:rPr>
          <w:spacing w:val="24"/>
        </w:rPr>
        <w:t> </w:t>
      </w:r>
      <w:r>
        <w:rPr/>
        <w:t>işaretlenme</w:t>
      </w:r>
      <w:r>
        <w:rPr>
          <w:spacing w:val="24"/>
        </w:rPr>
        <w:t> </w:t>
      </w:r>
      <w:r>
        <w:rPr/>
        <w:t>oranı</w:t>
      </w:r>
      <w:r>
        <w:rPr>
          <w:spacing w:val="26"/>
        </w:rPr>
        <w:t> </w:t>
      </w:r>
      <w:r>
        <w:rPr/>
        <w:t>%22,9,</w:t>
      </w:r>
      <w:r>
        <w:rPr>
          <w:spacing w:val="24"/>
        </w:rPr>
        <w:t> </w:t>
      </w:r>
      <w:r>
        <w:rPr/>
        <w:t>kararsızım</w:t>
      </w:r>
      <w:r>
        <w:rPr>
          <w:spacing w:val="24"/>
        </w:rPr>
        <w:t> </w:t>
      </w:r>
      <w:r>
        <w:rPr/>
        <w:t>şıkkının</w:t>
      </w:r>
      <w:r>
        <w:rPr>
          <w:spacing w:val="23"/>
        </w:rPr>
        <w:t> </w:t>
      </w:r>
      <w:r>
        <w:rPr/>
        <w:t>işaretlenme</w:t>
      </w:r>
    </w:p>
    <w:p>
      <w:pPr>
        <w:spacing w:after="0"/>
        <w:sectPr>
          <w:pgSz w:w="11910" w:h="16840"/>
          <w:pgMar w:header="0" w:footer="976" w:top="1580" w:bottom="1240" w:left="1140" w:right="520"/>
        </w:sectPr>
      </w:pPr>
    </w:p>
    <w:p>
      <w:pPr>
        <w:pStyle w:val="BodyText"/>
        <w:spacing w:line="360" w:lineRule="auto" w:before="98"/>
        <w:ind w:left="1128" w:right="613"/>
      </w:pPr>
      <w:r>
        <w:rPr/>
        <w:t>oranı %32,4, katılıyorum şıkkının işaretlenme oranı %27,6, kesinlikle katılıyorum şıkkının işaretlenme oranı %8,6’dır.</w:t>
      </w:r>
    </w:p>
    <w:p>
      <w:pPr>
        <w:pStyle w:val="BodyText"/>
        <w:spacing w:line="360" w:lineRule="auto"/>
        <w:ind w:left="1128" w:right="609" w:firstLine="708"/>
        <w:jc w:val="both"/>
      </w:pPr>
      <w:r>
        <w:rPr/>
        <w:t>‘‘Kurumumuzun</w:t>
      </w:r>
      <w:r>
        <w:rPr>
          <w:spacing w:val="-7"/>
        </w:rPr>
        <w:t> </w:t>
      </w:r>
      <w:r>
        <w:rPr/>
        <w:t>afet</w:t>
      </w:r>
      <w:r>
        <w:rPr>
          <w:spacing w:val="-6"/>
        </w:rPr>
        <w:t> </w:t>
      </w:r>
      <w:r>
        <w:rPr/>
        <w:t>planının</w:t>
      </w:r>
      <w:r>
        <w:rPr>
          <w:spacing w:val="-7"/>
        </w:rPr>
        <w:t> </w:t>
      </w:r>
      <w:r>
        <w:rPr/>
        <w:t>hazırlanmasında</w:t>
      </w:r>
      <w:r>
        <w:rPr>
          <w:spacing w:val="-2"/>
        </w:rPr>
        <w:t> </w:t>
      </w:r>
      <w:r>
        <w:rPr/>
        <w:t>görev</w:t>
      </w:r>
      <w:r>
        <w:rPr>
          <w:spacing w:val="-7"/>
        </w:rPr>
        <w:t> </w:t>
      </w:r>
      <w:r>
        <w:rPr/>
        <w:t>verilen</w:t>
      </w:r>
      <w:r>
        <w:rPr>
          <w:spacing w:val="-6"/>
        </w:rPr>
        <w:t> </w:t>
      </w:r>
      <w:r>
        <w:rPr/>
        <w:t>personel</w:t>
      </w:r>
      <w:r>
        <w:rPr>
          <w:spacing w:val="-4"/>
        </w:rPr>
        <w:t> </w:t>
      </w:r>
      <w:r>
        <w:rPr/>
        <w:t>afetle</w:t>
      </w:r>
      <w:r>
        <w:rPr>
          <w:spacing w:val="-8"/>
        </w:rPr>
        <w:t> </w:t>
      </w:r>
      <w:r>
        <w:rPr/>
        <w:t>ilgili risk analizlerini yapabilecek bilgi, beceri ve kabiliyete sahiptir (soru 49)’’ sorusuna, kesinlikle katılmıyorum şıkkının işaretlenme oranı %12,4, katılmıyorum şıkkının işaretlenme oranı %15,2, kararsızım şıkkının işaretlenme oranı %33,3, katılıyorum şıkkının işaretlenme oranı %29,5, kesinlikle katılıyorum şıkkının işaretlenme</w:t>
      </w:r>
      <w:r>
        <w:rPr>
          <w:spacing w:val="41"/>
        </w:rPr>
        <w:t> </w:t>
      </w:r>
      <w:r>
        <w:rPr/>
        <w:t>oranı</w:t>
      </w:r>
    </w:p>
    <w:p>
      <w:pPr>
        <w:pStyle w:val="BodyText"/>
        <w:spacing w:line="275" w:lineRule="exact"/>
        <w:ind w:left="1128"/>
      </w:pPr>
      <w:r>
        <w:rPr/>
        <w:t>%9,5’tir.</w:t>
      </w:r>
    </w:p>
    <w:p>
      <w:pPr>
        <w:pStyle w:val="BodyText"/>
        <w:spacing w:line="360" w:lineRule="auto" w:before="139"/>
        <w:ind w:left="1373" w:right="641" w:firstLine="504"/>
      </w:pPr>
      <w:r>
        <w:rPr/>
        <w:t>Araştırma grubundaki kişilerin liderlik, ekip yönetimi, çalışma yönetimi ve stres altında çalışma ile ilgili anket sorularının incelenmesi Tablo 4. 11’de gösterilmiştir.</w:t>
      </w:r>
    </w:p>
    <w:p>
      <w:pPr>
        <w:pStyle w:val="BodyText"/>
        <w:spacing w:before="4"/>
        <w:rPr>
          <w:sz w:val="36"/>
        </w:rPr>
      </w:pPr>
    </w:p>
    <w:p>
      <w:pPr>
        <w:pStyle w:val="Heading1"/>
        <w:spacing w:line="259" w:lineRule="auto"/>
        <w:ind w:left="1754" w:right="896" w:firstLine="379"/>
      </w:pPr>
      <w:r>
        <w:rPr/>
        <w:t>Tablo 4. 11. Araştırma Grubundaki Kişilerin Liderlik, Ekip Yönetimi, Çalışma Yönetimi ve Stres Altında Çalışma İle İlgili Anket Sorularının</w:t>
      </w:r>
    </w:p>
    <w:p>
      <w:pPr>
        <w:spacing w:line="273" w:lineRule="exact" w:before="0"/>
        <w:ind w:left="1452" w:right="943" w:firstLine="0"/>
        <w:jc w:val="center"/>
        <w:rPr>
          <w:b/>
          <w:sz w:val="24"/>
        </w:rPr>
      </w:pPr>
      <w:r>
        <w:rPr>
          <w:b/>
          <w:sz w:val="24"/>
        </w:rPr>
        <w:t>İncelenmesi</w:t>
      </w:r>
    </w:p>
    <w:p>
      <w:pPr>
        <w:pStyle w:val="BodyText"/>
        <w:spacing w:before="7"/>
        <w:rPr>
          <w:b/>
          <w:sz w:val="16"/>
        </w:rPr>
      </w:pPr>
    </w:p>
    <w:tbl>
      <w:tblPr>
        <w:tblW w:w="0" w:type="auto"/>
        <w:jc w:val="left"/>
        <w:tblInd w:w="10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019"/>
        <w:gridCol w:w="777"/>
        <w:gridCol w:w="1086"/>
        <w:gridCol w:w="1245"/>
        <w:gridCol w:w="1065"/>
        <w:gridCol w:w="1210"/>
        <w:gridCol w:w="1348"/>
      </w:tblGrid>
      <w:tr>
        <w:trPr>
          <w:trHeight w:val="638" w:hRule="atLeast"/>
        </w:trPr>
        <w:tc>
          <w:tcPr>
            <w:tcW w:w="2019" w:type="dxa"/>
            <w:tcBorders>
              <w:top w:val="single" w:sz="4" w:space="0" w:color="000000"/>
              <w:bottom w:val="single" w:sz="4" w:space="0" w:color="000000"/>
            </w:tcBorders>
          </w:tcPr>
          <w:p>
            <w:pPr>
              <w:pStyle w:val="TableParagraph"/>
              <w:spacing w:before="95"/>
              <w:ind w:left="117"/>
              <w:rPr>
                <w:b/>
                <w:sz w:val="18"/>
              </w:rPr>
            </w:pPr>
            <w:r>
              <w:rPr>
                <w:b/>
                <w:sz w:val="18"/>
              </w:rPr>
              <w:t>Soru</w:t>
            </w:r>
          </w:p>
        </w:tc>
        <w:tc>
          <w:tcPr>
            <w:tcW w:w="1863" w:type="dxa"/>
            <w:gridSpan w:val="2"/>
            <w:tcBorders>
              <w:top w:val="single" w:sz="4" w:space="0" w:color="000000"/>
              <w:bottom w:val="single" w:sz="4" w:space="0" w:color="000000"/>
            </w:tcBorders>
          </w:tcPr>
          <w:p>
            <w:pPr>
              <w:pStyle w:val="TableParagraph"/>
              <w:spacing w:line="259" w:lineRule="auto" w:before="95"/>
              <w:ind w:left="690" w:right="53"/>
              <w:rPr>
                <w:b/>
                <w:sz w:val="18"/>
              </w:rPr>
            </w:pPr>
            <w:r>
              <w:rPr>
                <w:b/>
                <w:sz w:val="18"/>
              </w:rPr>
              <w:t>Kesinlikle Katılmıyorum</w:t>
            </w:r>
          </w:p>
        </w:tc>
        <w:tc>
          <w:tcPr>
            <w:tcW w:w="1245" w:type="dxa"/>
            <w:tcBorders>
              <w:top w:val="single" w:sz="4" w:space="0" w:color="000000"/>
              <w:bottom w:val="single" w:sz="4" w:space="0" w:color="000000"/>
            </w:tcBorders>
          </w:tcPr>
          <w:p>
            <w:pPr>
              <w:pStyle w:val="TableParagraph"/>
              <w:spacing w:before="95"/>
              <w:ind w:left="52" w:right="52"/>
              <w:jc w:val="center"/>
              <w:rPr>
                <w:b/>
                <w:sz w:val="18"/>
              </w:rPr>
            </w:pPr>
            <w:r>
              <w:rPr>
                <w:b/>
                <w:sz w:val="18"/>
              </w:rPr>
              <w:t>Katılmıyorum</w:t>
            </w:r>
          </w:p>
        </w:tc>
        <w:tc>
          <w:tcPr>
            <w:tcW w:w="1065" w:type="dxa"/>
            <w:tcBorders>
              <w:top w:val="single" w:sz="4" w:space="0" w:color="000000"/>
              <w:bottom w:val="single" w:sz="4" w:space="0" w:color="000000"/>
            </w:tcBorders>
          </w:tcPr>
          <w:p>
            <w:pPr>
              <w:pStyle w:val="TableParagraph"/>
              <w:spacing w:before="95"/>
              <w:ind w:left="71"/>
              <w:rPr>
                <w:b/>
                <w:sz w:val="18"/>
              </w:rPr>
            </w:pPr>
            <w:r>
              <w:rPr>
                <w:b/>
                <w:sz w:val="18"/>
              </w:rPr>
              <w:t>Kararsızım</w:t>
            </w:r>
          </w:p>
        </w:tc>
        <w:tc>
          <w:tcPr>
            <w:tcW w:w="1210" w:type="dxa"/>
            <w:tcBorders>
              <w:top w:val="single" w:sz="4" w:space="0" w:color="000000"/>
              <w:bottom w:val="single" w:sz="4" w:space="0" w:color="000000"/>
            </w:tcBorders>
          </w:tcPr>
          <w:p>
            <w:pPr>
              <w:pStyle w:val="TableParagraph"/>
              <w:spacing w:before="95"/>
              <w:ind w:left="110"/>
              <w:rPr>
                <w:b/>
                <w:sz w:val="18"/>
              </w:rPr>
            </w:pPr>
            <w:r>
              <w:rPr>
                <w:b/>
                <w:sz w:val="18"/>
              </w:rPr>
              <w:t>Katılıyorum</w:t>
            </w:r>
          </w:p>
        </w:tc>
        <w:tc>
          <w:tcPr>
            <w:tcW w:w="1348" w:type="dxa"/>
            <w:tcBorders>
              <w:top w:val="single" w:sz="4" w:space="0" w:color="000000"/>
              <w:bottom w:val="single" w:sz="4" w:space="0" w:color="000000"/>
            </w:tcBorders>
          </w:tcPr>
          <w:p>
            <w:pPr>
              <w:pStyle w:val="TableParagraph"/>
              <w:spacing w:line="259" w:lineRule="auto" w:before="95"/>
              <w:ind w:left="147" w:right="231"/>
              <w:rPr>
                <w:b/>
                <w:sz w:val="18"/>
              </w:rPr>
            </w:pPr>
            <w:r>
              <w:rPr>
                <w:b/>
                <w:sz w:val="18"/>
              </w:rPr>
              <w:t>Kesinlikle Katılıyorum</w:t>
            </w:r>
          </w:p>
        </w:tc>
      </w:tr>
      <w:tr>
        <w:trPr>
          <w:trHeight w:val="314" w:hRule="atLeast"/>
        </w:trPr>
        <w:tc>
          <w:tcPr>
            <w:tcW w:w="2019" w:type="dxa"/>
            <w:tcBorders>
              <w:top w:val="single" w:sz="4" w:space="0" w:color="000000"/>
            </w:tcBorders>
          </w:tcPr>
          <w:p>
            <w:pPr>
              <w:pStyle w:val="TableParagraph"/>
              <w:spacing w:line="201" w:lineRule="exact" w:before="93"/>
              <w:ind w:left="117"/>
              <w:rPr>
                <w:sz w:val="18"/>
              </w:rPr>
            </w:pPr>
            <w:r>
              <w:rPr>
                <w:b/>
                <w:sz w:val="18"/>
              </w:rPr>
              <w:t>Soru 50. </w:t>
            </w:r>
            <w:r>
              <w:rPr>
                <w:sz w:val="18"/>
              </w:rPr>
              <w:t>Kurumumuzun</w:t>
            </w:r>
          </w:p>
        </w:tc>
        <w:tc>
          <w:tcPr>
            <w:tcW w:w="777" w:type="dxa"/>
            <w:vMerge w:val="restart"/>
            <w:tcBorders>
              <w:top w:val="single" w:sz="4" w:space="0" w:color="000000"/>
              <w:bottom w:val="single" w:sz="4" w:space="0" w:color="000000"/>
            </w:tcBorders>
          </w:tcPr>
          <w:p>
            <w:pPr>
              <w:pStyle w:val="TableParagraph"/>
              <w:spacing w:before="93"/>
              <w:ind w:left="148"/>
              <w:rPr>
                <w:sz w:val="18"/>
              </w:rPr>
            </w:pPr>
            <w:r>
              <w:rPr>
                <w:sz w:val="18"/>
              </w:rPr>
              <w:t>Sayı</w:t>
            </w:r>
          </w:p>
          <w:p>
            <w:pPr>
              <w:pStyle w:val="TableParagraph"/>
              <w:spacing w:line="276" w:lineRule="auto" w:before="127"/>
              <w:ind w:left="198" w:right="181" w:hanging="92"/>
              <w:rPr>
                <w:sz w:val="18"/>
              </w:rPr>
            </w:pPr>
            <w:r>
              <w:rPr>
                <w:sz w:val="18"/>
              </w:rPr>
              <w:t>Yüzde (%)</w:t>
            </w:r>
          </w:p>
          <w:p>
            <w:pPr>
              <w:pStyle w:val="TableParagraph"/>
              <w:rPr>
                <w:b/>
                <w:sz w:val="20"/>
              </w:rPr>
            </w:pPr>
          </w:p>
          <w:p>
            <w:pPr>
              <w:pStyle w:val="TableParagraph"/>
              <w:spacing w:before="3"/>
              <w:rPr>
                <w:b/>
                <w:sz w:val="17"/>
              </w:rPr>
            </w:pPr>
          </w:p>
          <w:p>
            <w:pPr>
              <w:pStyle w:val="TableParagraph"/>
              <w:ind w:left="107"/>
              <w:rPr>
                <w:sz w:val="18"/>
              </w:rPr>
            </w:pPr>
            <w:r>
              <w:rPr>
                <w:sz w:val="18"/>
              </w:rPr>
              <w:t>Sayı</w:t>
            </w:r>
          </w:p>
          <w:p>
            <w:pPr>
              <w:pStyle w:val="TableParagraph"/>
              <w:spacing w:line="278" w:lineRule="auto" w:before="127"/>
              <w:ind w:left="198" w:right="181" w:hanging="92"/>
              <w:rPr>
                <w:sz w:val="18"/>
              </w:rPr>
            </w:pPr>
            <w:r>
              <w:rPr>
                <w:sz w:val="18"/>
              </w:rPr>
              <w:t>Yüzde (%)</w:t>
            </w:r>
          </w:p>
          <w:p>
            <w:pPr>
              <w:pStyle w:val="TableParagraph"/>
              <w:rPr>
                <w:b/>
                <w:sz w:val="20"/>
              </w:rPr>
            </w:pPr>
          </w:p>
          <w:p>
            <w:pPr>
              <w:pStyle w:val="TableParagraph"/>
              <w:spacing w:before="1"/>
              <w:rPr>
                <w:b/>
                <w:sz w:val="17"/>
              </w:rPr>
            </w:pPr>
          </w:p>
          <w:p>
            <w:pPr>
              <w:pStyle w:val="TableParagraph"/>
              <w:spacing w:before="1"/>
              <w:ind w:left="107"/>
              <w:rPr>
                <w:sz w:val="18"/>
              </w:rPr>
            </w:pPr>
            <w:r>
              <w:rPr>
                <w:sz w:val="18"/>
              </w:rPr>
              <w:t>Sayı</w:t>
            </w:r>
          </w:p>
          <w:p>
            <w:pPr>
              <w:pStyle w:val="TableParagraph"/>
              <w:spacing w:line="276" w:lineRule="auto" w:before="126"/>
              <w:ind w:left="198" w:right="181"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7"/>
              <w:rPr>
                <w:b/>
                <w:sz w:val="24"/>
              </w:rPr>
            </w:pPr>
          </w:p>
          <w:p>
            <w:pPr>
              <w:pStyle w:val="TableParagraph"/>
              <w:ind w:left="107"/>
              <w:rPr>
                <w:sz w:val="18"/>
              </w:rPr>
            </w:pPr>
            <w:r>
              <w:rPr>
                <w:sz w:val="18"/>
              </w:rPr>
              <w:t>Sayı</w:t>
            </w:r>
          </w:p>
          <w:p>
            <w:pPr>
              <w:pStyle w:val="TableParagraph"/>
              <w:spacing w:line="278" w:lineRule="auto" w:before="126"/>
              <w:ind w:left="198" w:right="181" w:hanging="92"/>
              <w:rPr>
                <w:sz w:val="18"/>
              </w:rPr>
            </w:pPr>
            <w:r>
              <w:rPr>
                <w:sz w:val="18"/>
              </w:rPr>
              <w:t>Yüzde (%)</w:t>
            </w:r>
          </w:p>
          <w:p>
            <w:pPr>
              <w:pStyle w:val="TableParagraph"/>
              <w:rPr>
                <w:b/>
                <w:sz w:val="20"/>
              </w:rPr>
            </w:pPr>
          </w:p>
          <w:p>
            <w:pPr>
              <w:pStyle w:val="TableParagraph"/>
              <w:spacing w:before="2"/>
              <w:rPr>
                <w:b/>
                <w:sz w:val="17"/>
              </w:rPr>
            </w:pPr>
          </w:p>
          <w:p>
            <w:pPr>
              <w:pStyle w:val="TableParagraph"/>
              <w:ind w:left="107"/>
              <w:rPr>
                <w:sz w:val="18"/>
              </w:rPr>
            </w:pPr>
            <w:r>
              <w:rPr>
                <w:sz w:val="18"/>
              </w:rPr>
              <w:t>Sayı</w:t>
            </w:r>
          </w:p>
          <w:p>
            <w:pPr>
              <w:pStyle w:val="TableParagraph"/>
              <w:spacing w:line="276" w:lineRule="auto" w:before="127"/>
              <w:ind w:left="198" w:right="181" w:hanging="92"/>
              <w:rPr>
                <w:sz w:val="18"/>
              </w:rPr>
            </w:pPr>
            <w:r>
              <w:rPr>
                <w:sz w:val="18"/>
              </w:rPr>
              <w:t>Yüzde (%)</w:t>
            </w:r>
          </w:p>
        </w:tc>
        <w:tc>
          <w:tcPr>
            <w:tcW w:w="1086" w:type="dxa"/>
            <w:tcBorders>
              <w:top w:val="single" w:sz="4" w:space="0" w:color="000000"/>
            </w:tcBorders>
          </w:tcPr>
          <w:p>
            <w:pPr>
              <w:pStyle w:val="TableParagraph"/>
              <w:spacing w:line="201" w:lineRule="exact" w:before="93"/>
              <w:ind w:left="290"/>
              <w:rPr>
                <w:sz w:val="18"/>
              </w:rPr>
            </w:pPr>
            <w:r>
              <w:rPr>
                <w:sz w:val="18"/>
              </w:rPr>
              <w:t>9</w:t>
            </w:r>
          </w:p>
        </w:tc>
        <w:tc>
          <w:tcPr>
            <w:tcW w:w="1245" w:type="dxa"/>
            <w:tcBorders>
              <w:top w:val="single" w:sz="4" w:space="0" w:color="000000"/>
            </w:tcBorders>
          </w:tcPr>
          <w:p>
            <w:pPr>
              <w:pStyle w:val="TableParagraph"/>
              <w:spacing w:line="201" w:lineRule="exact" w:before="93"/>
              <w:ind w:left="52" w:right="149"/>
              <w:jc w:val="center"/>
              <w:rPr>
                <w:sz w:val="18"/>
              </w:rPr>
            </w:pPr>
            <w:r>
              <w:rPr>
                <w:sz w:val="18"/>
              </w:rPr>
              <w:t>21</w:t>
            </w:r>
          </w:p>
        </w:tc>
        <w:tc>
          <w:tcPr>
            <w:tcW w:w="1065" w:type="dxa"/>
            <w:tcBorders>
              <w:top w:val="single" w:sz="4" w:space="0" w:color="000000"/>
            </w:tcBorders>
          </w:tcPr>
          <w:p>
            <w:pPr>
              <w:pStyle w:val="TableParagraph"/>
              <w:spacing w:line="201" w:lineRule="exact" w:before="93"/>
              <w:ind w:left="329" w:right="252"/>
              <w:jc w:val="center"/>
              <w:rPr>
                <w:sz w:val="18"/>
              </w:rPr>
            </w:pPr>
            <w:r>
              <w:rPr>
                <w:sz w:val="18"/>
              </w:rPr>
              <w:t>38</w:t>
            </w:r>
          </w:p>
        </w:tc>
        <w:tc>
          <w:tcPr>
            <w:tcW w:w="1210" w:type="dxa"/>
            <w:tcBorders>
              <w:top w:val="single" w:sz="4" w:space="0" w:color="000000"/>
            </w:tcBorders>
          </w:tcPr>
          <w:p>
            <w:pPr>
              <w:pStyle w:val="TableParagraph"/>
              <w:spacing w:line="201" w:lineRule="exact" w:before="93"/>
              <w:ind w:left="371" w:right="355"/>
              <w:jc w:val="center"/>
              <w:rPr>
                <w:sz w:val="18"/>
              </w:rPr>
            </w:pPr>
            <w:r>
              <w:rPr>
                <w:sz w:val="18"/>
              </w:rPr>
              <w:t>27</w:t>
            </w:r>
          </w:p>
        </w:tc>
        <w:tc>
          <w:tcPr>
            <w:tcW w:w="1348" w:type="dxa"/>
            <w:tcBorders>
              <w:top w:val="single" w:sz="4" w:space="0" w:color="000000"/>
            </w:tcBorders>
          </w:tcPr>
          <w:p>
            <w:pPr>
              <w:pStyle w:val="TableParagraph"/>
              <w:spacing w:line="201" w:lineRule="exact" w:before="93"/>
              <w:ind w:left="480"/>
              <w:rPr>
                <w:sz w:val="18"/>
              </w:rPr>
            </w:pPr>
            <w:r>
              <w:rPr>
                <w:sz w:val="18"/>
              </w:rPr>
              <w:t>10</w:t>
            </w:r>
          </w:p>
        </w:tc>
      </w:tr>
      <w:tr>
        <w:trPr>
          <w:trHeight w:val="465" w:hRule="atLeast"/>
        </w:trPr>
        <w:tc>
          <w:tcPr>
            <w:tcW w:w="2019" w:type="dxa"/>
          </w:tcPr>
          <w:p>
            <w:pPr>
              <w:pStyle w:val="TableParagraph"/>
              <w:tabs>
                <w:tab w:pos="1508" w:val="left" w:leader="none"/>
              </w:tabs>
              <w:spacing w:before="6"/>
              <w:ind w:left="117"/>
              <w:rPr>
                <w:sz w:val="18"/>
              </w:rPr>
            </w:pPr>
            <w:r>
              <w:rPr>
                <w:sz w:val="18"/>
              </w:rPr>
              <w:t>yöneticileri</w:t>
              <w:tab/>
              <w:t>afette</w:t>
            </w:r>
          </w:p>
          <w:p>
            <w:pPr>
              <w:pStyle w:val="TableParagraph"/>
              <w:tabs>
                <w:tab w:pos="1390" w:val="left" w:leader="none"/>
              </w:tabs>
              <w:spacing w:line="201" w:lineRule="exact" w:before="31"/>
              <w:ind w:left="117"/>
              <w:rPr>
                <w:sz w:val="18"/>
              </w:rPr>
            </w:pPr>
            <w:r>
              <w:rPr>
                <w:sz w:val="18"/>
              </w:rPr>
              <w:t>personeline</w:t>
              <w:tab/>
              <w:t>liderlik</w:t>
            </w:r>
          </w:p>
        </w:tc>
        <w:tc>
          <w:tcPr>
            <w:tcW w:w="777" w:type="dxa"/>
            <w:vMerge/>
            <w:tcBorders>
              <w:top w:val="nil"/>
              <w:bottom w:val="single" w:sz="4" w:space="0" w:color="000000"/>
            </w:tcBorders>
          </w:tcPr>
          <w:p>
            <w:pPr>
              <w:rPr>
                <w:sz w:val="2"/>
                <w:szCs w:val="2"/>
              </w:rPr>
            </w:pPr>
          </w:p>
        </w:tc>
        <w:tc>
          <w:tcPr>
            <w:tcW w:w="1086" w:type="dxa"/>
          </w:tcPr>
          <w:p>
            <w:pPr>
              <w:pStyle w:val="TableParagraph"/>
              <w:spacing w:before="102"/>
              <w:ind w:left="290"/>
              <w:rPr>
                <w:sz w:val="18"/>
              </w:rPr>
            </w:pPr>
            <w:r>
              <w:rPr>
                <w:sz w:val="18"/>
              </w:rPr>
              <w:t>8,6</w:t>
            </w:r>
          </w:p>
        </w:tc>
        <w:tc>
          <w:tcPr>
            <w:tcW w:w="1245" w:type="dxa"/>
          </w:tcPr>
          <w:p>
            <w:pPr>
              <w:pStyle w:val="TableParagraph"/>
              <w:spacing w:before="102"/>
              <w:ind w:left="52" w:right="24"/>
              <w:jc w:val="center"/>
              <w:rPr>
                <w:sz w:val="18"/>
              </w:rPr>
            </w:pPr>
            <w:r>
              <w:rPr>
                <w:sz w:val="18"/>
              </w:rPr>
              <w:t>20,0</w:t>
            </w:r>
          </w:p>
        </w:tc>
        <w:tc>
          <w:tcPr>
            <w:tcW w:w="1065" w:type="dxa"/>
          </w:tcPr>
          <w:p>
            <w:pPr>
              <w:pStyle w:val="TableParagraph"/>
              <w:spacing w:before="102"/>
              <w:ind w:left="477"/>
              <w:rPr>
                <w:sz w:val="18"/>
              </w:rPr>
            </w:pPr>
            <w:r>
              <w:rPr>
                <w:sz w:val="18"/>
              </w:rPr>
              <w:t>36,2</w:t>
            </w:r>
          </w:p>
        </w:tc>
        <w:tc>
          <w:tcPr>
            <w:tcW w:w="1210" w:type="dxa"/>
          </w:tcPr>
          <w:p>
            <w:pPr>
              <w:pStyle w:val="TableParagraph"/>
              <w:spacing w:before="102"/>
              <w:ind w:left="519"/>
              <w:rPr>
                <w:sz w:val="18"/>
              </w:rPr>
            </w:pPr>
            <w:r>
              <w:rPr>
                <w:sz w:val="18"/>
              </w:rPr>
              <w:t>25,7</w:t>
            </w:r>
          </w:p>
        </w:tc>
        <w:tc>
          <w:tcPr>
            <w:tcW w:w="1348" w:type="dxa"/>
          </w:tcPr>
          <w:p>
            <w:pPr>
              <w:pStyle w:val="TableParagraph"/>
              <w:spacing w:before="102"/>
              <w:ind w:right="550"/>
              <w:jc w:val="right"/>
              <w:rPr>
                <w:sz w:val="18"/>
              </w:rPr>
            </w:pPr>
            <w:r>
              <w:rPr>
                <w:sz w:val="18"/>
              </w:rPr>
              <w:t>9,5</w:t>
            </w:r>
          </w:p>
        </w:tc>
      </w:tr>
      <w:tr>
        <w:trPr>
          <w:trHeight w:val="227" w:hRule="atLeast"/>
        </w:trPr>
        <w:tc>
          <w:tcPr>
            <w:tcW w:w="2019" w:type="dxa"/>
          </w:tcPr>
          <w:p>
            <w:pPr>
              <w:pStyle w:val="TableParagraph"/>
              <w:spacing w:line="201" w:lineRule="exact" w:before="6"/>
              <w:ind w:left="117"/>
              <w:rPr>
                <w:sz w:val="18"/>
              </w:rPr>
            </w:pPr>
            <w:r>
              <w:rPr>
                <w:sz w:val="18"/>
              </w:rPr>
              <w:t>yapabilecek kabiliyet ve</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08" w:hRule="atLeast"/>
        </w:trPr>
        <w:tc>
          <w:tcPr>
            <w:tcW w:w="2019" w:type="dxa"/>
          </w:tcPr>
          <w:p>
            <w:pPr>
              <w:pStyle w:val="TableParagraph"/>
              <w:spacing w:line="182" w:lineRule="exact" w:before="6"/>
              <w:ind w:left="117"/>
              <w:rPr>
                <w:sz w:val="18"/>
              </w:rPr>
            </w:pPr>
            <w:r>
              <w:rPr>
                <w:sz w:val="18"/>
              </w:rPr>
              <w:t>bilgiye sahiptirler.</w:t>
            </w:r>
          </w:p>
        </w:tc>
        <w:tc>
          <w:tcPr>
            <w:tcW w:w="777" w:type="dxa"/>
            <w:vMerge/>
            <w:tcBorders>
              <w:top w:val="nil"/>
              <w:bottom w:val="single" w:sz="4" w:space="0" w:color="000000"/>
            </w:tcBorders>
          </w:tcPr>
          <w:p>
            <w:pPr>
              <w:rPr>
                <w:sz w:val="2"/>
                <w:szCs w:val="2"/>
              </w:rPr>
            </w:pPr>
          </w:p>
        </w:tc>
        <w:tc>
          <w:tcPr>
            <w:tcW w:w="1086" w:type="dxa"/>
          </w:tcPr>
          <w:p>
            <w:pPr>
              <w:pStyle w:val="TableParagraph"/>
              <w:rPr>
                <w:sz w:val="14"/>
              </w:rPr>
            </w:pPr>
          </w:p>
        </w:tc>
        <w:tc>
          <w:tcPr>
            <w:tcW w:w="1245" w:type="dxa"/>
          </w:tcPr>
          <w:p>
            <w:pPr>
              <w:pStyle w:val="TableParagraph"/>
              <w:rPr>
                <w:sz w:val="14"/>
              </w:rPr>
            </w:pPr>
          </w:p>
        </w:tc>
        <w:tc>
          <w:tcPr>
            <w:tcW w:w="1065" w:type="dxa"/>
          </w:tcPr>
          <w:p>
            <w:pPr>
              <w:pStyle w:val="TableParagraph"/>
              <w:rPr>
                <w:sz w:val="14"/>
              </w:rPr>
            </w:pPr>
          </w:p>
        </w:tc>
        <w:tc>
          <w:tcPr>
            <w:tcW w:w="1210" w:type="dxa"/>
          </w:tcPr>
          <w:p>
            <w:pPr>
              <w:pStyle w:val="TableParagraph"/>
              <w:rPr>
                <w:sz w:val="14"/>
              </w:rPr>
            </w:pPr>
          </w:p>
        </w:tc>
        <w:tc>
          <w:tcPr>
            <w:tcW w:w="1348" w:type="dxa"/>
          </w:tcPr>
          <w:p>
            <w:pPr>
              <w:pStyle w:val="TableParagraph"/>
              <w:rPr>
                <w:sz w:val="14"/>
              </w:rPr>
            </w:pPr>
          </w:p>
        </w:tc>
      </w:tr>
      <w:tr>
        <w:trPr>
          <w:trHeight w:val="323" w:hRule="atLeast"/>
        </w:trPr>
        <w:tc>
          <w:tcPr>
            <w:tcW w:w="2019" w:type="dxa"/>
          </w:tcPr>
          <w:p>
            <w:pPr>
              <w:pStyle w:val="TableParagraph"/>
              <w:spacing w:line="182" w:lineRule="exact" w:before="121"/>
              <w:ind w:left="117"/>
              <w:rPr>
                <w:sz w:val="18"/>
              </w:rPr>
            </w:pPr>
            <w:r>
              <w:rPr>
                <w:b/>
                <w:sz w:val="18"/>
              </w:rPr>
              <w:t>Soru 51. </w:t>
            </w:r>
            <w:r>
              <w:rPr>
                <w:sz w:val="18"/>
              </w:rPr>
              <w:t>Kurumumuzda</w:t>
            </w:r>
          </w:p>
        </w:tc>
        <w:tc>
          <w:tcPr>
            <w:tcW w:w="777" w:type="dxa"/>
            <w:vMerge/>
            <w:tcBorders>
              <w:top w:val="nil"/>
              <w:bottom w:val="single" w:sz="4" w:space="0" w:color="000000"/>
            </w:tcBorders>
          </w:tcPr>
          <w:p>
            <w:pPr>
              <w:rPr>
                <w:sz w:val="2"/>
                <w:szCs w:val="2"/>
              </w:rPr>
            </w:pPr>
          </w:p>
        </w:tc>
        <w:tc>
          <w:tcPr>
            <w:tcW w:w="1086" w:type="dxa"/>
          </w:tcPr>
          <w:p>
            <w:pPr>
              <w:pStyle w:val="TableParagraph"/>
              <w:spacing w:line="194" w:lineRule="exact"/>
              <w:ind w:left="201"/>
              <w:rPr>
                <w:sz w:val="18"/>
              </w:rPr>
            </w:pPr>
            <w:r>
              <w:rPr>
                <w:sz w:val="18"/>
              </w:rPr>
              <w:t>10</w:t>
            </w:r>
          </w:p>
        </w:tc>
        <w:tc>
          <w:tcPr>
            <w:tcW w:w="1245" w:type="dxa"/>
          </w:tcPr>
          <w:p>
            <w:pPr>
              <w:pStyle w:val="TableParagraph"/>
              <w:spacing w:line="194" w:lineRule="exact"/>
              <w:ind w:left="52" w:right="149"/>
              <w:jc w:val="center"/>
              <w:rPr>
                <w:sz w:val="18"/>
              </w:rPr>
            </w:pPr>
            <w:r>
              <w:rPr>
                <w:sz w:val="18"/>
              </w:rPr>
              <w:t>11</w:t>
            </w:r>
          </w:p>
        </w:tc>
        <w:tc>
          <w:tcPr>
            <w:tcW w:w="1065" w:type="dxa"/>
          </w:tcPr>
          <w:p>
            <w:pPr>
              <w:pStyle w:val="TableParagraph"/>
              <w:spacing w:line="194" w:lineRule="exact"/>
              <w:ind w:left="329" w:right="252"/>
              <w:jc w:val="center"/>
              <w:rPr>
                <w:sz w:val="18"/>
              </w:rPr>
            </w:pPr>
            <w:r>
              <w:rPr>
                <w:sz w:val="18"/>
              </w:rPr>
              <w:t>30</w:t>
            </w:r>
          </w:p>
        </w:tc>
        <w:tc>
          <w:tcPr>
            <w:tcW w:w="1210" w:type="dxa"/>
          </w:tcPr>
          <w:p>
            <w:pPr>
              <w:pStyle w:val="TableParagraph"/>
              <w:spacing w:line="194" w:lineRule="exact"/>
              <w:ind w:left="371" w:right="355"/>
              <w:jc w:val="center"/>
              <w:rPr>
                <w:sz w:val="18"/>
              </w:rPr>
            </w:pPr>
            <w:r>
              <w:rPr>
                <w:sz w:val="18"/>
              </w:rPr>
              <w:t>40</w:t>
            </w:r>
          </w:p>
        </w:tc>
        <w:tc>
          <w:tcPr>
            <w:tcW w:w="1348" w:type="dxa"/>
          </w:tcPr>
          <w:p>
            <w:pPr>
              <w:pStyle w:val="TableParagraph"/>
              <w:spacing w:line="194" w:lineRule="exact"/>
              <w:ind w:left="480"/>
              <w:rPr>
                <w:sz w:val="18"/>
              </w:rPr>
            </w:pPr>
            <w:r>
              <w:rPr>
                <w:sz w:val="18"/>
              </w:rPr>
              <w:t>14</w:t>
            </w:r>
          </w:p>
        </w:tc>
      </w:tr>
      <w:tr>
        <w:trPr>
          <w:trHeight w:val="249" w:hRule="atLeast"/>
        </w:trPr>
        <w:tc>
          <w:tcPr>
            <w:tcW w:w="2019" w:type="dxa"/>
          </w:tcPr>
          <w:p>
            <w:pPr>
              <w:pStyle w:val="TableParagraph"/>
              <w:spacing w:line="201" w:lineRule="exact" w:before="28"/>
              <w:ind w:left="117"/>
              <w:rPr>
                <w:sz w:val="18"/>
              </w:rPr>
            </w:pPr>
            <w:r>
              <w:rPr>
                <w:sz w:val="18"/>
              </w:rPr>
              <w:t>işler her zaman ekip</w:t>
            </w:r>
          </w:p>
        </w:tc>
        <w:tc>
          <w:tcPr>
            <w:tcW w:w="777" w:type="dxa"/>
            <w:vMerge/>
            <w:tcBorders>
              <w:top w:val="nil"/>
              <w:bottom w:val="single" w:sz="4" w:space="0" w:color="000000"/>
            </w:tcBorders>
          </w:tcPr>
          <w:p>
            <w:pPr>
              <w:rPr>
                <w:sz w:val="2"/>
                <w:szCs w:val="2"/>
              </w:rPr>
            </w:pPr>
          </w:p>
        </w:tc>
        <w:tc>
          <w:tcPr>
            <w:tcW w:w="1086" w:type="dxa"/>
          </w:tcPr>
          <w:p>
            <w:pPr>
              <w:pStyle w:val="TableParagraph"/>
              <w:spacing w:line="194" w:lineRule="exact"/>
              <w:ind w:left="290"/>
              <w:rPr>
                <w:sz w:val="18"/>
              </w:rPr>
            </w:pPr>
            <w:r>
              <w:rPr>
                <w:sz w:val="18"/>
              </w:rPr>
              <w:t>9,5</w:t>
            </w:r>
          </w:p>
        </w:tc>
        <w:tc>
          <w:tcPr>
            <w:tcW w:w="1245" w:type="dxa"/>
          </w:tcPr>
          <w:p>
            <w:pPr>
              <w:pStyle w:val="TableParagraph"/>
              <w:spacing w:line="194" w:lineRule="exact"/>
              <w:ind w:left="52" w:right="24"/>
              <w:jc w:val="center"/>
              <w:rPr>
                <w:sz w:val="18"/>
              </w:rPr>
            </w:pPr>
            <w:r>
              <w:rPr>
                <w:sz w:val="18"/>
              </w:rPr>
              <w:t>10,5</w:t>
            </w:r>
          </w:p>
        </w:tc>
        <w:tc>
          <w:tcPr>
            <w:tcW w:w="1065" w:type="dxa"/>
          </w:tcPr>
          <w:p>
            <w:pPr>
              <w:pStyle w:val="TableParagraph"/>
              <w:spacing w:line="194" w:lineRule="exact"/>
              <w:ind w:left="477"/>
              <w:rPr>
                <w:sz w:val="18"/>
              </w:rPr>
            </w:pPr>
            <w:r>
              <w:rPr>
                <w:sz w:val="18"/>
              </w:rPr>
              <w:t>28,6</w:t>
            </w:r>
          </w:p>
        </w:tc>
        <w:tc>
          <w:tcPr>
            <w:tcW w:w="1210" w:type="dxa"/>
          </w:tcPr>
          <w:p>
            <w:pPr>
              <w:pStyle w:val="TableParagraph"/>
              <w:spacing w:line="194" w:lineRule="exact"/>
              <w:ind w:left="519"/>
              <w:rPr>
                <w:sz w:val="18"/>
              </w:rPr>
            </w:pPr>
            <w:r>
              <w:rPr>
                <w:sz w:val="18"/>
              </w:rPr>
              <w:t>38,1</w:t>
            </w:r>
          </w:p>
        </w:tc>
        <w:tc>
          <w:tcPr>
            <w:tcW w:w="1348" w:type="dxa"/>
          </w:tcPr>
          <w:p>
            <w:pPr>
              <w:pStyle w:val="TableParagraph"/>
              <w:spacing w:line="194" w:lineRule="exact"/>
              <w:ind w:left="478"/>
              <w:rPr>
                <w:sz w:val="18"/>
              </w:rPr>
            </w:pPr>
            <w:r>
              <w:rPr>
                <w:sz w:val="18"/>
              </w:rPr>
              <w:t>13,3</w:t>
            </w:r>
          </w:p>
        </w:tc>
      </w:tr>
      <w:tr>
        <w:trPr>
          <w:trHeight w:val="227" w:hRule="atLeast"/>
        </w:trPr>
        <w:tc>
          <w:tcPr>
            <w:tcW w:w="2019" w:type="dxa"/>
          </w:tcPr>
          <w:p>
            <w:pPr>
              <w:pStyle w:val="TableParagraph"/>
              <w:tabs>
                <w:tab w:pos="1467" w:val="left" w:leader="none"/>
              </w:tabs>
              <w:spacing w:line="201" w:lineRule="exact" w:before="6"/>
              <w:ind w:left="117"/>
              <w:rPr>
                <w:sz w:val="18"/>
              </w:rPr>
            </w:pPr>
            <w:r>
              <w:rPr>
                <w:sz w:val="18"/>
              </w:rPr>
              <w:t>anlayışı</w:t>
              <w:tab/>
              <w:t>içinde</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75" w:hRule="atLeast"/>
        </w:trPr>
        <w:tc>
          <w:tcPr>
            <w:tcW w:w="2019" w:type="dxa"/>
          </w:tcPr>
          <w:p>
            <w:pPr>
              <w:pStyle w:val="TableParagraph"/>
              <w:spacing w:before="6"/>
              <w:ind w:left="117"/>
              <w:rPr>
                <w:sz w:val="18"/>
              </w:rPr>
            </w:pPr>
            <w:r>
              <w:rPr>
                <w:sz w:val="18"/>
              </w:rPr>
              <w:t>yürütülmektedir.</w:t>
            </w:r>
          </w:p>
        </w:tc>
        <w:tc>
          <w:tcPr>
            <w:tcW w:w="777" w:type="dxa"/>
            <w:vMerge/>
            <w:tcBorders>
              <w:top w:val="nil"/>
              <w:bottom w:val="single" w:sz="4" w:space="0" w:color="000000"/>
            </w:tcBorders>
          </w:tcPr>
          <w:p>
            <w:pPr>
              <w:rPr>
                <w:sz w:val="2"/>
                <w:szCs w:val="2"/>
              </w:rPr>
            </w:pPr>
          </w:p>
        </w:tc>
        <w:tc>
          <w:tcPr>
            <w:tcW w:w="1086" w:type="dxa"/>
          </w:tcPr>
          <w:p>
            <w:pPr>
              <w:pStyle w:val="TableParagraph"/>
              <w:rPr>
                <w:sz w:val="20"/>
              </w:rPr>
            </w:pPr>
          </w:p>
        </w:tc>
        <w:tc>
          <w:tcPr>
            <w:tcW w:w="1245" w:type="dxa"/>
          </w:tcPr>
          <w:p>
            <w:pPr>
              <w:pStyle w:val="TableParagraph"/>
              <w:rPr>
                <w:sz w:val="20"/>
              </w:rPr>
            </w:pPr>
          </w:p>
        </w:tc>
        <w:tc>
          <w:tcPr>
            <w:tcW w:w="1065" w:type="dxa"/>
          </w:tcPr>
          <w:p>
            <w:pPr>
              <w:pStyle w:val="TableParagraph"/>
              <w:rPr>
                <w:sz w:val="20"/>
              </w:rPr>
            </w:pPr>
          </w:p>
        </w:tc>
        <w:tc>
          <w:tcPr>
            <w:tcW w:w="1210" w:type="dxa"/>
          </w:tcPr>
          <w:p>
            <w:pPr>
              <w:pStyle w:val="TableParagraph"/>
              <w:rPr>
                <w:sz w:val="20"/>
              </w:rPr>
            </w:pPr>
          </w:p>
        </w:tc>
        <w:tc>
          <w:tcPr>
            <w:tcW w:w="1348" w:type="dxa"/>
          </w:tcPr>
          <w:p>
            <w:pPr>
              <w:pStyle w:val="TableParagraph"/>
              <w:rPr>
                <w:sz w:val="20"/>
              </w:rPr>
            </w:pPr>
          </w:p>
        </w:tc>
      </w:tr>
      <w:tr>
        <w:trPr>
          <w:trHeight w:val="275" w:hRule="atLeast"/>
        </w:trPr>
        <w:tc>
          <w:tcPr>
            <w:tcW w:w="2019" w:type="dxa"/>
          </w:tcPr>
          <w:p>
            <w:pPr>
              <w:pStyle w:val="TableParagraph"/>
              <w:spacing w:line="201" w:lineRule="exact" w:before="54"/>
              <w:ind w:left="117"/>
              <w:rPr>
                <w:sz w:val="18"/>
              </w:rPr>
            </w:pPr>
            <w:r>
              <w:rPr>
                <w:b/>
                <w:sz w:val="18"/>
              </w:rPr>
              <w:t>Soru 52. </w:t>
            </w:r>
            <w:r>
              <w:rPr>
                <w:sz w:val="18"/>
              </w:rPr>
              <w:t>Afet dönemleri</w:t>
            </w:r>
          </w:p>
        </w:tc>
        <w:tc>
          <w:tcPr>
            <w:tcW w:w="777" w:type="dxa"/>
            <w:vMerge/>
            <w:tcBorders>
              <w:top w:val="nil"/>
              <w:bottom w:val="single" w:sz="4" w:space="0" w:color="000000"/>
            </w:tcBorders>
          </w:tcPr>
          <w:p>
            <w:pPr>
              <w:rPr>
                <w:sz w:val="2"/>
                <w:szCs w:val="2"/>
              </w:rPr>
            </w:pPr>
          </w:p>
        </w:tc>
        <w:tc>
          <w:tcPr>
            <w:tcW w:w="1086" w:type="dxa"/>
          </w:tcPr>
          <w:p>
            <w:pPr>
              <w:pStyle w:val="TableParagraph"/>
              <w:rPr>
                <w:sz w:val="20"/>
              </w:rPr>
            </w:pPr>
          </w:p>
        </w:tc>
        <w:tc>
          <w:tcPr>
            <w:tcW w:w="1245" w:type="dxa"/>
          </w:tcPr>
          <w:p>
            <w:pPr>
              <w:pStyle w:val="TableParagraph"/>
              <w:rPr>
                <w:sz w:val="20"/>
              </w:rPr>
            </w:pPr>
          </w:p>
        </w:tc>
        <w:tc>
          <w:tcPr>
            <w:tcW w:w="1065" w:type="dxa"/>
          </w:tcPr>
          <w:p>
            <w:pPr>
              <w:pStyle w:val="TableParagraph"/>
              <w:rPr>
                <w:sz w:val="20"/>
              </w:rPr>
            </w:pPr>
          </w:p>
        </w:tc>
        <w:tc>
          <w:tcPr>
            <w:tcW w:w="1210" w:type="dxa"/>
          </w:tcPr>
          <w:p>
            <w:pPr>
              <w:pStyle w:val="TableParagraph"/>
              <w:rPr>
                <w:sz w:val="20"/>
              </w:rPr>
            </w:pPr>
          </w:p>
        </w:tc>
        <w:tc>
          <w:tcPr>
            <w:tcW w:w="1348" w:type="dxa"/>
          </w:tcPr>
          <w:p>
            <w:pPr>
              <w:pStyle w:val="TableParagraph"/>
              <w:rPr>
                <w:sz w:val="20"/>
              </w:rPr>
            </w:pPr>
          </w:p>
        </w:tc>
      </w:tr>
      <w:tr>
        <w:trPr>
          <w:trHeight w:val="705" w:hRule="atLeast"/>
        </w:trPr>
        <w:tc>
          <w:tcPr>
            <w:tcW w:w="2019" w:type="dxa"/>
          </w:tcPr>
          <w:p>
            <w:pPr>
              <w:pStyle w:val="TableParagraph"/>
              <w:tabs>
                <w:tab w:pos="985" w:val="left" w:leader="none"/>
              </w:tabs>
              <w:spacing w:line="276" w:lineRule="auto" w:before="6"/>
              <w:ind w:left="117" w:right="108"/>
              <w:rPr>
                <w:sz w:val="18"/>
              </w:rPr>
            </w:pPr>
            <w:r>
              <w:rPr>
                <w:sz w:val="18"/>
              </w:rPr>
              <w:t>stres ve çatışmanı yoğun olduğu</w:t>
              <w:tab/>
            </w:r>
            <w:r>
              <w:rPr>
                <w:spacing w:val="-1"/>
                <w:sz w:val="18"/>
              </w:rPr>
              <w:t>dönemlerdir.</w:t>
            </w:r>
          </w:p>
          <w:p>
            <w:pPr>
              <w:pStyle w:val="TableParagraph"/>
              <w:spacing w:line="201" w:lineRule="exact" w:before="2"/>
              <w:ind w:left="117"/>
              <w:rPr>
                <w:sz w:val="18"/>
              </w:rPr>
            </w:pPr>
            <w:r>
              <w:rPr>
                <w:sz w:val="18"/>
              </w:rPr>
              <w:t>Personel  bu  durum</w:t>
            </w:r>
            <w:r>
              <w:rPr>
                <w:spacing w:val="32"/>
                <w:sz w:val="18"/>
              </w:rPr>
              <w:t> </w:t>
            </w:r>
            <w:r>
              <w:rPr>
                <w:sz w:val="18"/>
              </w:rPr>
              <w:t>göz</w:t>
            </w:r>
          </w:p>
        </w:tc>
        <w:tc>
          <w:tcPr>
            <w:tcW w:w="777" w:type="dxa"/>
            <w:vMerge/>
            <w:tcBorders>
              <w:top w:val="nil"/>
              <w:bottom w:val="single" w:sz="4" w:space="0" w:color="000000"/>
            </w:tcBorders>
          </w:tcPr>
          <w:p>
            <w:pPr>
              <w:rPr>
                <w:sz w:val="2"/>
                <w:szCs w:val="2"/>
              </w:rPr>
            </w:pPr>
          </w:p>
        </w:tc>
        <w:tc>
          <w:tcPr>
            <w:tcW w:w="1086" w:type="dxa"/>
          </w:tcPr>
          <w:p>
            <w:pPr>
              <w:pStyle w:val="TableParagraph"/>
              <w:spacing w:before="45"/>
              <w:ind w:left="290"/>
              <w:rPr>
                <w:sz w:val="18"/>
              </w:rPr>
            </w:pPr>
            <w:r>
              <w:rPr>
                <w:sz w:val="18"/>
              </w:rPr>
              <w:t>8</w:t>
            </w:r>
          </w:p>
          <w:p>
            <w:pPr>
              <w:pStyle w:val="TableParagraph"/>
              <w:spacing w:before="126"/>
              <w:ind w:left="290"/>
              <w:rPr>
                <w:sz w:val="18"/>
              </w:rPr>
            </w:pPr>
            <w:r>
              <w:rPr>
                <w:sz w:val="18"/>
              </w:rPr>
              <w:t>7,6</w:t>
            </w:r>
          </w:p>
        </w:tc>
        <w:tc>
          <w:tcPr>
            <w:tcW w:w="1245" w:type="dxa"/>
          </w:tcPr>
          <w:p>
            <w:pPr>
              <w:pStyle w:val="TableParagraph"/>
              <w:spacing w:before="45"/>
              <w:ind w:left="52" w:right="149"/>
              <w:jc w:val="center"/>
              <w:rPr>
                <w:sz w:val="18"/>
              </w:rPr>
            </w:pPr>
            <w:r>
              <w:rPr>
                <w:sz w:val="18"/>
              </w:rPr>
              <w:t>13</w:t>
            </w:r>
          </w:p>
          <w:p>
            <w:pPr>
              <w:pStyle w:val="TableParagraph"/>
              <w:spacing w:before="126"/>
              <w:ind w:left="52" w:right="24"/>
              <w:jc w:val="center"/>
              <w:rPr>
                <w:sz w:val="18"/>
              </w:rPr>
            </w:pPr>
            <w:r>
              <w:rPr>
                <w:sz w:val="18"/>
              </w:rPr>
              <w:t>12,4</w:t>
            </w:r>
          </w:p>
        </w:tc>
        <w:tc>
          <w:tcPr>
            <w:tcW w:w="1065" w:type="dxa"/>
          </w:tcPr>
          <w:p>
            <w:pPr>
              <w:pStyle w:val="TableParagraph"/>
              <w:spacing w:before="71"/>
              <w:ind w:left="329" w:right="252"/>
              <w:jc w:val="center"/>
              <w:rPr>
                <w:sz w:val="18"/>
              </w:rPr>
            </w:pPr>
            <w:r>
              <w:rPr>
                <w:sz w:val="18"/>
              </w:rPr>
              <w:t>28</w:t>
            </w:r>
          </w:p>
          <w:p>
            <w:pPr>
              <w:pStyle w:val="TableParagraph"/>
              <w:spacing w:before="127"/>
              <w:ind w:left="457" w:right="252"/>
              <w:jc w:val="center"/>
              <w:rPr>
                <w:sz w:val="18"/>
              </w:rPr>
            </w:pPr>
            <w:r>
              <w:rPr>
                <w:sz w:val="18"/>
              </w:rPr>
              <w:t>26,7</w:t>
            </w:r>
          </w:p>
        </w:tc>
        <w:tc>
          <w:tcPr>
            <w:tcW w:w="1210" w:type="dxa"/>
          </w:tcPr>
          <w:p>
            <w:pPr>
              <w:pStyle w:val="TableParagraph"/>
              <w:spacing w:before="45"/>
              <w:ind w:left="371" w:right="355"/>
              <w:jc w:val="center"/>
              <w:rPr>
                <w:sz w:val="18"/>
              </w:rPr>
            </w:pPr>
            <w:r>
              <w:rPr>
                <w:sz w:val="18"/>
              </w:rPr>
              <w:t>43</w:t>
            </w:r>
          </w:p>
          <w:p>
            <w:pPr>
              <w:pStyle w:val="TableParagraph"/>
              <w:spacing w:before="126"/>
              <w:ind w:left="499" w:right="355"/>
              <w:jc w:val="center"/>
              <w:rPr>
                <w:sz w:val="18"/>
              </w:rPr>
            </w:pPr>
            <w:r>
              <w:rPr>
                <w:sz w:val="18"/>
              </w:rPr>
              <w:t>41,0</w:t>
            </w:r>
          </w:p>
        </w:tc>
        <w:tc>
          <w:tcPr>
            <w:tcW w:w="1348" w:type="dxa"/>
          </w:tcPr>
          <w:p>
            <w:pPr>
              <w:pStyle w:val="TableParagraph"/>
              <w:spacing w:before="45"/>
              <w:ind w:left="331" w:right="533"/>
              <w:jc w:val="center"/>
              <w:rPr>
                <w:sz w:val="18"/>
              </w:rPr>
            </w:pPr>
            <w:r>
              <w:rPr>
                <w:sz w:val="18"/>
              </w:rPr>
              <w:t>13</w:t>
            </w:r>
          </w:p>
          <w:p>
            <w:pPr>
              <w:pStyle w:val="TableParagraph"/>
              <w:spacing w:before="126"/>
              <w:ind w:left="459" w:right="533"/>
              <w:jc w:val="center"/>
              <w:rPr>
                <w:sz w:val="18"/>
              </w:rPr>
            </w:pPr>
            <w:r>
              <w:rPr>
                <w:sz w:val="18"/>
              </w:rPr>
              <w:t>12,4</w:t>
            </w:r>
          </w:p>
        </w:tc>
      </w:tr>
      <w:tr>
        <w:trPr>
          <w:trHeight w:val="227" w:hRule="atLeast"/>
        </w:trPr>
        <w:tc>
          <w:tcPr>
            <w:tcW w:w="2019" w:type="dxa"/>
          </w:tcPr>
          <w:p>
            <w:pPr>
              <w:pStyle w:val="TableParagraph"/>
              <w:spacing w:line="201" w:lineRule="exact" w:before="6"/>
              <w:ind w:left="117"/>
              <w:rPr>
                <w:sz w:val="18"/>
              </w:rPr>
            </w:pPr>
            <w:r>
              <w:rPr>
                <w:sz w:val="18"/>
              </w:rPr>
              <w:t>önüne alarak eğitilmiştir.</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27" w:hRule="atLeast"/>
        </w:trPr>
        <w:tc>
          <w:tcPr>
            <w:tcW w:w="2019" w:type="dxa"/>
          </w:tcPr>
          <w:p>
            <w:pPr>
              <w:pStyle w:val="TableParagraph"/>
              <w:tabs>
                <w:tab w:pos="1076" w:val="left" w:leader="none"/>
              </w:tabs>
              <w:spacing w:line="201" w:lineRule="exact" w:before="6"/>
              <w:ind w:left="117"/>
              <w:rPr>
                <w:sz w:val="18"/>
              </w:rPr>
            </w:pPr>
            <w:r>
              <w:rPr>
                <w:sz w:val="18"/>
              </w:rPr>
              <w:t>Böyle</w:t>
              <w:tab/>
              <w:t>durumlarda</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27" w:hRule="atLeast"/>
        </w:trPr>
        <w:tc>
          <w:tcPr>
            <w:tcW w:w="2019" w:type="dxa"/>
          </w:tcPr>
          <w:p>
            <w:pPr>
              <w:pStyle w:val="TableParagraph"/>
              <w:tabs>
                <w:tab w:pos="1570" w:val="left" w:leader="none"/>
              </w:tabs>
              <w:spacing w:line="201" w:lineRule="exact" w:before="6"/>
              <w:ind w:left="117"/>
              <w:rPr>
                <w:sz w:val="18"/>
              </w:rPr>
            </w:pPr>
            <w:r>
              <w:rPr>
                <w:sz w:val="18"/>
              </w:rPr>
              <w:t>birbirlerine</w:t>
              <w:tab/>
              <w:t>veya</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29" w:hRule="atLeast"/>
        </w:trPr>
        <w:tc>
          <w:tcPr>
            <w:tcW w:w="2019" w:type="dxa"/>
          </w:tcPr>
          <w:p>
            <w:pPr>
              <w:pStyle w:val="TableParagraph"/>
              <w:spacing w:line="203" w:lineRule="exact" w:before="6"/>
              <w:ind w:left="117"/>
              <w:rPr>
                <w:sz w:val="18"/>
              </w:rPr>
            </w:pPr>
            <w:r>
              <w:rPr>
                <w:sz w:val="18"/>
              </w:rPr>
              <w:t>afetzedeler karşı nasıl</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77" w:hRule="atLeast"/>
        </w:trPr>
        <w:tc>
          <w:tcPr>
            <w:tcW w:w="2019" w:type="dxa"/>
          </w:tcPr>
          <w:p>
            <w:pPr>
              <w:pStyle w:val="TableParagraph"/>
              <w:spacing w:before="8"/>
              <w:ind w:left="117"/>
              <w:rPr>
                <w:sz w:val="18"/>
              </w:rPr>
            </w:pPr>
            <w:r>
              <w:rPr>
                <w:sz w:val="18"/>
              </w:rPr>
              <w:t>davranacağını bilirler.</w:t>
            </w:r>
          </w:p>
        </w:tc>
        <w:tc>
          <w:tcPr>
            <w:tcW w:w="777" w:type="dxa"/>
            <w:vMerge/>
            <w:tcBorders>
              <w:top w:val="nil"/>
              <w:bottom w:val="single" w:sz="4" w:space="0" w:color="000000"/>
            </w:tcBorders>
          </w:tcPr>
          <w:p>
            <w:pPr>
              <w:rPr>
                <w:sz w:val="2"/>
                <w:szCs w:val="2"/>
              </w:rPr>
            </w:pPr>
          </w:p>
        </w:tc>
        <w:tc>
          <w:tcPr>
            <w:tcW w:w="1086" w:type="dxa"/>
          </w:tcPr>
          <w:p>
            <w:pPr>
              <w:pStyle w:val="TableParagraph"/>
              <w:rPr>
                <w:sz w:val="20"/>
              </w:rPr>
            </w:pPr>
          </w:p>
        </w:tc>
        <w:tc>
          <w:tcPr>
            <w:tcW w:w="1245" w:type="dxa"/>
          </w:tcPr>
          <w:p>
            <w:pPr>
              <w:pStyle w:val="TableParagraph"/>
              <w:rPr>
                <w:sz w:val="20"/>
              </w:rPr>
            </w:pPr>
          </w:p>
        </w:tc>
        <w:tc>
          <w:tcPr>
            <w:tcW w:w="1065" w:type="dxa"/>
          </w:tcPr>
          <w:p>
            <w:pPr>
              <w:pStyle w:val="TableParagraph"/>
              <w:rPr>
                <w:sz w:val="20"/>
              </w:rPr>
            </w:pPr>
          </w:p>
        </w:tc>
        <w:tc>
          <w:tcPr>
            <w:tcW w:w="1210" w:type="dxa"/>
          </w:tcPr>
          <w:p>
            <w:pPr>
              <w:pStyle w:val="TableParagraph"/>
              <w:rPr>
                <w:sz w:val="20"/>
              </w:rPr>
            </w:pPr>
          </w:p>
        </w:tc>
        <w:tc>
          <w:tcPr>
            <w:tcW w:w="1348" w:type="dxa"/>
          </w:tcPr>
          <w:p>
            <w:pPr>
              <w:pStyle w:val="TableParagraph"/>
              <w:rPr>
                <w:sz w:val="20"/>
              </w:rPr>
            </w:pPr>
          </w:p>
        </w:tc>
      </w:tr>
      <w:tr>
        <w:trPr>
          <w:trHeight w:val="513" w:hRule="atLeast"/>
        </w:trPr>
        <w:tc>
          <w:tcPr>
            <w:tcW w:w="2019" w:type="dxa"/>
          </w:tcPr>
          <w:p>
            <w:pPr>
              <w:pStyle w:val="TableParagraph"/>
              <w:spacing w:line="230" w:lineRule="atLeast" w:before="31"/>
              <w:ind w:left="117"/>
              <w:rPr>
                <w:sz w:val="18"/>
              </w:rPr>
            </w:pPr>
            <w:r>
              <w:rPr>
                <w:b/>
                <w:sz w:val="18"/>
              </w:rPr>
              <w:t>Soru 53. </w:t>
            </w:r>
            <w:r>
              <w:rPr>
                <w:sz w:val="18"/>
              </w:rPr>
              <w:t>Kurumumuzda iyi bir arkadaşlık ortamı</w:t>
            </w:r>
          </w:p>
        </w:tc>
        <w:tc>
          <w:tcPr>
            <w:tcW w:w="777" w:type="dxa"/>
            <w:vMerge/>
            <w:tcBorders>
              <w:top w:val="nil"/>
              <w:bottom w:val="single" w:sz="4" w:space="0" w:color="000000"/>
            </w:tcBorders>
          </w:tcPr>
          <w:p>
            <w:pPr>
              <w:rPr>
                <w:sz w:val="2"/>
                <w:szCs w:val="2"/>
              </w:rPr>
            </w:pPr>
          </w:p>
        </w:tc>
        <w:tc>
          <w:tcPr>
            <w:tcW w:w="1086" w:type="dxa"/>
          </w:tcPr>
          <w:p>
            <w:pPr>
              <w:pStyle w:val="TableParagraph"/>
              <w:spacing w:before="10"/>
              <w:rPr>
                <w:b/>
                <w:sz w:val="18"/>
              </w:rPr>
            </w:pPr>
          </w:p>
          <w:p>
            <w:pPr>
              <w:pStyle w:val="TableParagraph"/>
              <w:ind w:left="201"/>
              <w:rPr>
                <w:sz w:val="18"/>
              </w:rPr>
            </w:pPr>
            <w:r>
              <w:rPr>
                <w:sz w:val="18"/>
              </w:rPr>
              <w:t>10</w:t>
            </w:r>
          </w:p>
        </w:tc>
        <w:tc>
          <w:tcPr>
            <w:tcW w:w="1245" w:type="dxa"/>
          </w:tcPr>
          <w:p>
            <w:pPr>
              <w:pStyle w:val="TableParagraph"/>
              <w:spacing w:before="10"/>
              <w:rPr>
                <w:b/>
                <w:sz w:val="18"/>
              </w:rPr>
            </w:pPr>
          </w:p>
          <w:p>
            <w:pPr>
              <w:pStyle w:val="TableParagraph"/>
              <w:ind w:right="12"/>
              <w:jc w:val="center"/>
              <w:rPr>
                <w:sz w:val="18"/>
              </w:rPr>
            </w:pPr>
            <w:r>
              <w:rPr>
                <w:sz w:val="18"/>
              </w:rPr>
              <w:t>8</w:t>
            </w:r>
          </w:p>
        </w:tc>
        <w:tc>
          <w:tcPr>
            <w:tcW w:w="1065" w:type="dxa"/>
          </w:tcPr>
          <w:p>
            <w:pPr>
              <w:pStyle w:val="TableParagraph"/>
              <w:spacing w:before="2"/>
              <w:rPr>
                <w:b/>
                <w:sz w:val="21"/>
              </w:rPr>
            </w:pPr>
          </w:p>
          <w:p>
            <w:pPr>
              <w:pStyle w:val="TableParagraph"/>
              <w:ind w:left="329" w:right="252"/>
              <w:jc w:val="center"/>
              <w:rPr>
                <w:sz w:val="18"/>
              </w:rPr>
            </w:pPr>
            <w:r>
              <w:rPr>
                <w:sz w:val="18"/>
              </w:rPr>
              <w:t>27</w:t>
            </w:r>
          </w:p>
        </w:tc>
        <w:tc>
          <w:tcPr>
            <w:tcW w:w="1210" w:type="dxa"/>
          </w:tcPr>
          <w:p>
            <w:pPr>
              <w:pStyle w:val="TableParagraph"/>
              <w:spacing w:before="10"/>
              <w:rPr>
                <w:b/>
                <w:sz w:val="18"/>
              </w:rPr>
            </w:pPr>
          </w:p>
          <w:p>
            <w:pPr>
              <w:pStyle w:val="TableParagraph"/>
              <w:ind w:left="371" w:right="355"/>
              <w:jc w:val="center"/>
              <w:rPr>
                <w:sz w:val="18"/>
              </w:rPr>
            </w:pPr>
            <w:r>
              <w:rPr>
                <w:sz w:val="18"/>
              </w:rPr>
              <w:t>40</w:t>
            </w:r>
          </w:p>
        </w:tc>
        <w:tc>
          <w:tcPr>
            <w:tcW w:w="1348" w:type="dxa"/>
          </w:tcPr>
          <w:p>
            <w:pPr>
              <w:pStyle w:val="TableParagraph"/>
              <w:spacing w:before="10"/>
              <w:rPr>
                <w:b/>
                <w:sz w:val="18"/>
              </w:rPr>
            </w:pPr>
          </w:p>
          <w:p>
            <w:pPr>
              <w:pStyle w:val="TableParagraph"/>
              <w:ind w:left="480"/>
              <w:rPr>
                <w:sz w:val="18"/>
              </w:rPr>
            </w:pPr>
            <w:r>
              <w:rPr>
                <w:sz w:val="18"/>
              </w:rPr>
              <w:t>20</w:t>
            </w:r>
          </w:p>
        </w:tc>
      </w:tr>
      <w:tr>
        <w:trPr>
          <w:trHeight w:val="465" w:hRule="atLeast"/>
        </w:trPr>
        <w:tc>
          <w:tcPr>
            <w:tcW w:w="2019" w:type="dxa"/>
          </w:tcPr>
          <w:p>
            <w:pPr>
              <w:pStyle w:val="TableParagraph"/>
              <w:spacing w:before="6"/>
              <w:ind w:left="117"/>
              <w:rPr>
                <w:sz w:val="18"/>
              </w:rPr>
            </w:pPr>
            <w:r>
              <w:rPr>
                <w:sz w:val="18"/>
              </w:rPr>
              <w:t>vardır.  Bu  ortam</w:t>
            </w:r>
            <w:r>
              <w:rPr>
                <w:spacing w:val="-4"/>
                <w:sz w:val="18"/>
              </w:rPr>
              <w:t> </w:t>
            </w:r>
            <w:r>
              <w:rPr>
                <w:sz w:val="18"/>
              </w:rPr>
              <w:t>gergin</w:t>
            </w:r>
          </w:p>
          <w:p>
            <w:pPr>
              <w:pStyle w:val="TableParagraph"/>
              <w:spacing w:line="201" w:lineRule="exact" w:before="31"/>
              <w:ind w:left="117"/>
              <w:rPr>
                <w:sz w:val="18"/>
              </w:rPr>
            </w:pPr>
            <w:r>
              <w:rPr>
                <w:sz w:val="18"/>
              </w:rPr>
              <w:t>anlarda dahi</w:t>
            </w:r>
            <w:r>
              <w:rPr>
                <w:spacing w:val="6"/>
                <w:sz w:val="18"/>
              </w:rPr>
              <w:t> </w:t>
            </w:r>
            <w:r>
              <w:rPr>
                <w:sz w:val="18"/>
              </w:rPr>
              <w:t>birbirimizle</w:t>
            </w:r>
          </w:p>
        </w:tc>
        <w:tc>
          <w:tcPr>
            <w:tcW w:w="777" w:type="dxa"/>
            <w:vMerge/>
            <w:tcBorders>
              <w:top w:val="nil"/>
              <w:bottom w:val="single" w:sz="4" w:space="0" w:color="000000"/>
            </w:tcBorders>
          </w:tcPr>
          <w:p>
            <w:pPr>
              <w:rPr>
                <w:sz w:val="2"/>
                <w:szCs w:val="2"/>
              </w:rPr>
            </w:pPr>
          </w:p>
        </w:tc>
        <w:tc>
          <w:tcPr>
            <w:tcW w:w="1086" w:type="dxa"/>
          </w:tcPr>
          <w:p>
            <w:pPr>
              <w:pStyle w:val="TableParagraph"/>
              <w:spacing w:before="28"/>
              <w:ind w:left="290"/>
              <w:rPr>
                <w:sz w:val="18"/>
              </w:rPr>
            </w:pPr>
            <w:r>
              <w:rPr>
                <w:sz w:val="18"/>
              </w:rPr>
              <w:t>9,5</w:t>
            </w:r>
          </w:p>
        </w:tc>
        <w:tc>
          <w:tcPr>
            <w:tcW w:w="1245" w:type="dxa"/>
          </w:tcPr>
          <w:p>
            <w:pPr>
              <w:pStyle w:val="TableParagraph"/>
              <w:spacing w:before="28"/>
              <w:ind w:left="174" w:right="52"/>
              <w:jc w:val="center"/>
              <w:rPr>
                <w:sz w:val="18"/>
              </w:rPr>
            </w:pPr>
            <w:r>
              <w:rPr>
                <w:sz w:val="18"/>
              </w:rPr>
              <w:t>7,6</w:t>
            </w:r>
          </w:p>
        </w:tc>
        <w:tc>
          <w:tcPr>
            <w:tcW w:w="1065" w:type="dxa"/>
          </w:tcPr>
          <w:p>
            <w:pPr>
              <w:pStyle w:val="TableParagraph"/>
              <w:spacing w:before="54"/>
              <w:ind w:left="477"/>
              <w:rPr>
                <w:sz w:val="18"/>
              </w:rPr>
            </w:pPr>
            <w:r>
              <w:rPr>
                <w:sz w:val="18"/>
              </w:rPr>
              <w:t>25,7</w:t>
            </w:r>
          </w:p>
        </w:tc>
        <w:tc>
          <w:tcPr>
            <w:tcW w:w="1210" w:type="dxa"/>
          </w:tcPr>
          <w:p>
            <w:pPr>
              <w:pStyle w:val="TableParagraph"/>
              <w:spacing w:before="28"/>
              <w:ind w:left="519"/>
              <w:rPr>
                <w:sz w:val="18"/>
              </w:rPr>
            </w:pPr>
            <w:r>
              <w:rPr>
                <w:sz w:val="18"/>
              </w:rPr>
              <w:t>38,1</w:t>
            </w:r>
          </w:p>
        </w:tc>
        <w:tc>
          <w:tcPr>
            <w:tcW w:w="1348" w:type="dxa"/>
          </w:tcPr>
          <w:p>
            <w:pPr>
              <w:pStyle w:val="TableParagraph"/>
              <w:spacing w:before="28"/>
              <w:ind w:left="478"/>
              <w:rPr>
                <w:sz w:val="18"/>
              </w:rPr>
            </w:pPr>
            <w:r>
              <w:rPr>
                <w:sz w:val="18"/>
              </w:rPr>
              <w:t>19,0</w:t>
            </w:r>
          </w:p>
        </w:tc>
      </w:tr>
      <w:tr>
        <w:trPr>
          <w:trHeight w:val="228" w:hRule="atLeast"/>
        </w:trPr>
        <w:tc>
          <w:tcPr>
            <w:tcW w:w="2019" w:type="dxa"/>
          </w:tcPr>
          <w:p>
            <w:pPr>
              <w:pStyle w:val="TableParagraph"/>
              <w:spacing w:line="202" w:lineRule="exact" w:before="6"/>
              <w:ind w:left="117"/>
              <w:rPr>
                <w:sz w:val="18"/>
              </w:rPr>
            </w:pPr>
            <w:r>
              <w:rPr>
                <w:sz w:val="18"/>
              </w:rPr>
              <w:t>koordineli çalışmamıza</w:t>
            </w:r>
          </w:p>
        </w:tc>
        <w:tc>
          <w:tcPr>
            <w:tcW w:w="777" w:type="dxa"/>
            <w:vMerge/>
            <w:tcBorders>
              <w:top w:val="nil"/>
              <w:bottom w:val="single" w:sz="4" w:space="0" w:color="000000"/>
            </w:tcBorders>
          </w:tcPr>
          <w:p>
            <w:pPr>
              <w:rPr>
                <w:sz w:val="2"/>
                <w:szCs w:val="2"/>
              </w:rPr>
            </w:pPr>
          </w:p>
        </w:tc>
        <w:tc>
          <w:tcPr>
            <w:tcW w:w="1086" w:type="dxa"/>
          </w:tcPr>
          <w:p>
            <w:pPr>
              <w:pStyle w:val="TableParagraph"/>
              <w:rPr>
                <w:sz w:val="16"/>
              </w:rPr>
            </w:pPr>
          </w:p>
        </w:tc>
        <w:tc>
          <w:tcPr>
            <w:tcW w:w="1245" w:type="dxa"/>
          </w:tcPr>
          <w:p>
            <w:pPr>
              <w:pStyle w:val="TableParagraph"/>
              <w:rPr>
                <w:sz w:val="16"/>
              </w:rPr>
            </w:pPr>
          </w:p>
        </w:tc>
        <w:tc>
          <w:tcPr>
            <w:tcW w:w="1065" w:type="dxa"/>
          </w:tcPr>
          <w:p>
            <w:pPr>
              <w:pStyle w:val="TableParagraph"/>
              <w:rPr>
                <w:sz w:val="16"/>
              </w:rPr>
            </w:pPr>
          </w:p>
        </w:tc>
        <w:tc>
          <w:tcPr>
            <w:tcW w:w="1210" w:type="dxa"/>
          </w:tcPr>
          <w:p>
            <w:pPr>
              <w:pStyle w:val="TableParagraph"/>
              <w:rPr>
                <w:sz w:val="16"/>
              </w:rPr>
            </w:pPr>
          </w:p>
        </w:tc>
        <w:tc>
          <w:tcPr>
            <w:tcW w:w="1348" w:type="dxa"/>
          </w:tcPr>
          <w:p>
            <w:pPr>
              <w:pStyle w:val="TableParagraph"/>
              <w:rPr>
                <w:sz w:val="16"/>
              </w:rPr>
            </w:pPr>
          </w:p>
        </w:tc>
      </w:tr>
      <w:tr>
        <w:trPr>
          <w:trHeight w:val="220" w:hRule="atLeast"/>
        </w:trPr>
        <w:tc>
          <w:tcPr>
            <w:tcW w:w="2019" w:type="dxa"/>
          </w:tcPr>
          <w:p>
            <w:pPr>
              <w:pStyle w:val="TableParagraph"/>
              <w:spacing w:line="193" w:lineRule="exact" w:before="7"/>
              <w:ind w:left="117"/>
              <w:rPr>
                <w:sz w:val="18"/>
              </w:rPr>
            </w:pPr>
            <w:r>
              <w:rPr>
                <w:sz w:val="18"/>
              </w:rPr>
              <w:t>olanak sağlamaktadır.</w:t>
            </w:r>
          </w:p>
        </w:tc>
        <w:tc>
          <w:tcPr>
            <w:tcW w:w="777" w:type="dxa"/>
            <w:vMerge/>
            <w:tcBorders>
              <w:top w:val="nil"/>
              <w:bottom w:val="single" w:sz="4" w:space="0" w:color="000000"/>
            </w:tcBorders>
          </w:tcPr>
          <w:p>
            <w:pPr>
              <w:rPr>
                <w:sz w:val="2"/>
                <w:szCs w:val="2"/>
              </w:rPr>
            </w:pPr>
          </w:p>
        </w:tc>
        <w:tc>
          <w:tcPr>
            <w:tcW w:w="1086" w:type="dxa"/>
          </w:tcPr>
          <w:p>
            <w:pPr>
              <w:pStyle w:val="TableParagraph"/>
              <w:rPr>
                <w:sz w:val="14"/>
              </w:rPr>
            </w:pPr>
          </w:p>
        </w:tc>
        <w:tc>
          <w:tcPr>
            <w:tcW w:w="1245" w:type="dxa"/>
          </w:tcPr>
          <w:p>
            <w:pPr>
              <w:pStyle w:val="TableParagraph"/>
              <w:rPr>
                <w:sz w:val="14"/>
              </w:rPr>
            </w:pPr>
          </w:p>
        </w:tc>
        <w:tc>
          <w:tcPr>
            <w:tcW w:w="1065" w:type="dxa"/>
          </w:tcPr>
          <w:p>
            <w:pPr>
              <w:pStyle w:val="TableParagraph"/>
              <w:rPr>
                <w:sz w:val="14"/>
              </w:rPr>
            </w:pPr>
          </w:p>
        </w:tc>
        <w:tc>
          <w:tcPr>
            <w:tcW w:w="1210" w:type="dxa"/>
          </w:tcPr>
          <w:p>
            <w:pPr>
              <w:pStyle w:val="TableParagraph"/>
              <w:rPr>
                <w:sz w:val="14"/>
              </w:rPr>
            </w:pPr>
          </w:p>
        </w:tc>
        <w:tc>
          <w:tcPr>
            <w:tcW w:w="1348" w:type="dxa"/>
          </w:tcPr>
          <w:p>
            <w:pPr>
              <w:pStyle w:val="TableParagraph"/>
              <w:rPr>
                <w:sz w:val="14"/>
              </w:rPr>
            </w:pPr>
          </w:p>
        </w:tc>
      </w:tr>
      <w:tr>
        <w:trPr>
          <w:trHeight w:val="323" w:hRule="atLeast"/>
        </w:trPr>
        <w:tc>
          <w:tcPr>
            <w:tcW w:w="2019" w:type="dxa"/>
          </w:tcPr>
          <w:p>
            <w:pPr>
              <w:pStyle w:val="TableParagraph"/>
              <w:spacing w:line="193" w:lineRule="exact" w:before="111"/>
              <w:ind w:left="167"/>
              <w:rPr>
                <w:sz w:val="18"/>
              </w:rPr>
            </w:pPr>
            <w:r>
              <w:rPr>
                <w:b/>
                <w:sz w:val="18"/>
              </w:rPr>
              <w:t>Soru 54. </w:t>
            </w:r>
            <w:r>
              <w:rPr>
                <w:sz w:val="18"/>
              </w:rPr>
              <w:t>Afetler beni</w:t>
            </w:r>
          </w:p>
        </w:tc>
        <w:tc>
          <w:tcPr>
            <w:tcW w:w="777" w:type="dxa"/>
            <w:vMerge/>
            <w:tcBorders>
              <w:top w:val="nil"/>
              <w:bottom w:val="single" w:sz="4" w:space="0" w:color="000000"/>
            </w:tcBorders>
          </w:tcPr>
          <w:p>
            <w:pPr>
              <w:rPr>
                <w:sz w:val="2"/>
                <w:szCs w:val="2"/>
              </w:rPr>
            </w:pPr>
          </w:p>
        </w:tc>
        <w:tc>
          <w:tcPr>
            <w:tcW w:w="1086" w:type="dxa"/>
          </w:tcPr>
          <w:p>
            <w:pPr>
              <w:pStyle w:val="TableParagraph"/>
              <w:spacing w:line="205" w:lineRule="exact"/>
              <w:ind w:left="201"/>
              <w:rPr>
                <w:sz w:val="18"/>
              </w:rPr>
            </w:pPr>
            <w:r>
              <w:rPr>
                <w:sz w:val="18"/>
              </w:rPr>
              <w:t>37</w:t>
            </w:r>
          </w:p>
        </w:tc>
        <w:tc>
          <w:tcPr>
            <w:tcW w:w="1245" w:type="dxa"/>
          </w:tcPr>
          <w:p>
            <w:pPr>
              <w:pStyle w:val="TableParagraph"/>
              <w:spacing w:line="205" w:lineRule="exact"/>
              <w:ind w:left="52" w:right="149"/>
              <w:jc w:val="center"/>
              <w:rPr>
                <w:sz w:val="18"/>
              </w:rPr>
            </w:pPr>
            <w:r>
              <w:rPr>
                <w:sz w:val="18"/>
              </w:rPr>
              <w:t>35</w:t>
            </w:r>
          </w:p>
        </w:tc>
        <w:tc>
          <w:tcPr>
            <w:tcW w:w="1065" w:type="dxa"/>
          </w:tcPr>
          <w:p>
            <w:pPr>
              <w:pStyle w:val="TableParagraph"/>
              <w:spacing w:before="24"/>
              <w:ind w:left="329" w:right="252"/>
              <w:jc w:val="center"/>
              <w:rPr>
                <w:sz w:val="18"/>
              </w:rPr>
            </w:pPr>
            <w:r>
              <w:rPr>
                <w:sz w:val="18"/>
              </w:rPr>
              <w:t>18</w:t>
            </w:r>
          </w:p>
        </w:tc>
        <w:tc>
          <w:tcPr>
            <w:tcW w:w="1210" w:type="dxa"/>
          </w:tcPr>
          <w:p>
            <w:pPr>
              <w:pStyle w:val="TableParagraph"/>
              <w:spacing w:line="205" w:lineRule="exact"/>
              <w:ind w:left="101"/>
              <w:jc w:val="center"/>
              <w:rPr>
                <w:sz w:val="18"/>
              </w:rPr>
            </w:pPr>
            <w:r>
              <w:rPr>
                <w:sz w:val="18"/>
              </w:rPr>
              <w:t>9</w:t>
            </w:r>
          </w:p>
        </w:tc>
        <w:tc>
          <w:tcPr>
            <w:tcW w:w="1348" w:type="dxa"/>
          </w:tcPr>
          <w:p>
            <w:pPr>
              <w:pStyle w:val="TableParagraph"/>
              <w:spacing w:line="205" w:lineRule="exact"/>
              <w:ind w:right="117"/>
              <w:jc w:val="center"/>
              <w:rPr>
                <w:sz w:val="18"/>
              </w:rPr>
            </w:pPr>
            <w:r>
              <w:rPr>
                <w:sz w:val="18"/>
              </w:rPr>
              <w:t>6</w:t>
            </w:r>
          </w:p>
        </w:tc>
      </w:tr>
      <w:tr>
        <w:trPr>
          <w:trHeight w:val="240" w:hRule="atLeast"/>
        </w:trPr>
        <w:tc>
          <w:tcPr>
            <w:tcW w:w="2019" w:type="dxa"/>
          </w:tcPr>
          <w:p>
            <w:pPr>
              <w:pStyle w:val="TableParagraph"/>
              <w:spacing w:line="206" w:lineRule="exact" w:before="15"/>
              <w:ind w:left="117"/>
              <w:rPr>
                <w:sz w:val="18"/>
              </w:rPr>
            </w:pPr>
            <w:r>
              <w:rPr>
                <w:sz w:val="18"/>
              </w:rPr>
              <w:t>strese sokar ne yaptığımı</w:t>
            </w:r>
          </w:p>
        </w:tc>
        <w:tc>
          <w:tcPr>
            <w:tcW w:w="777" w:type="dxa"/>
            <w:vMerge/>
            <w:tcBorders>
              <w:top w:val="nil"/>
              <w:bottom w:val="single" w:sz="4" w:space="0" w:color="000000"/>
            </w:tcBorders>
          </w:tcPr>
          <w:p>
            <w:pPr>
              <w:rPr>
                <w:sz w:val="2"/>
                <w:szCs w:val="2"/>
              </w:rPr>
            </w:pPr>
          </w:p>
        </w:tc>
        <w:tc>
          <w:tcPr>
            <w:tcW w:w="1086" w:type="dxa"/>
          </w:tcPr>
          <w:p>
            <w:pPr>
              <w:pStyle w:val="TableParagraph"/>
              <w:spacing w:line="205" w:lineRule="exact"/>
              <w:ind w:left="199"/>
              <w:rPr>
                <w:sz w:val="18"/>
              </w:rPr>
            </w:pPr>
            <w:r>
              <w:rPr>
                <w:sz w:val="18"/>
              </w:rPr>
              <w:t>35,2</w:t>
            </w:r>
          </w:p>
        </w:tc>
        <w:tc>
          <w:tcPr>
            <w:tcW w:w="1245" w:type="dxa"/>
          </w:tcPr>
          <w:p>
            <w:pPr>
              <w:pStyle w:val="TableParagraph"/>
              <w:spacing w:line="205" w:lineRule="exact"/>
              <w:ind w:left="52" w:right="24"/>
              <w:jc w:val="center"/>
              <w:rPr>
                <w:sz w:val="18"/>
              </w:rPr>
            </w:pPr>
            <w:r>
              <w:rPr>
                <w:sz w:val="18"/>
              </w:rPr>
              <w:t>33,3</w:t>
            </w:r>
          </w:p>
        </w:tc>
        <w:tc>
          <w:tcPr>
            <w:tcW w:w="1065" w:type="dxa"/>
          </w:tcPr>
          <w:p>
            <w:pPr>
              <w:pStyle w:val="TableParagraph"/>
              <w:spacing w:line="196" w:lineRule="exact" w:before="24"/>
              <w:ind w:left="477"/>
              <w:rPr>
                <w:sz w:val="18"/>
              </w:rPr>
            </w:pPr>
            <w:r>
              <w:rPr>
                <w:sz w:val="18"/>
              </w:rPr>
              <w:t>17,1</w:t>
            </w:r>
          </w:p>
        </w:tc>
        <w:tc>
          <w:tcPr>
            <w:tcW w:w="1210" w:type="dxa"/>
          </w:tcPr>
          <w:p>
            <w:pPr>
              <w:pStyle w:val="TableParagraph"/>
              <w:spacing w:line="205" w:lineRule="exact"/>
              <w:ind w:left="610"/>
              <w:rPr>
                <w:sz w:val="18"/>
              </w:rPr>
            </w:pPr>
            <w:r>
              <w:rPr>
                <w:sz w:val="18"/>
              </w:rPr>
              <w:t>8,6</w:t>
            </w:r>
          </w:p>
        </w:tc>
        <w:tc>
          <w:tcPr>
            <w:tcW w:w="1348" w:type="dxa"/>
          </w:tcPr>
          <w:p>
            <w:pPr>
              <w:pStyle w:val="TableParagraph"/>
              <w:spacing w:line="205" w:lineRule="exact"/>
              <w:ind w:right="550"/>
              <w:jc w:val="right"/>
              <w:rPr>
                <w:sz w:val="18"/>
              </w:rPr>
            </w:pPr>
            <w:r>
              <w:rPr>
                <w:sz w:val="18"/>
              </w:rPr>
              <w:t>5,7</w:t>
            </w:r>
          </w:p>
        </w:tc>
      </w:tr>
      <w:tr>
        <w:trPr>
          <w:trHeight w:val="445" w:hRule="atLeast"/>
        </w:trPr>
        <w:tc>
          <w:tcPr>
            <w:tcW w:w="2019" w:type="dxa"/>
            <w:tcBorders>
              <w:bottom w:val="single" w:sz="4" w:space="0" w:color="000000"/>
            </w:tcBorders>
          </w:tcPr>
          <w:p>
            <w:pPr>
              <w:pStyle w:val="TableParagraph"/>
              <w:spacing w:before="1"/>
              <w:ind w:left="117"/>
              <w:rPr>
                <w:sz w:val="18"/>
              </w:rPr>
            </w:pPr>
            <w:r>
              <w:rPr>
                <w:sz w:val="18"/>
              </w:rPr>
              <w:t>bilmem.</w:t>
            </w:r>
          </w:p>
        </w:tc>
        <w:tc>
          <w:tcPr>
            <w:tcW w:w="777" w:type="dxa"/>
            <w:vMerge/>
            <w:tcBorders>
              <w:top w:val="nil"/>
              <w:bottom w:val="single" w:sz="4" w:space="0" w:color="000000"/>
            </w:tcBorders>
          </w:tcPr>
          <w:p>
            <w:pPr>
              <w:rPr>
                <w:sz w:val="2"/>
                <w:szCs w:val="2"/>
              </w:rPr>
            </w:pPr>
          </w:p>
        </w:tc>
        <w:tc>
          <w:tcPr>
            <w:tcW w:w="1086" w:type="dxa"/>
            <w:tcBorders>
              <w:bottom w:val="single" w:sz="4" w:space="0" w:color="000000"/>
            </w:tcBorders>
          </w:tcPr>
          <w:p>
            <w:pPr>
              <w:pStyle w:val="TableParagraph"/>
              <w:rPr>
                <w:sz w:val="20"/>
              </w:rPr>
            </w:pPr>
          </w:p>
        </w:tc>
        <w:tc>
          <w:tcPr>
            <w:tcW w:w="1245" w:type="dxa"/>
            <w:tcBorders>
              <w:bottom w:val="single" w:sz="4" w:space="0" w:color="000000"/>
            </w:tcBorders>
          </w:tcPr>
          <w:p>
            <w:pPr>
              <w:pStyle w:val="TableParagraph"/>
              <w:rPr>
                <w:sz w:val="20"/>
              </w:rPr>
            </w:pPr>
          </w:p>
        </w:tc>
        <w:tc>
          <w:tcPr>
            <w:tcW w:w="1065" w:type="dxa"/>
            <w:tcBorders>
              <w:bottom w:val="single" w:sz="4" w:space="0" w:color="000000"/>
            </w:tcBorders>
          </w:tcPr>
          <w:p>
            <w:pPr>
              <w:pStyle w:val="TableParagraph"/>
              <w:rPr>
                <w:sz w:val="20"/>
              </w:rPr>
            </w:pPr>
          </w:p>
        </w:tc>
        <w:tc>
          <w:tcPr>
            <w:tcW w:w="1210" w:type="dxa"/>
            <w:tcBorders>
              <w:bottom w:val="single" w:sz="4" w:space="0" w:color="000000"/>
            </w:tcBorders>
          </w:tcPr>
          <w:p>
            <w:pPr>
              <w:pStyle w:val="TableParagraph"/>
              <w:rPr>
                <w:sz w:val="20"/>
              </w:rPr>
            </w:pPr>
          </w:p>
        </w:tc>
        <w:tc>
          <w:tcPr>
            <w:tcW w:w="1348" w:type="dxa"/>
            <w:tcBorders>
              <w:bottom w:val="single" w:sz="4" w:space="0" w:color="000000"/>
            </w:tcBorders>
          </w:tcPr>
          <w:p>
            <w:pPr>
              <w:pStyle w:val="TableParagraph"/>
              <w:rPr>
                <w:sz w:val="20"/>
              </w:rPr>
            </w:pPr>
          </w:p>
        </w:tc>
      </w:tr>
    </w:tbl>
    <w:p>
      <w:pPr>
        <w:spacing w:after="0"/>
        <w:rPr>
          <w:sz w:val="20"/>
        </w:rPr>
        <w:sectPr>
          <w:pgSz w:w="11910" w:h="16840"/>
          <w:pgMar w:header="0" w:footer="976" w:top="1580" w:bottom="1240" w:left="1140" w:right="520"/>
        </w:sectPr>
      </w:pPr>
    </w:p>
    <w:p>
      <w:pPr>
        <w:pStyle w:val="BodyText"/>
        <w:spacing w:before="4"/>
        <w:rPr>
          <w:b/>
          <w:sz w:val="9"/>
        </w:rPr>
      </w:pPr>
      <w:r>
        <w:rPr/>
        <w:pict>
          <v:group style="position:absolute;margin-left:108.019997pt;margin-top:85.079987pt;width:437pt;height:.5pt;mso-position-horizontal-relative:page;mso-position-vertical-relative:page;z-index:1336" coordorigin="2160,1702" coordsize="8740,10">
            <v:line style="position:absolute" from="2160,1706" to="4170,1706" stroked="true" strokeweight=".48pt" strokecolor="#000000">
              <v:stroke dashstyle="solid"/>
            </v:line>
            <v:rect style="position:absolute;left:4169;top:1701;width:10;height:10" filled="true" fillcolor="#000000" stroked="false">
              <v:fill type="solid"/>
            </v:rect>
            <v:line style="position:absolute" from="4179,1706" to="4861,1706" stroked="true" strokeweight=".48pt" strokecolor="#000000">
              <v:stroke dashstyle="solid"/>
            </v:line>
            <v:rect style="position:absolute;left:4861;top:1701;width:10;height:10" filled="true" fillcolor="#000000" stroked="false">
              <v:fill type="solid"/>
            </v:rect>
            <v:line style="position:absolute" from="4871,1706" to="6227,1706" stroked="true" strokeweight=".48pt" strokecolor="#000000">
              <v:stroke dashstyle="solid"/>
            </v:line>
            <v:rect style="position:absolute;left:6226;top:1701;width:10;height:10" filled="true" fillcolor="#000000" stroked="false">
              <v:fill type="solid"/>
            </v:rect>
            <v:line style="position:absolute" from="6236,1706" to="7470,1706" stroked="true" strokeweight=".48pt" strokecolor="#000000">
              <v:stroke dashstyle="solid"/>
            </v:line>
            <v:rect style="position:absolute;left:7470;top:1701;width:10;height:10" filled="true" fillcolor="#000000" stroked="false">
              <v:fill type="solid"/>
            </v:rect>
            <v:line style="position:absolute" from="7480,1706" to="8577,1706" stroked="true" strokeweight=".48pt" strokecolor="#000000">
              <v:stroke dashstyle="solid"/>
            </v:line>
            <v:rect style="position:absolute;left:8576;top:1701;width:10;height:10" filled="true" fillcolor="#000000" stroked="false">
              <v:fill type="solid"/>
            </v:rect>
            <v:line style="position:absolute" from="8586,1706" to="9746,1706" stroked="true" strokeweight=".48pt" strokecolor="#000000">
              <v:stroke dashstyle="solid"/>
            </v:line>
            <v:rect style="position:absolute;left:9746;top:1701;width:10;height:10" filled="true" fillcolor="#000000" stroked="false">
              <v:fill type="solid"/>
            </v:rect>
            <v:line style="position:absolute" from="9756,1706" to="10900,1706" stroked="true" strokeweight=".48pt" strokecolor="#000000">
              <v:stroke dashstyle="solid"/>
            </v:line>
            <w10:wrap type="none"/>
          </v:group>
        </w:pict>
      </w:r>
    </w:p>
    <w:tbl>
      <w:tblPr>
        <w:tblW w:w="0" w:type="auto"/>
        <w:jc w:val="left"/>
        <w:tblInd w:w="10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070"/>
        <w:gridCol w:w="770"/>
        <w:gridCol w:w="995"/>
        <w:gridCol w:w="1304"/>
        <w:gridCol w:w="1173"/>
        <w:gridCol w:w="1137"/>
        <w:gridCol w:w="941"/>
      </w:tblGrid>
      <w:tr>
        <w:trPr>
          <w:trHeight w:val="2825" w:hRule="atLeast"/>
        </w:trPr>
        <w:tc>
          <w:tcPr>
            <w:tcW w:w="2070" w:type="dxa"/>
          </w:tcPr>
          <w:p>
            <w:pPr>
              <w:pStyle w:val="TableParagraph"/>
              <w:rPr>
                <w:b/>
                <w:sz w:val="29"/>
              </w:rPr>
            </w:pPr>
          </w:p>
          <w:p>
            <w:pPr>
              <w:pStyle w:val="TableParagraph"/>
              <w:spacing w:line="276" w:lineRule="auto"/>
              <w:ind w:left="115" w:right="160"/>
              <w:jc w:val="both"/>
              <w:rPr>
                <w:sz w:val="18"/>
              </w:rPr>
            </w:pPr>
            <w:r>
              <w:rPr>
                <w:b/>
                <w:sz w:val="18"/>
              </w:rPr>
              <w:t>Soru 55. </w:t>
            </w:r>
            <w:r>
              <w:rPr>
                <w:sz w:val="18"/>
              </w:rPr>
              <w:t>Bir afet sırasında kurumumuzda liderlik sorunu yaşanaca ğını düşünmüyorum.</w:t>
            </w:r>
          </w:p>
          <w:p>
            <w:pPr>
              <w:pStyle w:val="TableParagraph"/>
              <w:rPr>
                <w:b/>
                <w:sz w:val="20"/>
              </w:rPr>
            </w:pPr>
          </w:p>
          <w:p>
            <w:pPr>
              <w:pStyle w:val="TableParagraph"/>
              <w:spacing w:before="5"/>
              <w:rPr>
                <w:b/>
                <w:sz w:val="17"/>
              </w:rPr>
            </w:pPr>
          </w:p>
          <w:p>
            <w:pPr>
              <w:pStyle w:val="TableParagraph"/>
              <w:spacing w:line="276" w:lineRule="auto"/>
              <w:ind w:left="115" w:right="52"/>
              <w:jc w:val="both"/>
              <w:rPr>
                <w:sz w:val="18"/>
              </w:rPr>
            </w:pPr>
            <w:r>
              <w:rPr>
                <w:b/>
                <w:sz w:val="18"/>
              </w:rPr>
              <w:t>Soru 56. </w:t>
            </w:r>
            <w:r>
              <w:rPr>
                <w:sz w:val="18"/>
              </w:rPr>
              <w:t>Bu kurumda kendimi bir  ekibin parçası gibi</w:t>
            </w:r>
            <w:r>
              <w:rPr>
                <w:spacing w:val="-8"/>
                <w:sz w:val="18"/>
              </w:rPr>
              <w:t> </w:t>
            </w:r>
            <w:r>
              <w:rPr>
                <w:sz w:val="18"/>
              </w:rPr>
              <w:t>hissediyorum.</w:t>
            </w:r>
          </w:p>
        </w:tc>
        <w:tc>
          <w:tcPr>
            <w:tcW w:w="770" w:type="dxa"/>
          </w:tcPr>
          <w:p>
            <w:pPr>
              <w:pStyle w:val="TableParagraph"/>
              <w:rPr>
                <w:b/>
                <w:sz w:val="29"/>
              </w:rPr>
            </w:pPr>
          </w:p>
          <w:p>
            <w:pPr>
              <w:pStyle w:val="TableParagraph"/>
              <w:ind w:left="54"/>
              <w:rPr>
                <w:sz w:val="18"/>
              </w:rPr>
            </w:pPr>
            <w:r>
              <w:rPr>
                <w:sz w:val="18"/>
              </w:rPr>
              <w:t>Sayı</w:t>
            </w:r>
          </w:p>
          <w:p>
            <w:pPr>
              <w:pStyle w:val="TableParagraph"/>
              <w:spacing w:line="276" w:lineRule="auto" w:before="127"/>
              <w:ind w:left="145" w:right="227" w:hanging="92"/>
              <w:rPr>
                <w:sz w:val="18"/>
              </w:rPr>
            </w:pPr>
            <w:r>
              <w:rPr>
                <w:sz w:val="18"/>
              </w:rPr>
              <w:t>Yüzde (%)</w:t>
            </w:r>
          </w:p>
          <w:p>
            <w:pPr>
              <w:pStyle w:val="TableParagraph"/>
              <w:rPr>
                <w:b/>
                <w:sz w:val="20"/>
              </w:rPr>
            </w:pPr>
          </w:p>
          <w:p>
            <w:pPr>
              <w:pStyle w:val="TableParagraph"/>
              <w:spacing w:before="5"/>
              <w:rPr>
                <w:b/>
                <w:sz w:val="17"/>
              </w:rPr>
            </w:pPr>
          </w:p>
          <w:p>
            <w:pPr>
              <w:pStyle w:val="TableParagraph"/>
              <w:ind w:left="54" w:firstLine="40"/>
              <w:rPr>
                <w:sz w:val="18"/>
              </w:rPr>
            </w:pPr>
            <w:r>
              <w:rPr>
                <w:sz w:val="18"/>
              </w:rPr>
              <w:t>Sayı</w:t>
            </w:r>
          </w:p>
          <w:p>
            <w:pPr>
              <w:pStyle w:val="TableParagraph"/>
              <w:spacing w:line="276" w:lineRule="auto" w:before="127"/>
              <w:ind w:left="145" w:right="227" w:hanging="92"/>
              <w:rPr>
                <w:sz w:val="18"/>
              </w:rPr>
            </w:pPr>
            <w:r>
              <w:rPr>
                <w:sz w:val="18"/>
              </w:rPr>
              <w:t>Yüzde (%)</w:t>
            </w:r>
          </w:p>
        </w:tc>
        <w:tc>
          <w:tcPr>
            <w:tcW w:w="995" w:type="dxa"/>
          </w:tcPr>
          <w:p>
            <w:pPr>
              <w:pStyle w:val="TableParagraph"/>
              <w:rPr>
                <w:b/>
                <w:sz w:val="29"/>
              </w:rPr>
            </w:pPr>
          </w:p>
          <w:p>
            <w:pPr>
              <w:pStyle w:val="TableParagraph"/>
              <w:ind w:left="244"/>
              <w:rPr>
                <w:sz w:val="18"/>
              </w:rPr>
            </w:pPr>
            <w:r>
              <w:rPr>
                <w:sz w:val="18"/>
              </w:rPr>
              <w:t>8</w:t>
            </w:r>
          </w:p>
          <w:p>
            <w:pPr>
              <w:pStyle w:val="TableParagraph"/>
              <w:spacing w:before="127"/>
              <w:ind w:left="244"/>
              <w:rPr>
                <w:sz w:val="18"/>
              </w:rPr>
            </w:pPr>
            <w:r>
              <w:rPr>
                <w:sz w:val="18"/>
              </w:rPr>
              <w:t>7,6</w:t>
            </w:r>
          </w:p>
          <w:p>
            <w:pPr>
              <w:pStyle w:val="TableParagraph"/>
              <w:rPr>
                <w:b/>
                <w:sz w:val="20"/>
              </w:rPr>
            </w:pPr>
          </w:p>
          <w:p>
            <w:pPr>
              <w:pStyle w:val="TableParagraph"/>
              <w:rPr>
                <w:b/>
                <w:sz w:val="20"/>
              </w:rPr>
            </w:pPr>
          </w:p>
          <w:p>
            <w:pPr>
              <w:pStyle w:val="TableParagraph"/>
              <w:spacing w:before="2"/>
              <w:rPr>
                <w:b/>
                <w:sz w:val="29"/>
              </w:rPr>
            </w:pPr>
          </w:p>
          <w:p>
            <w:pPr>
              <w:pStyle w:val="TableParagraph"/>
              <w:spacing w:before="1"/>
              <w:ind w:left="244"/>
              <w:rPr>
                <w:sz w:val="18"/>
              </w:rPr>
            </w:pPr>
            <w:r>
              <w:rPr>
                <w:sz w:val="18"/>
              </w:rPr>
              <w:t>7</w:t>
            </w:r>
          </w:p>
          <w:p>
            <w:pPr>
              <w:pStyle w:val="TableParagraph"/>
              <w:spacing w:before="126"/>
              <w:ind w:left="244"/>
              <w:rPr>
                <w:sz w:val="18"/>
              </w:rPr>
            </w:pPr>
            <w:r>
              <w:rPr>
                <w:sz w:val="18"/>
              </w:rPr>
              <w:t>6,7</w:t>
            </w:r>
          </w:p>
        </w:tc>
        <w:tc>
          <w:tcPr>
            <w:tcW w:w="1304" w:type="dxa"/>
          </w:tcPr>
          <w:p>
            <w:pPr>
              <w:pStyle w:val="TableParagraph"/>
              <w:rPr>
                <w:b/>
                <w:sz w:val="29"/>
              </w:rPr>
            </w:pPr>
          </w:p>
          <w:p>
            <w:pPr>
              <w:pStyle w:val="TableParagraph"/>
              <w:ind w:left="376" w:right="443"/>
              <w:jc w:val="center"/>
              <w:rPr>
                <w:sz w:val="18"/>
              </w:rPr>
            </w:pPr>
            <w:r>
              <w:rPr>
                <w:sz w:val="18"/>
              </w:rPr>
              <w:t>14</w:t>
            </w:r>
          </w:p>
          <w:p>
            <w:pPr>
              <w:pStyle w:val="TableParagraph"/>
              <w:spacing w:before="127"/>
              <w:ind w:left="503" w:right="443"/>
              <w:jc w:val="center"/>
              <w:rPr>
                <w:sz w:val="18"/>
              </w:rPr>
            </w:pPr>
            <w:r>
              <w:rPr>
                <w:sz w:val="18"/>
              </w:rPr>
              <w:t>13,3</w:t>
            </w:r>
          </w:p>
          <w:p>
            <w:pPr>
              <w:pStyle w:val="TableParagraph"/>
              <w:rPr>
                <w:b/>
                <w:sz w:val="20"/>
              </w:rPr>
            </w:pPr>
          </w:p>
          <w:p>
            <w:pPr>
              <w:pStyle w:val="TableParagraph"/>
              <w:rPr>
                <w:b/>
                <w:sz w:val="20"/>
              </w:rPr>
            </w:pPr>
          </w:p>
          <w:p>
            <w:pPr>
              <w:pStyle w:val="TableParagraph"/>
              <w:spacing w:before="2"/>
              <w:rPr>
                <w:b/>
                <w:sz w:val="29"/>
              </w:rPr>
            </w:pPr>
          </w:p>
          <w:p>
            <w:pPr>
              <w:pStyle w:val="TableParagraph"/>
              <w:spacing w:before="1"/>
              <w:ind w:left="17"/>
              <w:jc w:val="center"/>
              <w:rPr>
                <w:sz w:val="18"/>
              </w:rPr>
            </w:pPr>
            <w:r>
              <w:rPr>
                <w:sz w:val="18"/>
              </w:rPr>
              <w:t>3</w:t>
            </w:r>
          </w:p>
          <w:p>
            <w:pPr>
              <w:pStyle w:val="TableParagraph"/>
              <w:spacing w:before="126"/>
              <w:ind w:left="504" w:right="351"/>
              <w:jc w:val="center"/>
              <w:rPr>
                <w:sz w:val="18"/>
              </w:rPr>
            </w:pPr>
            <w:r>
              <w:rPr>
                <w:sz w:val="18"/>
              </w:rPr>
              <w:t>2,9</w:t>
            </w:r>
          </w:p>
        </w:tc>
        <w:tc>
          <w:tcPr>
            <w:tcW w:w="1173" w:type="dxa"/>
          </w:tcPr>
          <w:p>
            <w:pPr>
              <w:pStyle w:val="TableParagraph"/>
              <w:rPr>
                <w:b/>
                <w:sz w:val="29"/>
              </w:rPr>
            </w:pPr>
          </w:p>
          <w:p>
            <w:pPr>
              <w:pStyle w:val="TableParagraph"/>
              <w:ind w:left="318" w:right="374"/>
              <w:jc w:val="center"/>
              <w:rPr>
                <w:sz w:val="18"/>
              </w:rPr>
            </w:pPr>
            <w:r>
              <w:rPr>
                <w:sz w:val="18"/>
              </w:rPr>
              <w:t>27</w:t>
            </w:r>
          </w:p>
          <w:p>
            <w:pPr>
              <w:pStyle w:val="TableParagraph"/>
              <w:spacing w:before="127"/>
              <w:ind w:left="443" w:right="374"/>
              <w:jc w:val="center"/>
              <w:rPr>
                <w:sz w:val="18"/>
              </w:rPr>
            </w:pPr>
            <w:r>
              <w:rPr>
                <w:sz w:val="18"/>
              </w:rPr>
              <w:t>25,7</w:t>
            </w:r>
          </w:p>
          <w:p>
            <w:pPr>
              <w:pStyle w:val="TableParagraph"/>
              <w:rPr>
                <w:b/>
                <w:sz w:val="20"/>
              </w:rPr>
            </w:pPr>
          </w:p>
          <w:p>
            <w:pPr>
              <w:pStyle w:val="TableParagraph"/>
              <w:rPr>
                <w:b/>
                <w:sz w:val="20"/>
              </w:rPr>
            </w:pPr>
          </w:p>
          <w:p>
            <w:pPr>
              <w:pStyle w:val="TableParagraph"/>
              <w:spacing w:before="2"/>
              <w:rPr>
                <w:b/>
                <w:sz w:val="29"/>
              </w:rPr>
            </w:pPr>
          </w:p>
          <w:p>
            <w:pPr>
              <w:pStyle w:val="TableParagraph"/>
              <w:spacing w:before="1"/>
              <w:ind w:left="318" w:right="374"/>
              <w:jc w:val="center"/>
              <w:rPr>
                <w:sz w:val="18"/>
              </w:rPr>
            </w:pPr>
            <w:r>
              <w:rPr>
                <w:sz w:val="18"/>
              </w:rPr>
              <w:t>23</w:t>
            </w:r>
          </w:p>
          <w:p>
            <w:pPr>
              <w:pStyle w:val="TableParagraph"/>
              <w:spacing w:before="126"/>
              <w:ind w:left="443" w:right="374"/>
              <w:jc w:val="center"/>
              <w:rPr>
                <w:sz w:val="18"/>
              </w:rPr>
            </w:pPr>
            <w:r>
              <w:rPr>
                <w:sz w:val="18"/>
              </w:rPr>
              <w:t>21,9</w:t>
            </w:r>
          </w:p>
        </w:tc>
        <w:tc>
          <w:tcPr>
            <w:tcW w:w="1137" w:type="dxa"/>
          </w:tcPr>
          <w:p>
            <w:pPr>
              <w:pStyle w:val="TableParagraph"/>
              <w:rPr>
                <w:b/>
                <w:sz w:val="29"/>
              </w:rPr>
            </w:pPr>
          </w:p>
          <w:p>
            <w:pPr>
              <w:pStyle w:val="TableParagraph"/>
              <w:ind w:left="251" w:right="403"/>
              <w:jc w:val="center"/>
              <w:rPr>
                <w:sz w:val="18"/>
              </w:rPr>
            </w:pPr>
            <w:r>
              <w:rPr>
                <w:sz w:val="18"/>
              </w:rPr>
              <w:t>41</w:t>
            </w:r>
          </w:p>
          <w:p>
            <w:pPr>
              <w:pStyle w:val="TableParagraph"/>
              <w:spacing w:before="127"/>
              <w:ind w:left="379" w:right="403"/>
              <w:jc w:val="center"/>
              <w:rPr>
                <w:sz w:val="18"/>
              </w:rPr>
            </w:pPr>
            <w:r>
              <w:rPr>
                <w:sz w:val="18"/>
              </w:rPr>
              <w:t>39,0</w:t>
            </w:r>
          </w:p>
          <w:p>
            <w:pPr>
              <w:pStyle w:val="TableParagraph"/>
              <w:rPr>
                <w:b/>
                <w:sz w:val="20"/>
              </w:rPr>
            </w:pPr>
          </w:p>
          <w:p>
            <w:pPr>
              <w:pStyle w:val="TableParagraph"/>
              <w:rPr>
                <w:b/>
                <w:sz w:val="20"/>
              </w:rPr>
            </w:pPr>
          </w:p>
          <w:p>
            <w:pPr>
              <w:pStyle w:val="TableParagraph"/>
              <w:spacing w:before="2"/>
              <w:rPr>
                <w:b/>
                <w:sz w:val="29"/>
              </w:rPr>
            </w:pPr>
          </w:p>
          <w:p>
            <w:pPr>
              <w:pStyle w:val="TableParagraph"/>
              <w:spacing w:before="1"/>
              <w:ind w:left="251" w:right="403"/>
              <w:jc w:val="center"/>
              <w:rPr>
                <w:sz w:val="18"/>
              </w:rPr>
            </w:pPr>
            <w:r>
              <w:rPr>
                <w:sz w:val="18"/>
              </w:rPr>
              <w:t>46</w:t>
            </w:r>
          </w:p>
          <w:p>
            <w:pPr>
              <w:pStyle w:val="TableParagraph"/>
              <w:spacing w:before="126"/>
              <w:ind w:left="379" w:right="403"/>
              <w:jc w:val="center"/>
              <w:rPr>
                <w:sz w:val="18"/>
              </w:rPr>
            </w:pPr>
            <w:r>
              <w:rPr>
                <w:sz w:val="18"/>
              </w:rPr>
              <w:t>43,8</w:t>
            </w:r>
          </w:p>
        </w:tc>
        <w:tc>
          <w:tcPr>
            <w:tcW w:w="941" w:type="dxa"/>
          </w:tcPr>
          <w:p>
            <w:pPr>
              <w:pStyle w:val="TableParagraph"/>
              <w:rPr>
                <w:b/>
                <w:sz w:val="29"/>
              </w:rPr>
            </w:pPr>
          </w:p>
          <w:p>
            <w:pPr>
              <w:pStyle w:val="TableParagraph"/>
              <w:ind w:left="281" w:right="176"/>
              <w:jc w:val="center"/>
              <w:rPr>
                <w:sz w:val="18"/>
              </w:rPr>
            </w:pPr>
            <w:r>
              <w:rPr>
                <w:sz w:val="18"/>
              </w:rPr>
              <w:t>15</w:t>
            </w:r>
          </w:p>
          <w:p>
            <w:pPr>
              <w:pStyle w:val="TableParagraph"/>
              <w:spacing w:before="127"/>
              <w:ind w:left="409" w:right="176"/>
              <w:jc w:val="center"/>
              <w:rPr>
                <w:sz w:val="18"/>
              </w:rPr>
            </w:pPr>
            <w:r>
              <w:rPr>
                <w:sz w:val="18"/>
              </w:rPr>
              <w:t>14,3</w:t>
            </w:r>
          </w:p>
          <w:p>
            <w:pPr>
              <w:pStyle w:val="TableParagraph"/>
              <w:rPr>
                <w:b/>
                <w:sz w:val="20"/>
              </w:rPr>
            </w:pPr>
          </w:p>
          <w:p>
            <w:pPr>
              <w:pStyle w:val="TableParagraph"/>
              <w:rPr>
                <w:b/>
                <w:sz w:val="20"/>
              </w:rPr>
            </w:pPr>
          </w:p>
          <w:p>
            <w:pPr>
              <w:pStyle w:val="TableParagraph"/>
              <w:spacing w:before="2"/>
              <w:rPr>
                <w:b/>
                <w:sz w:val="29"/>
              </w:rPr>
            </w:pPr>
          </w:p>
          <w:p>
            <w:pPr>
              <w:pStyle w:val="TableParagraph"/>
              <w:spacing w:before="1"/>
              <w:ind w:left="281" w:right="176"/>
              <w:jc w:val="center"/>
              <w:rPr>
                <w:sz w:val="18"/>
              </w:rPr>
            </w:pPr>
            <w:r>
              <w:rPr>
                <w:sz w:val="18"/>
              </w:rPr>
              <w:t>26</w:t>
            </w:r>
          </w:p>
          <w:p>
            <w:pPr>
              <w:pStyle w:val="TableParagraph"/>
              <w:spacing w:before="126"/>
              <w:ind w:left="409" w:right="176"/>
              <w:jc w:val="center"/>
              <w:rPr>
                <w:sz w:val="18"/>
              </w:rPr>
            </w:pPr>
            <w:r>
              <w:rPr>
                <w:sz w:val="18"/>
              </w:rPr>
              <w:t>24,8</w:t>
            </w:r>
          </w:p>
        </w:tc>
      </w:tr>
    </w:tbl>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9"/>
        <w:rPr>
          <w:b/>
          <w:sz w:val="23"/>
        </w:rPr>
      </w:pPr>
    </w:p>
    <w:p>
      <w:pPr>
        <w:pStyle w:val="BodyText"/>
        <w:spacing w:line="360" w:lineRule="auto" w:before="90"/>
        <w:ind w:left="1128" w:right="608" w:firstLine="708"/>
        <w:jc w:val="both"/>
      </w:pPr>
      <w:r>
        <w:rPr/>
        <w:pict>
          <v:group style="position:absolute;margin-left:107.300003pt;margin-top:-59.926865pt;width:437.75pt;height:.5pt;mso-position-horizontal-relative:page;mso-position-vertical-relative:paragraph;z-index:1360" coordorigin="2146,-1199" coordsize="8755,10">
            <v:line style="position:absolute" from="2146,-1194" to="4170,-1194" stroked="true" strokeweight=".48pt" strokecolor="#000000">
              <v:stroke dashstyle="solid"/>
            </v:line>
            <v:rect style="position:absolute;left:4155;top:-1199;width:10;height:10" filled="true" fillcolor="#000000" stroked="false">
              <v:fill type="solid"/>
            </v:rect>
            <v:line style="position:absolute" from="4165,-1194" to="4861,-1194" stroked="true" strokeweight=".48pt" strokecolor="#000000">
              <v:stroke dashstyle="solid"/>
            </v:line>
            <v:rect style="position:absolute;left:4846;top:-1199;width:10;height:10" filled="true" fillcolor="#000000" stroked="false">
              <v:fill type="solid"/>
            </v:rect>
            <v:line style="position:absolute" from="4856,-1194" to="6227,-1194" stroked="true" strokeweight=".48pt" strokecolor="#000000">
              <v:stroke dashstyle="solid"/>
            </v:line>
            <v:rect style="position:absolute;left:6212;top:-1199;width:10;height:10" filled="true" fillcolor="#000000" stroked="false">
              <v:fill type="solid"/>
            </v:rect>
            <v:line style="position:absolute" from="6222,-1194" to="7470,-1194" stroked="true" strokeweight=".48pt" strokecolor="#000000">
              <v:stroke dashstyle="solid"/>
            </v:line>
            <v:rect style="position:absolute;left:7455;top:-1199;width:10;height:10" filled="true" fillcolor="#000000" stroked="false">
              <v:fill type="solid"/>
            </v:rect>
            <v:line style="position:absolute" from="7465,-1194" to="8577,-1194" stroked="true" strokeweight=".48pt" strokecolor="#000000">
              <v:stroke dashstyle="solid"/>
            </v:line>
            <v:rect style="position:absolute;left:8562;top:-1199;width:10;height:10" filled="true" fillcolor="#000000" stroked="false">
              <v:fill type="solid"/>
            </v:rect>
            <v:line style="position:absolute" from="8572,-1194" to="9746,-1194" stroked="true" strokeweight=".48pt" strokecolor="#000000">
              <v:stroke dashstyle="solid"/>
            </v:line>
            <v:rect style="position:absolute;left:9731;top:-1199;width:10;height:10" filled="true" fillcolor="#000000" stroked="false">
              <v:fill type="solid"/>
            </v:rect>
            <v:line style="position:absolute" from="9741,-1194" to="10900,-1194" stroked="true" strokeweight=".48pt" strokecolor="#000000">
              <v:stroke dashstyle="solid"/>
            </v:line>
            <w10:wrap type="none"/>
          </v:group>
        </w:pict>
      </w:r>
      <w:r>
        <w:rPr/>
        <w:t>‘‘Kurumumuzun yöneticileri afette personeline liderlik yapabilecek kabiliyet ve bilgiye sahiptirler (soru 50)’’ sorusuna, kesinlikle katılmıyorum şıkkının işaretlenme oranı %8,6, katılmıyorum şıkkının işaretlenme oranı %20,0, kararsızım şıkkının işaretlenme oranı %36,2, katılıyorum şıkkının işaretlenme oranı %25,7, kesinlikle katılıyorum şıkkının işaretlenme oranı %9,5’tir.</w:t>
      </w:r>
    </w:p>
    <w:p>
      <w:pPr>
        <w:pStyle w:val="BodyText"/>
        <w:spacing w:line="360" w:lineRule="auto" w:before="1"/>
        <w:ind w:left="1128" w:right="611" w:firstLine="708"/>
        <w:jc w:val="both"/>
      </w:pPr>
      <w:r>
        <w:rPr/>
        <w:t>‘‘Kurumumuzda işler her zaman ekip anlayışı içinde yürütülmektedir (soru 51)’’ sorusuna, kesinlikle katılmıyorum şıkkının işaretlenme oranı %9,5, katılmıyorum şıkkının işaretlenme oranı %10,5, kararsızım şıkkının işaretlenme oranı %28,6, katılıyorum</w:t>
      </w:r>
      <w:r>
        <w:rPr>
          <w:spacing w:val="-14"/>
        </w:rPr>
        <w:t> </w:t>
      </w:r>
      <w:r>
        <w:rPr/>
        <w:t>şıkkının</w:t>
      </w:r>
      <w:r>
        <w:rPr>
          <w:spacing w:val="-13"/>
        </w:rPr>
        <w:t> </w:t>
      </w:r>
      <w:r>
        <w:rPr/>
        <w:t>işaretlenme</w:t>
      </w:r>
      <w:r>
        <w:rPr>
          <w:spacing w:val="-13"/>
        </w:rPr>
        <w:t> </w:t>
      </w:r>
      <w:r>
        <w:rPr/>
        <w:t>oranı</w:t>
      </w:r>
      <w:r>
        <w:rPr>
          <w:spacing w:val="-13"/>
        </w:rPr>
        <w:t> </w:t>
      </w:r>
      <w:r>
        <w:rPr/>
        <w:t>%38,1,</w:t>
      </w:r>
      <w:r>
        <w:rPr>
          <w:spacing w:val="-13"/>
        </w:rPr>
        <w:t> </w:t>
      </w:r>
      <w:r>
        <w:rPr/>
        <w:t>kesinlikle</w:t>
      </w:r>
      <w:r>
        <w:rPr>
          <w:spacing w:val="-14"/>
        </w:rPr>
        <w:t> </w:t>
      </w:r>
      <w:r>
        <w:rPr/>
        <w:t>katılıyorum</w:t>
      </w:r>
      <w:r>
        <w:rPr>
          <w:spacing w:val="-14"/>
        </w:rPr>
        <w:t> </w:t>
      </w:r>
      <w:r>
        <w:rPr/>
        <w:t>şıkkının</w:t>
      </w:r>
      <w:r>
        <w:rPr>
          <w:spacing w:val="-13"/>
        </w:rPr>
        <w:t> </w:t>
      </w:r>
      <w:r>
        <w:rPr/>
        <w:t>işaretlenme oranı</w:t>
      </w:r>
      <w:r>
        <w:rPr>
          <w:spacing w:val="-1"/>
        </w:rPr>
        <w:t> </w:t>
      </w:r>
      <w:r>
        <w:rPr/>
        <w:t>%13,3’tür.</w:t>
      </w:r>
    </w:p>
    <w:p>
      <w:pPr>
        <w:pStyle w:val="BodyText"/>
        <w:spacing w:line="360" w:lineRule="auto" w:before="5"/>
        <w:ind w:left="1128" w:right="609" w:firstLine="758"/>
        <w:jc w:val="both"/>
      </w:pPr>
      <w:r>
        <w:rPr>
          <w:rFonts w:ascii="Arial" w:hAnsi="Arial"/>
          <w:sz w:val="22"/>
        </w:rPr>
        <w:t>‘</w:t>
      </w:r>
      <w:r>
        <w:rPr/>
        <w:t>‘Afet dönemleri stres ve çatışmanı yoğun olduğu dönemlerdir. Personel bu durum</w:t>
      </w:r>
      <w:r>
        <w:rPr>
          <w:spacing w:val="-10"/>
        </w:rPr>
        <w:t> </w:t>
      </w:r>
      <w:r>
        <w:rPr/>
        <w:t>göz</w:t>
      </w:r>
      <w:r>
        <w:rPr>
          <w:spacing w:val="-11"/>
        </w:rPr>
        <w:t> </w:t>
      </w:r>
      <w:r>
        <w:rPr/>
        <w:t>önüne</w:t>
      </w:r>
      <w:r>
        <w:rPr>
          <w:spacing w:val="-11"/>
        </w:rPr>
        <w:t> </w:t>
      </w:r>
      <w:r>
        <w:rPr/>
        <w:t>alarak</w:t>
      </w:r>
      <w:r>
        <w:rPr>
          <w:spacing w:val="-6"/>
        </w:rPr>
        <w:t> </w:t>
      </w:r>
      <w:r>
        <w:rPr/>
        <w:t>eğitilmiştir.</w:t>
      </w:r>
      <w:r>
        <w:rPr>
          <w:spacing w:val="-12"/>
        </w:rPr>
        <w:t> </w:t>
      </w:r>
      <w:r>
        <w:rPr/>
        <w:t>Böyle</w:t>
      </w:r>
      <w:r>
        <w:rPr>
          <w:spacing w:val="-10"/>
        </w:rPr>
        <w:t> </w:t>
      </w:r>
      <w:r>
        <w:rPr/>
        <w:t>durumlarda</w:t>
      </w:r>
      <w:r>
        <w:rPr>
          <w:spacing w:val="-13"/>
        </w:rPr>
        <w:t> </w:t>
      </w:r>
      <w:r>
        <w:rPr/>
        <w:t>birbirlerine</w:t>
      </w:r>
      <w:r>
        <w:rPr>
          <w:spacing w:val="-9"/>
        </w:rPr>
        <w:t> </w:t>
      </w:r>
      <w:r>
        <w:rPr/>
        <w:t>veya</w:t>
      </w:r>
      <w:r>
        <w:rPr>
          <w:spacing w:val="-11"/>
        </w:rPr>
        <w:t> </w:t>
      </w:r>
      <w:r>
        <w:rPr/>
        <w:t>afetzedeler</w:t>
      </w:r>
      <w:r>
        <w:rPr>
          <w:spacing w:val="-12"/>
        </w:rPr>
        <w:t> </w:t>
      </w:r>
      <w:r>
        <w:rPr/>
        <w:t>karşı nasıl davranacağını bilirler (soru 52)’’ sorusuna, kesinlikle katılmıyorum şıkkının işaretlenme oranı %7,6, katılmıyorum şıkkının işaretlenme oranı %12,4, kararsızım şıkkının işaretlenme oranı %26,7, katılıyorum şıkkının işaretlenme oranı %41,0, kesinlikle katılıyorum şıkkının işaretlenme oranı</w:t>
      </w:r>
      <w:r>
        <w:rPr>
          <w:spacing w:val="-1"/>
        </w:rPr>
        <w:t> </w:t>
      </w:r>
      <w:r>
        <w:rPr/>
        <w:t>%12,4’tür.</w:t>
      </w:r>
    </w:p>
    <w:p>
      <w:pPr>
        <w:pStyle w:val="BodyText"/>
        <w:spacing w:line="360" w:lineRule="auto" w:before="3"/>
        <w:ind w:left="1128" w:right="609" w:firstLine="708"/>
        <w:jc w:val="both"/>
      </w:pPr>
      <w:r>
        <w:rPr/>
        <w:t>‘‘Kurumumuzda iyi bir arkadaşlık ortamı vardır. Bu ortam gergin anlarda dahi birbirimizle koordineli çalışmamıza olanak sağlamaktadır (soru 53)’’ sorusuna, kesinlikle katılmıyorum şıkkının işaretlenme oranı %9,5, katılmıyorum şıkkının işaretlenme oranı %7,6, kararsızım şıkkının işaretlenme oranı %25,7, katılıyorum şıkkının işaretlenme oranı %38,1, kesinlikle katılıyorum şıkkının işaretlenme oranı</w:t>
      </w:r>
    </w:p>
    <w:p>
      <w:pPr>
        <w:pStyle w:val="BodyText"/>
        <w:spacing w:before="1"/>
        <w:ind w:left="1128"/>
      </w:pPr>
      <w:r>
        <w:rPr/>
        <w:t>%19,0’dır.</w:t>
      </w:r>
    </w:p>
    <w:p>
      <w:pPr>
        <w:spacing w:after="0"/>
        <w:sectPr>
          <w:pgSz w:w="11910" w:h="16840"/>
          <w:pgMar w:header="0" w:footer="976" w:top="1580" w:bottom="1240" w:left="1140" w:right="520"/>
        </w:sectPr>
      </w:pPr>
    </w:p>
    <w:p>
      <w:pPr>
        <w:pStyle w:val="BodyText"/>
        <w:spacing w:line="360" w:lineRule="auto" w:before="98"/>
        <w:ind w:left="1128" w:right="611" w:firstLine="708"/>
        <w:jc w:val="both"/>
      </w:pPr>
      <w:r>
        <w:rPr/>
        <w:t>‘‘Afetler beni strese sokar ne yaptığımı bilmem (soru 54)’’ sorusuna, kesinlikle katılmıyorum şıkkının işaretlenme oranı %35,2, katılmıyorum şıkkının işaretlenme</w:t>
      </w:r>
      <w:r>
        <w:rPr>
          <w:spacing w:val="-36"/>
        </w:rPr>
        <w:t> </w:t>
      </w:r>
      <w:r>
        <w:rPr/>
        <w:t>oranı</w:t>
      </w:r>
    </w:p>
    <w:p>
      <w:pPr>
        <w:pStyle w:val="BodyText"/>
        <w:spacing w:line="360" w:lineRule="auto"/>
        <w:ind w:left="1128" w:right="613"/>
      </w:pPr>
      <w:r>
        <w:rPr/>
        <w:t>%33,3, kararsızım şıkkının işaretlenme oranı %17,1, katılıyorum şıkkının işaretlenme oranı %8,6, kesinlikle katılıyorum şıkkının işaretlenme oranı %5,7’dir.</w:t>
      </w:r>
    </w:p>
    <w:p>
      <w:pPr>
        <w:pStyle w:val="BodyText"/>
        <w:spacing w:line="360" w:lineRule="auto"/>
        <w:ind w:left="1128" w:right="609" w:firstLine="708"/>
        <w:jc w:val="both"/>
      </w:pPr>
      <w:r>
        <w:rPr/>
        <w:t>‘‘Bir afet sırasında kurumumuzda liderlik sorunu yaşanacağını düşünmüyorum (soru 55)’’ sorusuna, kesinlikle katılmıyorum şıkkının işaretlenme oranı %7,6, katılmıyorum şıkkının işaretlenme oranı %13,3, kararsızım şıkkının işaretlenme oranı</w:t>
      </w:r>
    </w:p>
    <w:p>
      <w:pPr>
        <w:pStyle w:val="BodyText"/>
        <w:spacing w:line="360" w:lineRule="auto"/>
        <w:ind w:left="1128"/>
      </w:pPr>
      <w:r>
        <w:rPr/>
        <w:t>%25,7, katılıyorum şıkkının işaretlenme oranı %39,0, kesinlikle katılıyorum şıkkının işaretlenme oranı %14,3’tür.</w:t>
      </w:r>
    </w:p>
    <w:p>
      <w:pPr>
        <w:pStyle w:val="BodyText"/>
        <w:spacing w:line="360" w:lineRule="auto"/>
        <w:ind w:left="1128" w:right="609" w:firstLine="708"/>
        <w:jc w:val="both"/>
      </w:pPr>
      <w:r>
        <w:rPr/>
        <w:t>‘‘Bu kurumda kendimi bir ekibin parçası gibi hissediyorum (soru 56)’’ sorusuna, kesinlikle katılmıyorum şıkkının işaretlenme oranı %6,7, katılmıyorum şıkkının işaretlenme oranı %2,9, kararsızım şıkkının işaretlenme oranı %21,9, katılıyorum şıkkının işaretlenme oranı %43,8, kesinlikle katılıyorum şıkkının işaretlenme oranı</w:t>
      </w:r>
    </w:p>
    <w:p>
      <w:pPr>
        <w:pStyle w:val="BodyText"/>
        <w:ind w:left="1128"/>
      </w:pPr>
      <w:r>
        <w:rPr/>
        <w:t>%24,8’dir.</w:t>
      </w:r>
    </w:p>
    <w:p>
      <w:pPr>
        <w:pStyle w:val="BodyText"/>
        <w:spacing w:line="360" w:lineRule="auto" w:before="139"/>
        <w:ind w:left="1128" w:right="614" w:firstLine="708"/>
        <w:jc w:val="both"/>
      </w:pPr>
      <w:r>
        <w:rPr/>
        <w:t>Araştırma grubundaki kişilerin triaj, kayıtlar ve özel patolojiler hakkında anket sorularının incelenmesi Tablo 4. 12’de gösterilmiştir.</w:t>
      </w:r>
    </w:p>
    <w:p>
      <w:pPr>
        <w:pStyle w:val="BodyText"/>
        <w:spacing w:before="1"/>
        <w:rPr>
          <w:sz w:val="36"/>
        </w:rPr>
      </w:pPr>
    </w:p>
    <w:p>
      <w:pPr>
        <w:pStyle w:val="Heading1"/>
        <w:ind w:left="3262" w:right="774" w:hanging="1959"/>
      </w:pPr>
      <w:r>
        <w:rPr/>
        <w:t>Tablo 4. 12. Araştırma Grubundaki Kişilerin Triaj, Kayıtlar ve Özel Patolojiler Hakkında Anket Sorularının İncelenmesi</w:t>
      </w:r>
    </w:p>
    <w:p>
      <w:pPr>
        <w:pStyle w:val="BodyText"/>
        <w:spacing w:before="8" w:after="1"/>
        <w:rPr>
          <w:b/>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15"/>
        <w:gridCol w:w="778"/>
        <w:gridCol w:w="1084"/>
        <w:gridCol w:w="1243"/>
        <w:gridCol w:w="1021"/>
        <w:gridCol w:w="1129"/>
        <w:gridCol w:w="1208"/>
      </w:tblGrid>
      <w:tr>
        <w:trPr>
          <w:trHeight w:val="638" w:hRule="atLeast"/>
        </w:trPr>
        <w:tc>
          <w:tcPr>
            <w:tcW w:w="1915" w:type="dxa"/>
            <w:tcBorders>
              <w:top w:val="single" w:sz="4" w:space="0" w:color="000000"/>
              <w:bottom w:val="single" w:sz="4" w:space="0" w:color="000000"/>
            </w:tcBorders>
          </w:tcPr>
          <w:p>
            <w:pPr>
              <w:pStyle w:val="TableParagraph"/>
              <w:spacing w:before="95"/>
              <w:ind w:left="116"/>
              <w:rPr>
                <w:b/>
                <w:sz w:val="18"/>
              </w:rPr>
            </w:pPr>
            <w:r>
              <w:rPr>
                <w:b/>
                <w:sz w:val="18"/>
              </w:rPr>
              <w:t>Soru</w:t>
            </w:r>
          </w:p>
        </w:tc>
        <w:tc>
          <w:tcPr>
            <w:tcW w:w="1862" w:type="dxa"/>
            <w:gridSpan w:val="2"/>
            <w:tcBorders>
              <w:top w:val="single" w:sz="4" w:space="0" w:color="000000"/>
              <w:bottom w:val="single" w:sz="4" w:space="0" w:color="000000"/>
            </w:tcBorders>
          </w:tcPr>
          <w:p>
            <w:pPr>
              <w:pStyle w:val="TableParagraph"/>
              <w:spacing w:line="259" w:lineRule="auto" w:before="95"/>
              <w:ind w:left="688" w:right="54"/>
              <w:rPr>
                <w:b/>
                <w:sz w:val="18"/>
              </w:rPr>
            </w:pPr>
            <w:r>
              <w:rPr>
                <w:b/>
                <w:sz w:val="18"/>
              </w:rPr>
              <w:t>Kesinlikle Katılmıyorum</w:t>
            </w:r>
          </w:p>
        </w:tc>
        <w:tc>
          <w:tcPr>
            <w:tcW w:w="1243" w:type="dxa"/>
            <w:tcBorders>
              <w:top w:val="single" w:sz="4" w:space="0" w:color="000000"/>
              <w:bottom w:val="single" w:sz="4" w:space="0" w:color="000000"/>
            </w:tcBorders>
          </w:tcPr>
          <w:p>
            <w:pPr>
              <w:pStyle w:val="TableParagraph"/>
              <w:spacing w:before="95"/>
              <w:ind w:left="72"/>
              <w:rPr>
                <w:b/>
                <w:sz w:val="18"/>
              </w:rPr>
            </w:pPr>
            <w:r>
              <w:rPr>
                <w:b/>
                <w:sz w:val="18"/>
              </w:rPr>
              <w:t>Katılmıyorum</w:t>
            </w:r>
          </w:p>
        </w:tc>
        <w:tc>
          <w:tcPr>
            <w:tcW w:w="1021" w:type="dxa"/>
            <w:tcBorders>
              <w:top w:val="single" w:sz="4" w:space="0" w:color="000000"/>
              <w:bottom w:val="single" w:sz="4" w:space="0" w:color="000000"/>
            </w:tcBorders>
          </w:tcPr>
          <w:p>
            <w:pPr>
              <w:pStyle w:val="TableParagraph"/>
              <w:spacing w:before="95"/>
              <w:ind w:left="68"/>
              <w:rPr>
                <w:b/>
                <w:sz w:val="18"/>
              </w:rPr>
            </w:pPr>
            <w:r>
              <w:rPr>
                <w:b/>
                <w:sz w:val="18"/>
              </w:rPr>
              <w:t>Kararsızım</w:t>
            </w:r>
          </w:p>
        </w:tc>
        <w:tc>
          <w:tcPr>
            <w:tcW w:w="1129" w:type="dxa"/>
            <w:tcBorders>
              <w:top w:val="single" w:sz="4" w:space="0" w:color="000000"/>
              <w:bottom w:val="single" w:sz="4" w:space="0" w:color="000000"/>
            </w:tcBorders>
          </w:tcPr>
          <w:p>
            <w:pPr>
              <w:pStyle w:val="TableParagraph"/>
              <w:spacing w:before="95"/>
              <w:ind w:left="67"/>
              <w:rPr>
                <w:b/>
                <w:sz w:val="18"/>
              </w:rPr>
            </w:pPr>
            <w:r>
              <w:rPr>
                <w:b/>
                <w:sz w:val="18"/>
              </w:rPr>
              <w:t>Katılıyorum</w:t>
            </w:r>
          </w:p>
        </w:tc>
        <w:tc>
          <w:tcPr>
            <w:tcW w:w="1208" w:type="dxa"/>
            <w:tcBorders>
              <w:top w:val="single" w:sz="4" w:space="0" w:color="000000"/>
              <w:bottom w:val="single" w:sz="4" w:space="0" w:color="000000"/>
            </w:tcBorders>
          </w:tcPr>
          <w:p>
            <w:pPr>
              <w:pStyle w:val="TableParagraph"/>
              <w:spacing w:line="259" w:lineRule="auto" w:before="95"/>
              <w:ind w:left="105" w:right="133"/>
              <w:rPr>
                <w:b/>
                <w:sz w:val="18"/>
              </w:rPr>
            </w:pPr>
            <w:r>
              <w:rPr>
                <w:b/>
                <w:sz w:val="18"/>
              </w:rPr>
              <w:t>Kesinlikle Katılıyorum</w:t>
            </w:r>
          </w:p>
        </w:tc>
      </w:tr>
      <w:tr>
        <w:trPr>
          <w:trHeight w:val="1315" w:hRule="atLeast"/>
        </w:trPr>
        <w:tc>
          <w:tcPr>
            <w:tcW w:w="1915" w:type="dxa"/>
            <w:tcBorders>
              <w:top w:val="single" w:sz="4" w:space="0" w:color="000000"/>
            </w:tcBorders>
          </w:tcPr>
          <w:p>
            <w:pPr>
              <w:pStyle w:val="TableParagraph"/>
              <w:spacing w:line="278" w:lineRule="auto" w:before="91"/>
              <w:ind w:left="116" w:right="108"/>
              <w:jc w:val="both"/>
              <w:rPr>
                <w:sz w:val="18"/>
              </w:rPr>
            </w:pPr>
            <w:r>
              <w:rPr>
                <w:b/>
                <w:sz w:val="18"/>
              </w:rPr>
              <w:t>Soru 57. </w:t>
            </w:r>
            <w:r>
              <w:rPr>
                <w:sz w:val="18"/>
              </w:rPr>
              <w:t>Kurumumuz çalışanlarınca afet</w:t>
            </w:r>
          </w:p>
          <w:p>
            <w:pPr>
              <w:pStyle w:val="TableParagraph"/>
              <w:spacing w:line="276" w:lineRule="auto"/>
              <w:ind w:left="116" w:right="107"/>
              <w:jc w:val="both"/>
              <w:rPr>
                <w:sz w:val="18"/>
              </w:rPr>
            </w:pPr>
            <w:r>
              <w:rPr>
                <w:sz w:val="18"/>
              </w:rPr>
              <w:t>durumlarında triaj başarılı bir şekilde uygulanacaktır.</w:t>
            </w:r>
          </w:p>
        </w:tc>
        <w:tc>
          <w:tcPr>
            <w:tcW w:w="778" w:type="dxa"/>
            <w:vMerge w:val="restart"/>
            <w:tcBorders>
              <w:top w:val="single" w:sz="4" w:space="0" w:color="000000"/>
              <w:bottom w:val="single" w:sz="4" w:space="0" w:color="000000"/>
            </w:tcBorders>
          </w:tcPr>
          <w:p>
            <w:pPr>
              <w:pStyle w:val="TableParagraph"/>
              <w:spacing w:before="91"/>
              <w:ind w:left="148"/>
              <w:rPr>
                <w:sz w:val="18"/>
              </w:rPr>
            </w:pPr>
            <w:r>
              <w:rPr>
                <w:sz w:val="18"/>
              </w:rPr>
              <w:t>Sayı</w:t>
            </w:r>
          </w:p>
          <w:p>
            <w:pPr>
              <w:pStyle w:val="TableParagraph"/>
              <w:spacing w:line="276" w:lineRule="auto" w:before="129"/>
              <w:ind w:left="199" w:right="181" w:hanging="92"/>
              <w:rPr>
                <w:sz w:val="18"/>
              </w:rPr>
            </w:pPr>
            <w:r>
              <w:rPr>
                <w:sz w:val="18"/>
              </w:rPr>
              <w:t>Yüzde (%)</w:t>
            </w:r>
          </w:p>
          <w:p>
            <w:pPr>
              <w:pStyle w:val="TableParagraph"/>
              <w:rPr>
                <w:b/>
                <w:sz w:val="20"/>
              </w:rPr>
            </w:pPr>
          </w:p>
          <w:p>
            <w:pPr>
              <w:pStyle w:val="TableParagraph"/>
              <w:rPr>
                <w:b/>
                <w:sz w:val="20"/>
              </w:rPr>
            </w:pPr>
          </w:p>
          <w:p>
            <w:pPr>
              <w:pStyle w:val="TableParagraph"/>
              <w:spacing w:before="170"/>
              <w:ind w:left="108"/>
              <w:rPr>
                <w:sz w:val="18"/>
              </w:rPr>
            </w:pPr>
            <w:r>
              <w:rPr>
                <w:sz w:val="18"/>
              </w:rPr>
              <w:t>Sayı</w:t>
            </w:r>
          </w:p>
          <w:p>
            <w:pPr>
              <w:pStyle w:val="TableParagraph"/>
              <w:spacing w:line="278" w:lineRule="auto" w:before="127"/>
              <w:ind w:left="199" w:right="181" w:hanging="92"/>
              <w:rPr>
                <w:sz w:val="18"/>
              </w:rPr>
            </w:pPr>
            <w:r>
              <w:rPr>
                <w:sz w:val="18"/>
              </w:rPr>
              <w:t>Yüzde (%)</w:t>
            </w:r>
          </w:p>
          <w:p>
            <w:pPr>
              <w:pStyle w:val="TableParagraph"/>
              <w:rPr>
                <w:b/>
                <w:sz w:val="20"/>
              </w:rPr>
            </w:pPr>
          </w:p>
          <w:p>
            <w:pPr>
              <w:pStyle w:val="TableParagraph"/>
              <w:spacing w:before="2"/>
              <w:rPr>
                <w:b/>
                <w:sz w:val="17"/>
              </w:rPr>
            </w:pPr>
          </w:p>
          <w:p>
            <w:pPr>
              <w:pStyle w:val="TableParagraph"/>
              <w:ind w:left="108"/>
              <w:rPr>
                <w:sz w:val="18"/>
              </w:rPr>
            </w:pPr>
            <w:r>
              <w:rPr>
                <w:sz w:val="18"/>
              </w:rPr>
              <w:t>Sayı</w:t>
            </w:r>
          </w:p>
          <w:p>
            <w:pPr>
              <w:pStyle w:val="TableParagraph"/>
              <w:spacing w:line="276" w:lineRule="auto" w:before="126"/>
              <w:ind w:left="199" w:right="181" w:hanging="92"/>
              <w:rPr>
                <w:sz w:val="18"/>
              </w:rPr>
            </w:pPr>
            <w:r>
              <w:rPr>
                <w:sz w:val="18"/>
              </w:rPr>
              <w:t>Yüzde (%)</w:t>
            </w:r>
          </w:p>
        </w:tc>
        <w:tc>
          <w:tcPr>
            <w:tcW w:w="1084" w:type="dxa"/>
            <w:tcBorders>
              <w:top w:val="single" w:sz="4" w:space="0" w:color="000000"/>
            </w:tcBorders>
          </w:tcPr>
          <w:p>
            <w:pPr>
              <w:pStyle w:val="TableParagraph"/>
              <w:spacing w:before="91"/>
              <w:ind w:left="287"/>
              <w:rPr>
                <w:sz w:val="18"/>
              </w:rPr>
            </w:pPr>
            <w:r>
              <w:rPr>
                <w:sz w:val="18"/>
              </w:rPr>
              <w:t>7</w:t>
            </w:r>
          </w:p>
          <w:p>
            <w:pPr>
              <w:pStyle w:val="TableParagraph"/>
              <w:spacing w:before="129"/>
              <w:ind w:left="287"/>
              <w:rPr>
                <w:sz w:val="18"/>
              </w:rPr>
            </w:pPr>
            <w:r>
              <w:rPr>
                <w:sz w:val="18"/>
              </w:rPr>
              <w:t>6,7</w:t>
            </w:r>
          </w:p>
        </w:tc>
        <w:tc>
          <w:tcPr>
            <w:tcW w:w="1243" w:type="dxa"/>
            <w:tcBorders>
              <w:top w:val="single" w:sz="4" w:space="0" w:color="000000"/>
            </w:tcBorders>
          </w:tcPr>
          <w:p>
            <w:pPr>
              <w:pStyle w:val="TableParagraph"/>
              <w:spacing w:before="91"/>
              <w:ind w:right="251"/>
              <w:jc w:val="center"/>
              <w:rPr>
                <w:sz w:val="18"/>
              </w:rPr>
            </w:pPr>
            <w:r>
              <w:rPr>
                <w:sz w:val="18"/>
              </w:rPr>
              <w:t>3</w:t>
            </w:r>
          </w:p>
          <w:p>
            <w:pPr>
              <w:pStyle w:val="TableParagraph"/>
              <w:spacing w:before="129"/>
              <w:ind w:left="432" w:right="546"/>
              <w:jc w:val="center"/>
              <w:rPr>
                <w:sz w:val="18"/>
              </w:rPr>
            </w:pPr>
            <w:r>
              <w:rPr>
                <w:sz w:val="18"/>
              </w:rPr>
              <w:t>2,9</w:t>
            </w:r>
          </w:p>
        </w:tc>
        <w:tc>
          <w:tcPr>
            <w:tcW w:w="1021" w:type="dxa"/>
            <w:tcBorders>
              <w:top w:val="single" w:sz="4" w:space="0" w:color="000000"/>
            </w:tcBorders>
          </w:tcPr>
          <w:p>
            <w:pPr>
              <w:pStyle w:val="TableParagraph"/>
              <w:spacing w:before="91"/>
              <w:ind w:left="209" w:right="332"/>
              <w:jc w:val="center"/>
              <w:rPr>
                <w:sz w:val="18"/>
              </w:rPr>
            </w:pPr>
            <w:r>
              <w:rPr>
                <w:sz w:val="18"/>
              </w:rPr>
              <w:t>27</w:t>
            </w:r>
          </w:p>
          <w:p>
            <w:pPr>
              <w:pStyle w:val="TableParagraph"/>
              <w:spacing w:before="129"/>
              <w:ind w:left="334" w:right="332"/>
              <w:jc w:val="center"/>
              <w:rPr>
                <w:sz w:val="18"/>
              </w:rPr>
            </w:pPr>
            <w:r>
              <w:rPr>
                <w:sz w:val="18"/>
              </w:rPr>
              <w:t>25,7</w:t>
            </w:r>
          </w:p>
        </w:tc>
        <w:tc>
          <w:tcPr>
            <w:tcW w:w="1129" w:type="dxa"/>
            <w:tcBorders>
              <w:top w:val="single" w:sz="4" w:space="0" w:color="000000"/>
            </w:tcBorders>
          </w:tcPr>
          <w:p>
            <w:pPr>
              <w:pStyle w:val="TableParagraph"/>
              <w:spacing w:before="91"/>
              <w:ind w:left="355"/>
              <w:rPr>
                <w:sz w:val="18"/>
              </w:rPr>
            </w:pPr>
            <w:r>
              <w:rPr>
                <w:sz w:val="18"/>
              </w:rPr>
              <w:t>51</w:t>
            </w:r>
          </w:p>
          <w:p>
            <w:pPr>
              <w:pStyle w:val="TableParagraph"/>
              <w:spacing w:before="129"/>
              <w:ind w:left="353"/>
              <w:rPr>
                <w:sz w:val="18"/>
              </w:rPr>
            </w:pPr>
            <w:r>
              <w:rPr>
                <w:sz w:val="18"/>
              </w:rPr>
              <w:t>48,6</w:t>
            </w:r>
          </w:p>
        </w:tc>
        <w:tc>
          <w:tcPr>
            <w:tcW w:w="1208" w:type="dxa"/>
            <w:tcBorders>
              <w:top w:val="single" w:sz="4" w:space="0" w:color="000000"/>
            </w:tcBorders>
          </w:tcPr>
          <w:p>
            <w:pPr>
              <w:pStyle w:val="TableParagraph"/>
              <w:spacing w:before="91"/>
              <w:ind w:left="285"/>
              <w:rPr>
                <w:sz w:val="18"/>
              </w:rPr>
            </w:pPr>
            <w:r>
              <w:rPr>
                <w:sz w:val="18"/>
              </w:rPr>
              <w:t>17</w:t>
            </w:r>
          </w:p>
          <w:p>
            <w:pPr>
              <w:pStyle w:val="TableParagraph"/>
              <w:spacing w:before="129"/>
              <w:ind w:left="283"/>
              <w:rPr>
                <w:sz w:val="18"/>
              </w:rPr>
            </w:pPr>
            <w:r>
              <w:rPr>
                <w:sz w:val="18"/>
              </w:rPr>
              <w:t>16,2</w:t>
            </w:r>
          </w:p>
        </w:tc>
      </w:tr>
      <w:tr>
        <w:trPr>
          <w:trHeight w:val="1203" w:hRule="atLeast"/>
        </w:trPr>
        <w:tc>
          <w:tcPr>
            <w:tcW w:w="1915" w:type="dxa"/>
          </w:tcPr>
          <w:p>
            <w:pPr>
              <w:pStyle w:val="TableParagraph"/>
              <w:spacing w:line="276" w:lineRule="auto" w:before="57"/>
              <w:ind w:left="116" w:right="364"/>
              <w:rPr>
                <w:sz w:val="18"/>
              </w:rPr>
            </w:pPr>
            <w:r>
              <w:rPr>
                <w:b/>
                <w:sz w:val="18"/>
              </w:rPr>
              <w:t>Soru 58. </w:t>
            </w:r>
            <w:r>
              <w:rPr>
                <w:sz w:val="18"/>
              </w:rPr>
              <w:t>Kurumumuzda triaj çalışmalarına önem verilmektedir.</w:t>
            </w:r>
          </w:p>
        </w:tc>
        <w:tc>
          <w:tcPr>
            <w:tcW w:w="778" w:type="dxa"/>
            <w:vMerge/>
            <w:tcBorders>
              <w:top w:val="nil"/>
              <w:bottom w:val="single" w:sz="4" w:space="0" w:color="000000"/>
            </w:tcBorders>
          </w:tcPr>
          <w:p>
            <w:pPr>
              <w:rPr>
                <w:sz w:val="2"/>
                <w:szCs w:val="2"/>
              </w:rPr>
            </w:pPr>
          </w:p>
        </w:tc>
        <w:tc>
          <w:tcPr>
            <w:tcW w:w="1084" w:type="dxa"/>
          </w:tcPr>
          <w:p>
            <w:pPr>
              <w:pStyle w:val="TableParagraph"/>
              <w:spacing w:before="6"/>
              <w:rPr>
                <w:b/>
                <w:sz w:val="19"/>
              </w:rPr>
            </w:pPr>
          </w:p>
          <w:p>
            <w:pPr>
              <w:pStyle w:val="TableParagraph"/>
              <w:ind w:left="287"/>
              <w:rPr>
                <w:sz w:val="18"/>
              </w:rPr>
            </w:pPr>
            <w:r>
              <w:rPr>
                <w:sz w:val="18"/>
              </w:rPr>
              <w:t>6</w:t>
            </w:r>
          </w:p>
          <w:p>
            <w:pPr>
              <w:pStyle w:val="TableParagraph"/>
              <w:spacing w:before="127"/>
              <w:ind w:left="287"/>
              <w:rPr>
                <w:sz w:val="18"/>
              </w:rPr>
            </w:pPr>
            <w:r>
              <w:rPr>
                <w:sz w:val="18"/>
              </w:rPr>
              <w:t>5,7</w:t>
            </w:r>
          </w:p>
        </w:tc>
        <w:tc>
          <w:tcPr>
            <w:tcW w:w="1243" w:type="dxa"/>
          </w:tcPr>
          <w:p>
            <w:pPr>
              <w:pStyle w:val="TableParagraph"/>
              <w:spacing w:before="6"/>
              <w:rPr>
                <w:b/>
                <w:sz w:val="19"/>
              </w:rPr>
            </w:pPr>
          </w:p>
          <w:p>
            <w:pPr>
              <w:pStyle w:val="TableParagraph"/>
              <w:ind w:left="361"/>
              <w:rPr>
                <w:sz w:val="18"/>
              </w:rPr>
            </w:pPr>
            <w:r>
              <w:rPr>
                <w:sz w:val="18"/>
              </w:rPr>
              <w:t>10</w:t>
            </w:r>
          </w:p>
          <w:p>
            <w:pPr>
              <w:pStyle w:val="TableParagraph"/>
              <w:spacing w:before="127"/>
              <w:ind w:left="432" w:right="546"/>
              <w:jc w:val="center"/>
              <w:rPr>
                <w:sz w:val="18"/>
              </w:rPr>
            </w:pPr>
            <w:r>
              <w:rPr>
                <w:sz w:val="18"/>
              </w:rPr>
              <w:t>9,5</w:t>
            </w:r>
          </w:p>
        </w:tc>
        <w:tc>
          <w:tcPr>
            <w:tcW w:w="1021" w:type="dxa"/>
          </w:tcPr>
          <w:p>
            <w:pPr>
              <w:pStyle w:val="TableParagraph"/>
              <w:spacing w:before="6"/>
              <w:rPr>
                <w:b/>
                <w:sz w:val="19"/>
              </w:rPr>
            </w:pPr>
          </w:p>
          <w:p>
            <w:pPr>
              <w:pStyle w:val="TableParagraph"/>
              <w:ind w:left="209" w:right="332"/>
              <w:jc w:val="center"/>
              <w:rPr>
                <w:sz w:val="18"/>
              </w:rPr>
            </w:pPr>
            <w:r>
              <w:rPr>
                <w:sz w:val="18"/>
              </w:rPr>
              <w:t>24</w:t>
            </w:r>
          </w:p>
          <w:p>
            <w:pPr>
              <w:pStyle w:val="TableParagraph"/>
              <w:spacing w:before="127"/>
              <w:ind w:left="334" w:right="332"/>
              <w:jc w:val="center"/>
              <w:rPr>
                <w:sz w:val="18"/>
              </w:rPr>
            </w:pPr>
            <w:r>
              <w:rPr>
                <w:sz w:val="18"/>
              </w:rPr>
              <w:t>22,9</w:t>
            </w:r>
          </w:p>
        </w:tc>
        <w:tc>
          <w:tcPr>
            <w:tcW w:w="1129" w:type="dxa"/>
          </w:tcPr>
          <w:p>
            <w:pPr>
              <w:pStyle w:val="TableParagraph"/>
              <w:spacing w:before="6"/>
              <w:rPr>
                <w:b/>
                <w:sz w:val="19"/>
              </w:rPr>
            </w:pPr>
          </w:p>
          <w:p>
            <w:pPr>
              <w:pStyle w:val="TableParagraph"/>
              <w:ind w:left="355"/>
              <w:rPr>
                <w:sz w:val="18"/>
              </w:rPr>
            </w:pPr>
            <w:r>
              <w:rPr>
                <w:sz w:val="18"/>
              </w:rPr>
              <w:t>51</w:t>
            </w:r>
          </w:p>
          <w:p>
            <w:pPr>
              <w:pStyle w:val="TableParagraph"/>
              <w:spacing w:before="127"/>
              <w:ind w:left="353"/>
              <w:rPr>
                <w:sz w:val="18"/>
              </w:rPr>
            </w:pPr>
            <w:r>
              <w:rPr>
                <w:sz w:val="18"/>
              </w:rPr>
              <w:t>48,6</w:t>
            </w:r>
          </w:p>
        </w:tc>
        <w:tc>
          <w:tcPr>
            <w:tcW w:w="1208" w:type="dxa"/>
          </w:tcPr>
          <w:p>
            <w:pPr>
              <w:pStyle w:val="TableParagraph"/>
              <w:spacing w:before="6"/>
              <w:rPr>
                <w:b/>
                <w:sz w:val="19"/>
              </w:rPr>
            </w:pPr>
          </w:p>
          <w:p>
            <w:pPr>
              <w:pStyle w:val="TableParagraph"/>
              <w:ind w:left="285"/>
              <w:rPr>
                <w:sz w:val="18"/>
              </w:rPr>
            </w:pPr>
            <w:r>
              <w:rPr>
                <w:sz w:val="18"/>
              </w:rPr>
              <w:t>14</w:t>
            </w:r>
          </w:p>
          <w:p>
            <w:pPr>
              <w:pStyle w:val="TableParagraph"/>
              <w:spacing w:before="127"/>
              <w:ind w:left="283"/>
              <w:rPr>
                <w:sz w:val="18"/>
              </w:rPr>
            </w:pPr>
            <w:r>
              <w:rPr>
                <w:sz w:val="18"/>
              </w:rPr>
              <w:t>13,3</w:t>
            </w:r>
          </w:p>
        </w:tc>
      </w:tr>
      <w:tr>
        <w:trPr>
          <w:trHeight w:val="2148" w:hRule="atLeast"/>
        </w:trPr>
        <w:tc>
          <w:tcPr>
            <w:tcW w:w="1915" w:type="dxa"/>
            <w:tcBorders>
              <w:bottom w:val="single" w:sz="4" w:space="0" w:color="000000"/>
            </w:tcBorders>
          </w:tcPr>
          <w:p>
            <w:pPr>
              <w:pStyle w:val="TableParagraph"/>
              <w:spacing w:before="2"/>
              <w:rPr>
                <w:b/>
                <w:sz w:val="19"/>
              </w:rPr>
            </w:pPr>
          </w:p>
          <w:p>
            <w:pPr>
              <w:pStyle w:val="TableParagraph"/>
              <w:tabs>
                <w:tab w:pos="872" w:val="left" w:leader="none"/>
                <w:tab w:pos="1489" w:val="left" w:leader="none"/>
              </w:tabs>
              <w:spacing w:before="1"/>
              <w:ind w:left="116"/>
              <w:rPr>
                <w:sz w:val="18"/>
              </w:rPr>
            </w:pPr>
            <w:r>
              <w:rPr>
                <w:b/>
                <w:sz w:val="18"/>
              </w:rPr>
              <w:t>Soru</w:t>
              <w:tab/>
              <w:t>59.</w:t>
              <w:tab/>
            </w:r>
            <w:r>
              <w:rPr>
                <w:sz w:val="18"/>
              </w:rPr>
              <w:t>Afet</w:t>
            </w:r>
          </w:p>
          <w:p>
            <w:pPr>
              <w:pStyle w:val="TableParagraph"/>
              <w:tabs>
                <w:tab w:pos="1496" w:val="left" w:leader="none"/>
              </w:tabs>
              <w:spacing w:before="30"/>
              <w:ind w:left="116"/>
              <w:rPr>
                <w:sz w:val="18"/>
              </w:rPr>
            </w:pPr>
            <w:r>
              <w:rPr>
                <w:sz w:val="18"/>
              </w:rPr>
              <w:t>durumlarında</w:t>
              <w:tab/>
              <w:t>artış</w:t>
            </w:r>
          </w:p>
          <w:p>
            <w:pPr>
              <w:pStyle w:val="TableParagraph"/>
              <w:tabs>
                <w:tab w:pos="1194" w:val="left" w:leader="none"/>
              </w:tabs>
              <w:spacing w:line="276" w:lineRule="auto" w:before="33"/>
              <w:ind w:left="116" w:right="106"/>
              <w:jc w:val="both"/>
              <w:rPr>
                <w:sz w:val="18"/>
              </w:rPr>
            </w:pPr>
            <w:r>
              <w:rPr>
                <w:sz w:val="18"/>
              </w:rPr>
              <w:t>gösterebilecek bazı özel patolojilere karşı (crush sendromu gibi) tüm</w:t>
              <w:tab/>
              <w:t>personel eğitilmiştir.</w:t>
            </w:r>
          </w:p>
        </w:tc>
        <w:tc>
          <w:tcPr>
            <w:tcW w:w="778" w:type="dxa"/>
            <w:vMerge/>
            <w:tcBorders>
              <w:top w:val="nil"/>
              <w:bottom w:val="single" w:sz="4" w:space="0" w:color="000000"/>
            </w:tcBorders>
          </w:tcPr>
          <w:p>
            <w:pPr>
              <w:rPr>
                <w:sz w:val="2"/>
                <w:szCs w:val="2"/>
              </w:rPr>
            </w:pPr>
          </w:p>
        </w:tc>
        <w:tc>
          <w:tcPr>
            <w:tcW w:w="1084" w:type="dxa"/>
            <w:tcBorders>
              <w:bottom w:val="single" w:sz="4" w:space="0" w:color="000000"/>
            </w:tcBorders>
          </w:tcPr>
          <w:p>
            <w:pPr>
              <w:pStyle w:val="TableParagraph"/>
              <w:rPr>
                <w:b/>
                <w:sz w:val="20"/>
              </w:rPr>
            </w:pPr>
          </w:p>
          <w:p>
            <w:pPr>
              <w:pStyle w:val="TableParagraph"/>
              <w:spacing w:before="118"/>
              <w:ind w:left="198"/>
              <w:rPr>
                <w:sz w:val="18"/>
              </w:rPr>
            </w:pPr>
            <w:r>
              <w:rPr>
                <w:sz w:val="18"/>
              </w:rPr>
              <w:t>10</w:t>
            </w:r>
          </w:p>
          <w:p>
            <w:pPr>
              <w:pStyle w:val="TableParagraph"/>
              <w:spacing w:before="127"/>
              <w:ind w:left="287"/>
              <w:rPr>
                <w:sz w:val="18"/>
              </w:rPr>
            </w:pPr>
            <w:r>
              <w:rPr>
                <w:sz w:val="18"/>
              </w:rPr>
              <w:t>9,5</w:t>
            </w:r>
          </w:p>
        </w:tc>
        <w:tc>
          <w:tcPr>
            <w:tcW w:w="1243" w:type="dxa"/>
            <w:tcBorders>
              <w:bottom w:val="single" w:sz="4" w:space="0" w:color="000000"/>
            </w:tcBorders>
          </w:tcPr>
          <w:p>
            <w:pPr>
              <w:pStyle w:val="TableParagraph"/>
              <w:rPr>
                <w:b/>
                <w:sz w:val="20"/>
              </w:rPr>
            </w:pPr>
          </w:p>
          <w:p>
            <w:pPr>
              <w:pStyle w:val="TableParagraph"/>
              <w:spacing w:before="118"/>
              <w:ind w:left="361"/>
              <w:rPr>
                <w:sz w:val="18"/>
              </w:rPr>
            </w:pPr>
            <w:r>
              <w:rPr>
                <w:sz w:val="18"/>
              </w:rPr>
              <w:t>18</w:t>
            </w:r>
          </w:p>
          <w:p>
            <w:pPr>
              <w:pStyle w:val="TableParagraph"/>
              <w:spacing w:before="127"/>
              <w:ind w:left="358"/>
              <w:rPr>
                <w:sz w:val="18"/>
              </w:rPr>
            </w:pPr>
            <w:r>
              <w:rPr>
                <w:sz w:val="18"/>
              </w:rPr>
              <w:t>17,1</w:t>
            </w:r>
          </w:p>
        </w:tc>
        <w:tc>
          <w:tcPr>
            <w:tcW w:w="1021" w:type="dxa"/>
            <w:tcBorders>
              <w:bottom w:val="single" w:sz="4" w:space="0" w:color="000000"/>
            </w:tcBorders>
          </w:tcPr>
          <w:p>
            <w:pPr>
              <w:pStyle w:val="TableParagraph"/>
              <w:rPr>
                <w:b/>
                <w:sz w:val="20"/>
              </w:rPr>
            </w:pPr>
          </w:p>
          <w:p>
            <w:pPr>
              <w:pStyle w:val="TableParagraph"/>
              <w:spacing w:before="118"/>
              <w:ind w:left="209" w:right="332"/>
              <w:jc w:val="center"/>
              <w:rPr>
                <w:sz w:val="18"/>
              </w:rPr>
            </w:pPr>
            <w:r>
              <w:rPr>
                <w:sz w:val="18"/>
              </w:rPr>
              <w:t>34</w:t>
            </w:r>
          </w:p>
          <w:p>
            <w:pPr>
              <w:pStyle w:val="TableParagraph"/>
              <w:spacing w:before="127"/>
              <w:ind w:left="334" w:right="332"/>
              <w:jc w:val="center"/>
              <w:rPr>
                <w:sz w:val="18"/>
              </w:rPr>
            </w:pPr>
            <w:r>
              <w:rPr>
                <w:sz w:val="18"/>
              </w:rPr>
              <w:t>32,4</w:t>
            </w:r>
          </w:p>
        </w:tc>
        <w:tc>
          <w:tcPr>
            <w:tcW w:w="1129" w:type="dxa"/>
            <w:tcBorders>
              <w:bottom w:val="single" w:sz="4" w:space="0" w:color="000000"/>
            </w:tcBorders>
          </w:tcPr>
          <w:p>
            <w:pPr>
              <w:pStyle w:val="TableParagraph"/>
              <w:rPr>
                <w:b/>
                <w:sz w:val="20"/>
              </w:rPr>
            </w:pPr>
          </w:p>
          <w:p>
            <w:pPr>
              <w:pStyle w:val="TableParagraph"/>
              <w:spacing w:before="118"/>
              <w:ind w:left="355"/>
              <w:rPr>
                <w:sz w:val="18"/>
              </w:rPr>
            </w:pPr>
            <w:r>
              <w:rPr>
                <w:sz w:val="18"/>
              </w:rPr>
              <w:t>32</w:t>
            </w:r>
          </w:p>
          <w:p>
            <w:pPr>
              <w:pStyle w:val="TableParagraph"/>
              <w:spacing w:before="127"/>
              <w:ind w:left="353"/>
              <w:rPr>
                <w:sz w:val="18"/>
              </w:rPr>
            </w:pPr>
            <w:r>
              <w:rPr>
                <w:sz w:val="18"/>
              </w:rPr>
              <w:t>30,5</w:t>
            </w:r>
          </w:p>
        </w:tc>
        <w:tc>
          <w:tcPr>
            <w:tcW w:w="1208" w:type="dxa"/>
            <w:tcBorders>
              <w:bottom w:val="single" w:sz="4" w:space="0" w:color="000000"/>
            </w:tcBorders>
          </w:tcPr>
          <w:p>
            <w:pPr>
              <w:pStyle w:val="TableParagraph"/>
              <w:rPr>
                <w:b/>
                <w:sz w:val="20"/>
              </w:rPr>
            </w:pPr>
          </w:p>
          <w:p>
            <w:pPr>
              <w:pStyle w:val="TableParagraph"/>
              <w:spacing w:before="118"/>
              <w:ind w:left="285"/>
              <w:rPr>
                <w:sz w:val="18"/>
              </w:rPr>
            </w:pPr>
            <w:r>
              <w:rPr>
                <w:sz w:val="18"/>
              </w:rPr>
              <w:t>11</w:t>
            </w:r>
          </w:p>
          <w:p>
            <w:pPr>
              <w:pStyle w:val="TableParagraph"/>
              <w:spacing w:before="127"/>
              <w:ind w:left="283"/>
              <w:rPr>
                <w:sz w:val="18"/>
              </w:rPr>
            </w:pPr>
            <w:r>
              <w:rPr>
                <w:sz w:val="18"/>
              </w:rPr>
              <w:t>10,5</w:t>
            </w:r>
          </w:p>
        </w:tc>
      </w:tr>
    </w:tbl>
    <w:p>
      <w:pPr>
        <w:spacing w:after="0"/>
        <w:rPr>
          <w:sz w:val="18"/>
        </w:rPr>
        <w:sectPr>
          <w:pgSz w:w="11910" w:h="16840"/>
          <w:pgMar w:header="0" w:footer="976" w:top="1580" w:bottom="1240" w:left="1140" w:right="520"/>
        </w:sectPr>
      </w:pPr>
    </w:p>
    <w:p>
      <w:pPr>
        <w:pStyle w:val="BodyText"/>
        <w:spacing w:before="11"/>
        <w:rPr>
          <w:b/>
          <w:sz w:val="8"/>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913"/>
        <w:gridCol w:w="823"/>
        <w:gridCol w:w="934"/>
        <w:gridCol w:w="1241"/>
        <w:gridCol w:w="1129"/>
        <w:gridCol w:w="1039"/>
        <w:gridCol w:w="1293"/>
      </w:tblGrid>
      <w:tr>
        <w:trPr>
          <w:trHeight w:val="3340" w:hRule="atLeast"/>
        </w:trPr>
        <w:tc>
          <w:tcPr>
            <w:tcW w:w="1913" w:type="dxa"/>
            <w:tcBorders>
              <w:top w:val="single" w:sz="4" w:space="0" w:color="000000"/>
              <w:bottom w:val="single" w:sz="4" w:space="0" w:color="000000"/>
            </w:tcBorders>
          </w:tcPr>
          <w:p>
            <w:pPr>
              <w:pStyle w:val="TableParagraph"/>
              <w:spacing w:line="276" w:lineRule="auto"/>
              <w:ind w:left="115" w:right="88"/>
              <w:rPr>
                <w:sz w:val="18"/>
              </w:rPr>
            </w:pPr>
            <w:r>
              <w:rPr>
                <w:b/>
                <w:sz w:val="18"/>
              </w:rPr>
              <w:t>Soru 60. </w:t>
            </w:r>
            <w:r>
              <w:rPr>
                <w:sz w:val="18"/>
              </w:rPr>
              <w:t>Kurumumda afet esnasında kayıt tutmaya büyük önem verilmiştir. Bu amaçla görevlendirilen personel kayıt tutmanın öneminin farkındadır</w:t>
            </w:r>
          </w:p>
          <w:p>
            <w:pPr>
              <w:pStyle w:val="TableParagraph"/>
              <w:tabs>
                <w:tab w:pos="1633" w:val="left" w:leader="none"/>
              </w:tabs>
              <w:spacing w:line="276" w:lineRule="auto" w:before="90"/>
              <w:ind w:left="115" w:right="108" w:firstLine="50"/>
              <w:jc w:val="both"/>
              <w:rPr>
                <w:sz w:val="18"/>
              </w:rPr>
            </w:pPr>
            <w:r>
              <w:rPr>
                <w:b/>
                <w:sz w:val="18"/>
              </w:rPr>
              <w:t>Soru 61. </w:t>
            </w:r>
            <w:r>
              <w:rPr>
                <w:sz w:val="18"/>
              </w:rPr>
              <w:t>Kayıt tutmayı kolaylaştıracak yöntemler</w:t>
              <w:tab/>
              <w:t>ve</w:t>
            </w:r>
          </w:p>
          <w:p>
            <w:pPr>
              <w:pStyle w:val="TableParagraph"/>
              <w:spacing w:line="276" w:lineRule="auto" w:before="2"/>
              <w:ind w:left="115" w:right="107"/>
              <w:jc w:val="both"/>
              <w:rPr>
                <w:sz w:val="18"/>
              </w:rPr>
            </w:pPr>
            <w:r>
              <w:rPr>
                <w:sz w:val="18"/>
              </w:rPr>
              <w:t>malzemeler temin edilerek ilgili</w:t>
            </w:r>
            <w:r>
              <w:rPr>
                <w:spacing w:val="-16"/>
                <w:sz w:val="18"/>
              </w:rPr>
              <w:t> </w:t>
            </w:r>
            <w:r>
              <w:rPr>
                <w:sz w:val="18"/>
              </w:rPr>
              <w:t>personele öğretilmiş.</w:t>
            </w:r>
          </w:p>
        </w:tc>
        <w:tc>
          <w:tcPr>
            <w:tcW w:w="823" w:type="dxa"/>
            <w:tcBorders>
              <w:top w:val="single" w:sz="4" w:space="0" w:color="000000"/>
              <w:bottom w:val="single" w:sz="4" w:space="0" w:color="000000"/>
            </w:tcBorders>
          </w:tcPr>
          <w:p>
            <w:pPr>
              <w:pStyle w:val="TableParagraph"/>
              <w:spacing w:line="202" w:lineRule="exact"/>
              <w:ind w:left="108"/>
              <w:rPr>
                <w:sz w:val="18"/>
              </w:rPr>
            </w:pPr>
            <w:r>
              <w:rPr>
                <w:sz w:val="18"/>
              </w:rPr>
              <w:t>Sayı</w:t>
            </w:r>
          </w:p>
          <w:p>
            <w:pPr>
              <w:pStyle w:val="TableParagraph"/>
              <w:spacing w:line="276" w:lineRule="auto" w:before="126"/>
              <w:ind w:left="199" w:right="226"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79"/>
              <w:ind w:left="108"/>
              <w:rPr>
                <w:sz w:val="18"/>
              </w:rPr>
            </w:pPr>
            <w:r>
              <w:rPr>
                <w:sz w:val="18"/>
              </w:rPr>
              <w:t>Sayı</w:t>
            </w:r>
          </w:p>
          <w:p>
            <w:pPr>
              <w:pStyle w:val="TableParagraph"/>
              <w:spacing w:line="276" w:lineRule="auto" w:before="126"/>
              <w:ind w:left="199" w:right="226" w:hanging="92"/>
              <w:rPr>
                <w:sz w:val="18"/>
              </w:rPr>
            </w:pPr>
            <w:r>
              <w:rPr>
                <w:sz w:val="18"/>
              </w:rPr>
              <w:t>Yüzde (%)</w:t>
            </w:r>
          </w:p>
        </w:tc>
        <w:tc>
          <w:tcPr>
            <w:tcW w:w="934" w:type="dxa"/>
            <w:tcBorders>
              <w:top w:val="single" w:sz="4" w:space="0" w:color="000000"/>
              <w:bottom w:val="single" w:sz="4" w:space="0" w:color="000000"/>
            </w:tcBorders>
          </w:tcPr>
          <w:p>
            <w:pPr>
              <w:pStyle w:val="TableParagraph"/>
              <w:spacing w:line="202" w:lineRule="exact"/>
              <w:ind w:left="242"/>
              <w:rPr>
                <w:sz w:val="18"/>
              </w:rPr>
            </w:pPr>
            <w:r>
              <w:rPr>
                <w:sz w:val="18"/>
              </w:rPr>
              <w:t>6</w:t>
            </w:r>
          </w:p>
          <w:p>
            <w:pPr>
              <w:pStyle w:val="TableParagraph"/>
              <w:spacing w:before="126"/>
              <w:ind w:left="242"/>
              <w:rPr>
                <w:sz w:val="18"/>
              </w:rPr>
            </w:pPr>
            <w:r>
              <w:rPr>
                <w:sz w:val="18"/>
              </w:rPr>
              <w:t>5,7</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7"/>
              </w:rPr>
            </w:pPr>
          </w:p>
          <w:p>
            <w:pPr>
              <w:pStyle w:val="TableParagraph"/>
              <w:ind w:left="242"/>
              <w:rPr>
                <w:sz w:val="18"/>
              </w:rPr>
            </w:pPr>
            <w:r>
              <w:rPr>
                <w:sz w:val="18"/>
              </w:rPr>
              <w:t>7</w:t>
            </w:r>
          </w:p>
          <w:p>
            <w:pPr>
              <w:pStyle w:val="TableParagraph"/>
              <w:spacing w:before="127"/>
              <w:ind w:left="242"/>
              <w:rPr>
                <w:sz w:val="18"/>
              </w:rPr>
            </w:pPr>
            <w:r>
              <w:rPr>
                <w:sz w:val="18"/>
              </w:rPr>
              <w:t>6,7</w:t>
            </w:r>
          </w:p>
        </w:tc>
        <w:tc>
          <w:tcPr>
            <w:tcW w:w="1241" w:type="dxa"/>
            <w:tcBorders>
              <w:top w:val="single" w:sz="4" w:space="0" w:color="000000"/>
              <w:bottom w:val="single" w:sz="4" w:space="0" w:color="000000"/>
            </w:tcBorders>
          </w:tcPr>
          <w:p>
            <w:pPr>
              <w:pStyle w:val="TableParagraph"/>
              <w:spacing w:line="202" w:lineRule="exact"/>
              <w:ind w:left="318" w:right="442"/>
              <w:jc w:val="center"/>
              <w:rPr>
                <w:sz w:val="18"/>
              </w:rPr>
            </w:pPr>
            <w:r>
              <w:rPr>
                <w:sz w:val="18"/>
              </w:rPr>
              <w:t>17</w:t>
            </w:r>
          </w:p>
          <w:p>
            <w:pPr>
              <w:pStyle w:val="TableParagraph"/>
              <w:spacing w:before="126"/>
              <w:ind w:left="443" w:right="442"/>
              <w:jc w:val="center"/>
              <w:rPr>
                <w:sz w:val="18"/>
              </w:rPr>
            </w:pPr>
            <w:r>
              <w:rPr>
                <w:sz w:val="18"/>
              </w:rPr>
              <w:t>16,2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7"/>
              </w:rPr>
            </w:pPr>
          </w:p>
          <w:p>
            <w:pPr>
              <w:pStyle w:val="TableParagraph"/>
              <w:ind w:left="318" w:right="442"/>
              <w:jc w:val="center"/>
              <w:rPr>
                <w:sz w:val="18"/>
              </w:rPr>
            </w:pPr>
            <w:r>
              <w:rPr>
                <w:sz w:val="18"/>
              </w:rPr>
              <w:t>21</w:t>
            </w:r>
          </w:p>
          <w:p>
            <w:pPr>
              <w:pStyle w:val="TableParagraph"/>
              <w:spacing w:before="127"/>
              <w:ind w:left="443" w:right="442"/>
              <w:jc w:val="center"/>
              <w:rPr>
                <w:sz w:val="18"/>
              </w:rPr>
            </w:pPr>
            <w:r>
              <w:rPr>
                <w:sz w:val="18"/>
              </w:rPr>
              <w:t>20,0</w:t>
            </w:r>
          </w:p>
        </w:tc>
        <w:tc>
          <w:tcPr>
            <w:tcW w:w="1129" w:type="dxa"/>
            <w:tcBorders>
              <w:top w:val="single" w:sz="4" w:space="0" w:color="000000"/>
              <w:bottom w:val="single" w:sz="4" w:space="0" w:color="000000"/>
            </w:tcBorders>
          </w:tcPr>
          <w:p>
            <w:pPr>
              <w:pStyle w:val="TableParagraph"/>
              <w:spacing w:line="202" w:lineRule="exact"/>
              <w:ind w:left="316" w:right="333"/>
              <w:jc w:val="center"/>
              <w:rPr>
                <w:sz w:val="18"/>
              </w:rPr>
            </w:pPr>
            <w:r>
              <w:rPr>
                <w:sz w:val="18"/>
              </w:rPr>
              <w:t>34</w:t>
            </w:r>
          </w:p>
          <w:p>
            <w:pPr>
              <w:pStyle w:val="TableParagraph"/>
              <w:spacing w:before="126"/>
              <w:ind w:left="441" w:right="333"/>
              <w:jc w:val="center"/>
              <w:rPr>
                <w:sz w:val="18"/>
              </w:rPr>
            </w:pPr>
            <w:r>
              <w:rPr>
                <w:sz w:val="18"/>
              </w:rPr>
              <w:t>32,4</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7"/>
              </w:rPr>
            </w:pPr>
          </w:p>
          <w:p>
            <w:pPr>
              <w:pStyle w:val="TableParagraph"/>
              <w:ind w:left="316" w:right="333"/>
              <w:jc w:val="center"/>
              <w:rPr>
                <w:sz w:val="18"/>
              </w:rPr>
            </w:pPr>
            <w:r>
              <w:rPr>
                <w:sz w:val="18"/>
              </w:rPr>
              <w:t>38</w:t>
            </w:r>
          </w:p>
          <w:p>
            <w:pPr>
              <w:pStyle w:val="TableParagraph"/>
              <w:spacing w:before="127"/>
              <w:ind w:left="441" w:right="333"/>
              <w:jc w:val="center"/>
              <w:rPr>
                <w:sz w:val="18"/>
              </w:rPr>
            </w:pPr>
            <w:r>
              <w:rPr>
                <w:sz w:val="18"/>
              </w:rPr>
              <w:t>36,2</w:t>
            </w:r>
          </w:p>
        </w:tc>
        <w:tc>
          <w:tcPr>
            <w:tcW w:w="1039" w:type="dxa"/>
            <w:tcBorders>
              <w:top w:val="single" w:sz="4" w:space="0" w:color="000000"/>
              <w:bottom w:val="single" w:sz="4" w:space="0" w:color="000000"/>
            </w:tcBorders>
          </w:tcPr>
          <w:p>
            <w:pPr>
              <w:pStyle w:val="TableParagraph"/>
              <w:spacing w:line="202" w:lineRule="exact"/>
              <w:ind w:left="205" w:right="350"/>
              <w:jc w:val="center"/>
              <w:rPr>
                <w:sz w:val="18"/>
              </w:rPr>
            </w:pPr>
            <w:r>
              <w:rPr>
                <w:sz w:val="18"/>
              </w:rPr>
              <w:t>37</w:t>
            </w:r>
          </w:p>
          <w:p>
            <w:pPr>
              <w:pStyle w:val="TableParagraph"/>
              <w:spacing w:before="126"/>
              <w:ind w:left="333" w:right="350"/>
              <w:jc w:val="center"/>
              <w:rPr>
                <w:sz w:val="18"/>
              </w:rPr>
            </w:pPr>
            <w:r>
              <w:rPr>
                <w:sz w:val="18"/>
              </w:rPr>
              <w:t>35,2</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7"/>
              </w:rPr>
            </w:pPr>
          </w:p>
          <w:p>
            <w:pPr>
              <w:pStyle w:val="TableParagraph"/>
              <w:ind w:left="205" w:right="350"/>
              <w:jc w:val="center"/>
              <w:rPr>
                <w:sz w:val="18"/>
              </w:rPr>
            </w:pPr>
            <w:r>
              <w:rPr>
                <w:sz w:val="18"/>
              </w:rPr>
              <w:t>25</w:t>
            </w:r>
          </w:p>
          <w:p>
            <w:pPr>
              <w:pStyle w:val="TableParagraph"/>
              <w:spacing w:before="127"/>
              <w:ind w:left="333" w:right="350"/>
              <w:jc w:val="center"/>
              <w:rPr>
                <w:sz w:val="18"/>
              </w:rPr>
            </w:pPr>
            <w:r>
              <w:rPr>
                <w:sz w:val="18"/>
              </w:rPr>
              <w:t>23,8</w:t>
            </w:r>
          </w:p>
        </w:tc>
        <w:tc>
          <w:tcPr>
            <w:tcW w:w="1293" w:type="dxa"/>
            <w:tcBorders>
              <w:top w:val="single" w:sz="4" w:space="0" w:color="000000"/>
              <w:bottom w:val="single" w:sz="4" w:space="0" w:color="000000"/>
            </w:tcBorders>
          </w:tcPr>
          <w:p>
            <w:pPr>
              <w:pStyle w:val="TableParagraph"/>
              <w:spacing w:line="202" w:lineRule="exact"/>
              <w:ind w:left="374"/>
              <w:rPr>
                <w:sz w:val="18"/>
              </w:rPr>
            </w:pPr>
            <w:r>
              <w:rPr>
                <w:sz w:val="18"/>
              </w:rPr>
              <w:t>11</w:t>
            </w:r>
          </w:p>
          <w:p>
            <w:pPr>
              <w:pStyle w:val="TableParagraph"/>
              <w:spacing w:before="126"/>
              <w:ind w:left="372"/>
              <w:rPr>
                <w:sz w:val="18"/>
              </w:rPr>
            </w:pPr>
            <w:r>
              <w:rPr>
                <w:sz w:val="18"/>
              </w:rPr>
              <w:t>10,5</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3"/>
              <w:rPr>
                <w:b/>
                <w:sz w:val="27"/>
              </w:rPr>
            </w:pPr>
          </w:p>
          <w:p>
            <w:pPr>
              <w:pStyle w:val="TableParagraph"/>
              <w:ind w:left="374"/>
              <w:rPr>
                <w:sz w:val="18"/>
              </w:rPr>
            </w:pPr>
            <w:r>
              <w:rPr>
                <w:sz w:val="18"/>
              </w:rPr>
              <w:t>14</w:t>
            </w:r>
          </w:p>
          <w:p>
            <w:pPr>
              <w:pStyle w:val="TableParagraph"/>
              <w:spacing w:before="127"/>
              <w:ind w:left="372"/>
              <w:rPr>
                <w:sz w:val="18"/>
              </w:rPr>
            </w:pPr>
            <w:r>
              <w:rPr>
                <w:sz w:val="18"/>
              </w:rPr>
              <w:t>13,3</w:t>
            </w:r>
          </w:p>
        </w:tc>
      </w:tr>
    </w:tbl>
    <w:p>
      <w:pPr>
        <w:pStyle w:val="BodyText"/>
        <w:spacing w:before="7"/>
        <w:rPr>
          <w:b/>
          <w:sz w:val="27"/>
        </w:rPr>
      </w:pPr>
    </w:p>
    <w:p>
      <w:pPr>
        <w:pStyle w:val="BodyText"/>
        <w:spacing w:line="360" w:lineRule="auto" w:before="90"/>
        <w:ind w:left="1128" w:right="611" w:firstLine="708"/>
        <w:jc w:val="both"/>
      </w:pPr>
      <w:r>
        <w:rPr/>
        <w:t>‘‘Kurumumuz çalışanlarınca afet durumlarında triaj başarılı bir şekilde uygulanacaktır (soru 57)’’ sorusuna, kesinlikle katılmıyorum şıkkının işaretlenme oranı</w:t>
      </w:r>
    </w:p>
    <w:p>
      <w:pPr>
        <w:pStyle w:val="BodyText"/>
        <w:spacing w:line="360" w:lineRule="auto"/>
        <w:ind w:left="1128" w:right="611"/>
        <w:jc w:val="both"/>
      </w:pPr>
      <w:r>
        <w:rPr/>
        <w:t>%6,7, katılmıyorum şıkkının işaretlenme oranı %2,9, kararsızım şıkkının işaretlenme oranı %25,7, katılıyorum şıkkının işaretlenme oranı %48,6, kesinlikle katılıyorum şıkkının işaretlenme oranı %16,2’dir.</w:t>
      </w:r>
    </w:p>
    <w:p>
      <w:pPr>
        <w:pStyle w:val="BodyText"/>
        <w:spacing w:line="360" w:lineRule="auto" w:before="1"/>
        <w:ind w:left="1128" w:right="609" w:firstLine="708"/>
        <w:jc w:val="both"/>
      </w:pPr>
      <w:r>
        <w:rPr/>
        <w:t>‘‘Kurumumuzda triaj çalışmalarına önem verilmektedir (soru 58)’’ sorusuna, kesinlikle katılmıyorum şıkkının işaretlenme oranı %5,7, katılmıyorum şıkkının işaretlenme oranı %9,5, kararsızım şıkkının işaretlenme oranı %22,9, katılıyorum şıkkının işaretlenme oranı %48,6, kesinlikle katılıyorum şıkkının işaretlenme oranı</w:t>
      </w:r>
    </w:p>
    <w:p>
      <w:pPr>
        <w:pStyle w:val="BodyText"/>
        <w:spacing w:before="1"/>
        <w:ind w:left="1128"/>
      </w:pPr>
      <w:r>
        <w:rPr/>
        <w:t>%13,3’tür.</w:t>
      </w:r>
    </w:p>
    <w:p>
      <w:pPr>
        <w:pStyle w:val="BodyText"/>
        <w:spacing w:line="360" w:lineRule="auto" w:before="137"/>
        <w:ind w:left="1128" w:right="611" w:firstLine="708"/>
        <w:jc w:val="both"/>
      </w:pPr>
      <w:r>
        <w:rPr/>
        <w:t>‘‘Afet durumlarında artış gösterebilecek bazı özel patolojilere karşı (crush sendromu gibi) tüm personel eğitilmiştir (soru 59)’’ sorusuna, kesinlikle katılmıyorum şıkkının işaretlenme oranı %9,5, katılmıyorum şıkkının işaretlenme oranı %17,1, kararsızım şıkkının işaretlenme oranı %32,4, katılıyorum şıkkının işaretlenme oranı</w:t>
      </w:r>
    </w:p>
    <w:p>
      <w:pPr>
        <w:pStyle w:val="BodyText"/>
        <w:ind w:left="1128"/>
      </w:pPr>
      <w:r>
        <w:rPr/>
        <w:t>%30,5, kesinlikle katılıyorum şıkkının işaretlenme oranı %10,5’tir.</w:t>
      </w:r>
    </w:p>
    <w:p>
      <w:pPr>
        <w:pStyle w:val="BodyText"/>
        <w:spacing w:line="360" w:lineRule="auto" w:before="139"/>
        <w:ind w:left="1128" w:right="609" w:firstLine="708"/>
        <w:jc w:val="both"/>
      </w:pPr>
      <w:r>
        <w:rPr/>
        <w:t>‘‘Kurumumda afet esnasında kayıt tutmaya büyük önem verilmiştir. Bu amaçla görevlendirilen personel kayıt tutmanın öneminin farkındadır (soru 60)’’ sorusuna, kesinlikle katılmıyorum şıkkının işaretlenme oranı %5,7, katılmıyorum şıkkının işaretlenme oranı %16,2, kararsızım şıkkının işaretlenme oranı %32,4, katılıyorum şıkkının işaretlenme oranı %35,2, kesinlikle katılıyorum şıkkının işaretlenme oranı</w:t>
      </w:r>
    </w:p>
    <w:p>
      <w:pPr>
        <w:pStyle w:val="BodyText"/>
        <w:spacing w:line="276" w:lineRule="exact"/>
        <w:ind w:left="1128"/>
      </w:pPr>
      <w:r>
        <w:rPr/>
        <w:t>%10,5’tir.</w:t>
      </w:r>
    </w:p>
    <w:p>
      <w:pPr>
        <w:pStyle w:val="BodyText"/>
        <w:spacing w:line="360" w:lineRule="auto" w:before="139"/>
        <w:ind w:left="1128" w:right="611" w:firstLine="708"/>
        <w:jc w:val="both"/>
      </w:pPr>
      <w:r>
        <w:rPr/>
        <w:t>‘‘Kayıt tutmayı kolaylaştıracak yöntemler ve malzemeler temin edilerek ilgili personele öğretilmiş (soru 61)’’ sorusuna, kesinlikle katılmıyorum şıkkının işaretlenme</w:t>
      </w:r>
    </w:p>
    <w:p>
      <w:pPr>
        <w:spacing w:after="0" w:line="360" w:lineRule="auto"/>
        <w:jc w:val="both"/>
        <w:sectPr>
          <w:pgSz w:w="11910" w:h="16840"/>
          <w:pgMar w:header="0" w:footer="976" w:top="1580" w:bottom="1240" w:left="1140" w:right="520"/>
        </w:sectPr>
      </w:pPr>
    </w:p>
    <w:p>
      <w:pPr>
        <w:pStyle w:val="BodyText"/>
        <w:spacing w:line="360" w:lineRule="auto" w:before="98"/>
        <w:ind w:left="1128" w:right="608"/>
        <w:jc w:val="both"/>
      </w:pPr>
      <w:r>
        <w:rPr/>
        <w:t>oranı %6,7, katılmıyorum şıkkının işaretlenme oranı %20,0, kararsızım şıkkının işaretlenme oranı %36,2, katılıyorum şıkkının işaretlenme oranı %23,8, kesinlikle katılıyorum şıkkının işaretlenme oranı %13,3’tür.</w:t>
      </w:r>
    </w:p>
    <w:p>
      <w:pPr>
        <w:pStyle w:val="BodyText"/>
        <w:spacing w:line="360" w:lineRule="auto"/>
        <w:ind w:left="1128" w:right="613" w:firstLine="708"/>
      </w:pPr>
      <w:r>
        <w:rPr/>
        <w:t>Araştırma grubundaki kişilerin çevre sağlığı, ruh sağlığı ve toplum sağlığı hizmetleri ile ilgili anket sorularının incelenmesi Tablo 4. 13’de gösterilmiştir.</w:t>
      </w:r>
    </w:p>
    <w:p>
      <w:pPr>
        <w:pStyle w:val="BodyText"/>
        <w:spacing w:before="1"/>
      </w:pPr>
    </w:p>
    <w:p>
      <w:pPr>
        <w:pStyle w:val="Heading1"/>
        <w:ind w:left="1982" w:right="672" w:hanging="72"/>
      </w:pPr>
      <w:r>
        <w:rPr/>
        <w:t>Tablo 4. 13. Araştırma Grubundaki Kişilerin Çevre Sağlığı, Ruh Sağlığı ve Toplum Sağlığı Hizmetleri İle İlgili Anket Sorularının İncelenmesi</w:t>
      </w:r>
    </w:p>
    <w:p>
      <w:pPr>
        <w:pStyle w:val="BodyText"/>
        <w:spacing w:before="8"/>
        <w:rPr>
          <w:b/>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37"/>
        <w:gridCol w:w="980"/>
        <w:gridCol w:w="1160"/>
        <w:gridCol w:w="1262"/>
        <w:gridCol w:w="1086"/>
        <w:gridCol w:w="1147"/>
        <w:gridCol w:w="1241"/>
      </w:tblGrid>
      <w:tr>
        <w:trPr>
          <w:trHeight w:val="607" w:hRule="atLeast"/>
        </w:trPr>
        <w:tc>
          <w:tcPr>
            <w:tcW w:w="1637" w:type="dxa"/>
            <w:tcBorders>
              <w:top w:val="single" w:sz="4" w:space="0" w:color="000000"/>
              <w:bottom w:val="single" w:sz="4" w:space="0" w:color="000000"/>
            </w:tcBorders>
          </w:tcPr>
          <w:p>
            <w:pPr>
              <w:pStyle w:val="TableParagraph"/>
              <w:spacing w:line="204" w:lineRule="exact"/>
              <w:ind w:left="118"/>
              <w:rPr>
                <w:b/>
                <w:sz w:val="18"/>
              </w:rPr>
            </w:pPr>
            <w:r>
              <w:rPr>
                <w:b/>
                <w:sz w:val="18"/>
              </w:rPr>
              <w:t>Soru</w:t>
            </w:r>
          </w:p>
        </w:tc>
        <w:tc>
          <w:tcPr>
            <w:tcW w:w="980" w:type="dxa"/>
            <w:tcBorders>
              <w:top w:val="single" w:sz="4" w:space="0" w:color="000000"/>
              <w:bottom w:val="single" w:sz="4" w:space="0" w:color="000000"/>
            </w:tcBorders>
          </w:tcPr>
          <w:p>
            <w:pPr>
              <w:pStyle w:val="TableParagraph"/>
              <w:rPr>
                <w:sz w:val="20"/>
              </w:rPr>
            </w:pPr>
          </w:p>
        </w:tc>
        <w:tc>
          <w:tcPr>
            <w:tcW w:w="1160" w:type="dxa"/>
            <w:tcBorders>
              <w:top w:val="single" w:sz="4" w:space="0" w:color="000000"/>
              <w:bottom w:val="single" w:sz="4" w:space="0" w:color="000000"/>
            </w:tcBorders>
          </w:tcPr>
          <w:p>
            <w:pPr>
              <w:pStyle w:val="TableParagraph"/>
              <w:spacing w:line="256" w:lineRule="auto"/>
              <w:ind w:left="-9" w:right="49"/>
              <w:rPr>
                <w:b/>
                <w:sz w:val="18"/>
              </w:rPr>
            </w:pPr>
            <w:r>
              <w:rPr>
                <w:b/>
                <w:sz w:val="18"/>
              </w:rPr>
              <w:t>Kesinlikle Katılmıyorum</w:t>
            </w:r>
          </w:p>
        </w:tc>
        <w:tc>
          <w:tcPr>
            <w:tcW w:w="1262" w:type="dxa"/>
            <w:tcBorders>
              <w:top w:val="single" w:sz="4" w:space="0" w:color="000000"/>
              <w:bottom w:val="single" w:sz="4" w:space="0" w:color="000000"/>
            </w:tcBorders>
          </w:tcPr>
          <w:p>
            <w:pPr>
              <w:pStyle w:val="TableParagraph"/>
              <w:spacing w:line="204" w:lineRule="exact"/>
              <w:ind w:left="71"/>
              <w:rPr>
                <w:b/>
                <w:sz w:val="18"/>
              </w:rPr>
            </w:pPr>
            <w:r>
              <w:rPr>
                <w:b/>
                <w:sz w:val="18"/>
              </w:rPr>
              <w:t>Katılmıyorum</w:t>
            </w:r>
          </w:p>
        </w:tc>
        <w:tc>
          <w:tcPr>
            <w:tcW w:w="1086" w:type="dxa"/>
            <w:tcBorders>
              <w:top w:val="single" w:sz="4" w:space="0" w:color="000000"/>
              <w:bottom w:val="single" w:sz="4" w:space="0" w:color="000000"/>
            </w:tcBorders>
          </w:tcPr>
          <w:p>
            <w:pPr>
              <w:pStyle w:val="TableParagraph"/>
              <w:spacing w:line="204" w:lineRule="exact"/>
              <w:ind w:left="94"/>
              <w:rPr>
                <w:b/>
                <w:sz w:val="18"/>
              </w:rPr>
            </w:pPr>
            <w:r>
              <w:rPr>
                <w:b/>
                <w:sz w:val="18"/>
              </w:rPr>
              <w:t>Kararsızım</w:t>
            </w:r>
          </w:p>
        </w:tc>
        <w:tc>
          <w:tcPr>
            <w:tcW w:w="1147" w:type="dxa"/>
            <w:tcBorders>
              <w:top w:val="single" w:sz="4" w:space="0" w:color="000000"/>
              <w:bottom w:val="single" w:sz="4" w:space="0" w:color="000000"/>
            </w:tcBorders>
          </w:tcPr>
          <w:p>
            <w:pPr>
              <w:pStyle w:val="TableParagraph"/>
              <w:spacing w:line="204" w:lineRule="exact"/>
              <w:ind w:left="114"/>
              <w:rPr>
                <w:b/>
                <w:sz w:val="18"/>
              </w:rPr>
            </w:pPr>
            <w:r>
              <w:rPr>
                <w:b/>
                <w:sz w:val="18"/>
              </w:rPr>
              <w:t>Katılıyorum</w:t>
            </w:r>
          </w:p>
        </w:tc>
        <w:tc>
          <w:tcPr>
            <w:tcW w:w="1241" w:type="dxa"/>
            <w:tcBorders>
              <w:top w:val="single" w:sz="4" w:space="0" w:color="000000"/>
              <w:bottom w:val="single" w:sz="4" w:space="0" w:color="000000"/>
            </w:tcBorders>
          </w:tcPr>
          <w:p>
            <w:pPr>
              <w:pStyle w:val="TableParagraph"/>
              <w:spacing w:line="256" w:lineRule="auto"/>
              <w:ind w:left="86" w:right="185"/>
              <w:rPr>
                <w:b/>
                <w:sz w:val="18"/>
              </w:rPr>
            </w:pPr>
            <w:r>
              <w:rPr>
                <w:b/>
                <w:sz w:val="18"/>
              </w:rPr>
              <w:t>Kesinlikle Katılıyorum</w:t>
            </w:r>
          </w:p>
        </w:tc>
      </w:tr>
      <w:tr>
        <w:trPr>
          <w:trHeight w:val="1983" w:hRule="atLeast"/>
        </w:trPr>
        <w:tc>
          <w:tcPr>
            <w:tcW w:w="1637" w:type="dxa"/>
            <w:tcBorders>
              <w:top w:val="single" w:sz="4" w:space="0" w:color="000000"/>
            </w:tcBorders>
          </w:tcPr>
          <w:p>
            <w:pPr>
              <w:pStyle w:val="TableParagraph"/>
              <w:tabs>
                <w:tab w:pos="1049" w:val="left" w:leader="none"/>
              </w:tabs>
              <w:spacing w:line="276" w:lineRule="auto"/>
              <w:ind w:left="118" w:right="106"/>
              <w:rPr>
                <w:sz w:val="18"/>
              </w:rPr>
            </w:pPr>
            <w:r>
              <w:rPr>
                <w:b/>
                <w:sz w:val="18"/>
              </w:rPr>
              <w:t>Soru 62.</w:t>
            </w:r>
            <w:r>
              <w:rPr>
                <w:b/>
                <w:spacing w:val="-20"/>
                <w:sz w:val="18"/>
              </w:rPr>
              <w:t> </w:t>
            </w:r>
            <w:r>
              <w:rPr>
                <w:sz w:val="18"/>
              </w:rPr>
              <w:t>Kurumum çalışan personelinin afette ruh</w:t>
              <w:tab/>
            </w:r>
            <w:r>
              <w:rPr>
                <w:spacing w:val="-1"/>
                <w:sz w:val="18"/>
              </w:rPr>
              <w:t>sağlığı </w:t>
            </w:r>
            <w:r>
              <w:rPr>
                <w:sz w:val="18"/>
              </w:rPr>
              <w:t>yönünden etkileneceğini düşünerek hazırlıklarını</w:t>
            </w:r>
            <w:r>
              <w:rPr>
                <w:spacing w:val="-14"/>
                <w:sz w:val="18"/>
              </w:rPr>
              <w:t> </w:t>
            </w:r>
            <w:r>
              <w:rPr>
                <w:sz w:val="18"/>
              </w:rPr>
              <w:t>yapar.</w:t>
            </w:r>
          </w:p>
        </w:tc>
        <w:tc>
          <w:tcPr>
            <w:tcW w:w="980" w:type="dxa"/>
            <w:vMerge w:val="restart"/>
            <w:tcBorders>
              <w:top w:val="single" w:sz="4" w:space="0" w:color="000000"/>
              <w:bottom w:val="single" w:sz="4" w:space="0" w:color="000000"/>
            </w:tcBorders>
          </w:tcPr>
          <w:p>
            <w:pPr>
              <w:pStyle w:val="TableParagraph"/>
              <w:spacing w:line="508" w:lineRule="auto"/>
              <w:ind w:left="107" w:right="383" w:firstLine="40"/>
              <w:rPr>
                <w:sz w:val="18"/>
              </w:rPr>
            </w:pPr>
            <w:r>
              <w:rPr>
                <w:sz w:val="18"/>
              </w:rPr>
              <w:t>Sayı Yüzde</w:t>
            </w:r>
          </w:p>
          <w:p>
            <w:pPr>
              <w:pStyle w:val="TableParagraph"/>
              <w:spacing w:before="65"/>
              <w:ind w:left="198"/>
              <w:rPr>
                <w:sz w:val="18"/>
              </w:rPr>
            </w:pPr>
            <w:r>
              <w:rPr>
                <w:sz w:val="18"/>
              </w:rPr>
              <w:t>(%)</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68"/>
              <w:ind w:left="107"/>
              <w:rPr>
                <w:sz w:val="18"/>
              </w:rPr>
            </w:pPr>
            <w:r>
              <w:rPr>
                <w:sz w:val="18"/>
              </w:rPr>
              <w:t>Sayı</w:t>
            </w:r>
          </w:p>
          <w:p>
            <w:pPr>
              <w:pStyle w:val="TableParagraph"/>
              <w:spacing w:before="11"/>
              <w:rPr>
                <w:b/>
                <w:sz w:val="19"/>
              </w:rPr>
            </w:pPr>
          </w:p>
          <w:p>
            <w:pPr>
              <w:pStyle w:val="TableParagraph"/>
              <w:spacing w:line="276" w:lineRule="auto"/>
              <w:ind w:left="198" w:right="384"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9"/>
              <w:rPr>
                <w:b/>
                <w:sz w:val="27"/>
              </w:rPr>
            </w:pPr>
          </w:p>
          <w:p>
            <w:pPr>
              <w:pStyle w:val="TableParagraph"/>
              <w:spacing w:before="1"/>
              <w:ind w:left="107"/>
              <w:rPr>
                <w:sz w:val="18"/>
              </w:rPr>
            </w:pPr>
            <w:r>
              <w:rPr>
                <w:sz w:val="18"/>
              </w:rPr>
              <w:t>Sayı</w:t>
            </w:r>
          </w:p>
          <w:p>
            <w:pPr>
              <w:pStyle w:val="TableParagraph"/>
              <w:spacing w:before="2"/>
              <w:rPr>
                <w:b/>
                <w:sz w:val="20"/>
              </w:rPr>
            </w:pPr>
          </w:p>
          <w:p>
            <w:pPr>
              <w:pStyle w:val="TableParagraph"/>
              <w:spacing w:line="276" w:lineRule="auto"/>
              <w:ind w:left="198" w:right="384" w:hanging="92"/>
              <w:rPr>
                <w:sz w:val="18"/>
              </w:rPr>
            </w:pPr>
            <w:r>
              <w:rPr>
                <w:sz w:val="18"/>
              </w:rPr>
              <w:t>Yüzde (%)</w:t>
            </w: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rPr>
                <w:b/>
                <w:sz w:val="20"/>
              </w:rPr>
            </w:pPr>
          </w:p>
          <w:p>
            <w:pPr>
              <w:pStyle w:val="TableParagraph"/>
              <w:spacing w:before="10"/>
              <w:rPr>
                <w:b/>
                <w:sz w:val="29"/>
              </w:rPr>
            </w:pPr>
          </w:p>
          <w:p>
            <w:pPr>
              <w:pStyle w:val="TableParagraph"/>
              <w:ind w:left="107"/>
              <w:rPr>
                <w:sz w:val="18"/>
              </w:rPr>
            </w:pPr>
            <w:r>
              <w:rPr>
                <w:sz w:val="18"/>
              </w:rPr>
              <w:t>Sayı</w:t>
            </w:r>
          </w:p>
        </w:tc>
        <w:tc>
          <w:tcPr>
            <w:tcW w:w="1160" w:type="dxa"/>
            <w:tcBorders>
              <w:top w:val="single" w:sz="4" w:space="0" w:color="000000"/>
            </w:tcBorders>
          </w:tcPr>
          <w:p>
            <w:pPr>
              <w:pStyle w:val="TableParagraph"/>
              <w:spacing w:line="202" w:lineRule="exact"/>
              <w:ind w:left="385" w:right="418"/>
              <w:jc w:val="center"/>
              <w:rPr>
                <w:sz w:val="18"/>
              </w:rPr>
            </w:pPr>
            <w:r>
              <w:rPr>
                <w:sz w:val="18"/>
              </w:rPr>
              <w:t>14</w:t>
            </w:r>
          </w:p>
          <w:p>
            <w:pPr>
              <w:pStyle w:val="TableParagraph"/>
              <w:spacing w:before="2"/>
              <w:rPr>
                <w:b/>
                <w:sz w:val="20"/>
              </w:rPr>
            </w:pPr>
          </w:p>
          <w:p>
            <w:pPr>
              <w:pStyle w:val="TableParagraph"/>
              <w:ind w:left="385" w:right="419"/>
              <w:jc w:val="center"/>
              <w:rPr>
                <w:sz w:val="18"/>
              </w:rPr>
            </w:pPr>
            <w:r>
              <w:rPr>
                <w:sz w:val="18"/>
              </w:rPr>
              <w:t>13,3</w:t>
            </w:r>
          </w:p>
        </w:tc>
        <w:tc>
          <w:tcPr>
            <w:tcW w:w="1262" w:type="dxa"/>
            <w:tcBorders>
              <w:top w:val="single" w:sz="4" w:space="0" w:color="000000"/>
            </w:tcBorders>
          </w:tcPr>
          <w:p>
            <w:pPr>
              <w:pStyle w:val="TableParagraph"/>
              <w:spacing w:line="202" w:lineRule="exact"/>
              <w:ind w:left="362"/>
              <w:rPr>
                <w:sz w:val="18"/>
              </w:rPr>
            </w:pPr>
            <w:r>
              <w:rPr>
                <w:sz w:val="18"/>
              </w:rPr>
              <w:t>20</w:t>
            </w:r>
          </w:p>
          <w:p>
            <w:pPr>
              <w:pStyle w:val="TableParagraph"/>
              <w:spacing w:before="2"/>
              <w:rPr>
                <w:b/>
                <w:sz w:val="20"/>
              </w:rPr>
            </w:pPr>
          </w:p>
          <w:p>
            <w:pPr>
              <w:pStyle w:val="TableParagraph"/>
              <w:ind w:left="360"/>
              <w:rPr>
                <w:sz w:val="18"/>
              </w:rPr>
            </w:pPr>
            <w:r>
              <w:rPr>
                <w:sz w:val="18"/>
              </w:rPr>
              <w:t>19,0</w:t>
            </w:r>
          </w:p>
        </w:tc>
        <w:tc>
          <w:tcPr>
            <w:tcW w:w="1086" w:type="dxa"/>
            <w:tcBorders>
              <w:top w:val="single" w:sz="4" w:space="0" w:color="000000"/>
            </w:tcBorders>
          </w:tcPr>
          <w:p>
            <w:pPr>
              <w:pStyle w:val="TableParagraph"/>
              <w:spacing w:line="202" w:lineRule="exact"/>
              <w:ind w:left="341"/>
              <w:rPr>
                <w:sz w:val="18"/>
              </w:rPr>
            </w:pPr>
            <w:r>
              <w:rPr>
                <w:sz w:val="18"/>
              </w:rPr>
              <w:t>36</w:t>
            </w:r>
          </w:p>
          <w:p>
            <w:pPr>
              <w:pStyle w:val="TableParagraph"/>
              <w:spacing w:before="2"/>
              <w:rPr>
                <w:b/>
                <w:sz w:val="20"/>
              </w:rPr>
            </w:pPr>
          </w:p>
          <w:p>
            <w:pPr>
              <w:pStyle w:val="TableParagraph"/>
              <w:ind w:left="339"/>
              <w:rPr>
                <w:sz w:val="18"/>
              </w:rPr>
            </w:pPr>
            <w:r>
              <w:rPr>
                <w:sz w:val="18"/>
              </w:rPr>
              <w:t>34,3</w:t>
            </w:r>
          </w:p>
        </w:tc>
        <w:tc>
          <w:tcPr>
            <w:tcW w:w="1147" w:type="dxa"/>
            <w:tcBorders>
              <w:top w:val="single" w:sz="4" w:space="0" w:color="000000"/>
            </w:tcBorders>
          </w:tcPr>
          <w:p>
            <w:pPr>
              <w:pStyle w:val="TableParagraph"/>
              <w:spacing w:line="202" w:lineRule="exact"/>
              <w:ind w:left="284" w:right="383"/>
              <w:jc w:val="center"/>
              <w:rPr>
                <w:sz w:val="18"/>
              </w:rPr>
            </w:pPr>
            <w:r>
              <w:rPr>
                <w:sz w:val="18"/>
              </w:rPr>
              <w:t>23</w:t>
            </w:r>
          </w:p>
          <w:p>
            <w:pPr>
              <w:pStyle w:val="TableParagraph"/>
              <w:spacing w:before="2"/>
              <w:rPr>
                <w:b/>
                <w:sz w:val="20"/>
              </w:rPr>
            </w:pPr>
          </w:p>
          <w:p>
            <w:pPr>
              <w:pStyle w:val="TableParagraph"/>
              <w:ind w:left="409" w:right="383"/>
              <w:jc w:val="center"/>
              <w:rPr>
                <w:sz w:val="18"/>
              </w:rPr>
            </w:pPr>
            <w:r>
              <w:rPr>
                <w:sz w:val="18"/>
              </w:rPr>
              <w:t>21,9</w:t>
            </w:r>
          </w:p>
        </w:tc>
        <w:tc>
          <w:tcPr>
            <w:tcW w:w="1241" w:type="dxa"/>
            <w:tcBorders>
              <w:top w:val="single" w:sz="4" w:space="0" w:color="000000"/>
            </w:tcBorders>
          </w:tcPr>
          <w:p>
            <w:pPr>
              <w:pStyle w:val="TableParagraph"/>
              <w:spacing w:line="202" w:lineRule="exact"/>
              <w:ind w:left="372"/>
              <w:rPr>
                <w:sz w:val="18"/>
              </w:rPr>
            </w:pPr>
            <w:r>
              <w:rPr>
                <w:sz w:val="18"/>
              </w:rPr>
              <w:t>12</w:t>
            </w:r>
          </w:p>
          <w:p>
            <w:pPr>
              <w:pStyle w:val="TableParagraph"/>
              <w:spacing w:before="2"/>
              <w:rPr>
                <w:b/>
                <w:sz w:val="20"/>
              </w:rPr>
            </w:pPr>
          </w:p>
          <w:p>
            <w:pPr>
              <w:pStyle w:val="TableParagraph"/>
              <w:ind w:left="278"/>
              <w:rPr>
                <w:sz w:val="18"/>
              </w:rPr>
            </w:pPr>
            <w:r>
              <w:rPr>
                <w:sz w:val="18"/>
              </w:rPr>
              <w:t>11,4</w:t>
            </w:r>
          </w:p>
        </w:tc>
      </w:tr>
      <w:tr>
        <w:trPr>
          <w:trHeight w:val="3524" w:hRule="atLeast"/>
        </w:trPr>
        <w:tc>
          <w:tcPr>
            <w:tcW w:w="1637" w:type="dxa"/>
          </w:tcPr>
          <w:p>
            <w:pPr>
              <w:pStyle w:val="TableParagraph"/>
              <w:tabs>
                <w:tab w:pos="819" w:val="left" w:leader="none"/>
                <w:tab w:pos="1034" w:val="left" w:leader="none"/>
                <w:tab w:pos="1286" w:val="left" w:leader="none"/>
                <w:tab w:pos="1358" w:val="left" w:leader="none"/>
              </w:tabs>
              <w:spacing w:line="276" w:lineRule="auto" w:before="106"/>
              <w:ind w:left="118" w:right="106"/>
              <w:rPr>
                <w:sz w:val="18"/>
              </w:rPr>
            </w:pPr>
            <w:r>
              <w:rPr>
                <w:b/>
                <w:sz w:val="18"/>
              </w:rPr>
              <w:t>Soru 63.</w:t>
            </w:r>
            <w:r>
              <w:rPr>
                <w:b/>
                <w:spacing w:val="-20"/>
                <w:sz w:val="18"/>
              </w:rPr>
              <w:t> </w:t>
            </w:r>
            <w:r>
              <w:rPr>
                <w:sz w:val="18"/>
              </w:rPr>
              <w:t>Kurumum personelinin afetten etkileneceği gibi</w:t>
              <w:tab/>
              <w:tab/>
            </w:r>
            <w:r>
              <w:rPr>
                <w:spacing w:val="-1"/>
                <w:sz w:val="18"/>
              </w:rPr>
              <w:t>afetten </w:t>
            </w:r>
            <w:r>
              <w:rPr>
                <w:sz w:val="18"/>
              </w:rPr>
              <w:t>etkilenenlere yönelik</w:t>
              <w:tab/>
              <w:tab/>
              <w:t>hizmet vereceğini bilerek personelinin afetlerde</w:t>
              <w:tab/>
              <w:tab/>
              <w:tab/>
              <w:t>ruh sağlığı</w:t>
              <w:tab/>
              <w:t>yönünden birbirlerine</w:t>
              <w:tab/>
              <w:tab/>
              <w:tab/>
              <w:t>ve afetzedelere yardımcı</w:t>
              <w:tab/>
              <w:tab/>
              <w:t>olacak şekilde yetiştirir</w:t>
            </w:r>
          </w:p>
        </w:tc>
        <w:tc>
          <w:tcPr>
            <w:tcW w:w="980" w:type="dxa"/>
            <w:vMerge/>
            <w:tcBorders>
              <w:top w:val="nil"/>
              <w:bottom w:val="single" w:sz="4" w:space="0" w:color="000000"/>
            </w:tcBorders>
          </w:tcPr>
          <w:p>
            <w:pPr>
              <w:rPr>
                <w:sz w:val="2"/>
                <w:szCs w:val="2"/>
              </w:rPr>
            </w:pPr>
          </w:p>
        </w:tc>
        <w:tc>
          <w:tcPr>
            <w:tcW w:w="1160" w:type="dxa"/>
          </w:tcPr>
          <w:p>
            <w:pPr>
              <w:pStyle w:val="TableParagraph"/>
              <w:rPr>
                <w:b/>
                <w:sz w:val="20"/>
              </w:rPr>
            </w:pPr>
          </w:p>
          <w:p>
            <w:pPr>
              <w:pStyle w:val="TableParagraph"/>
              <w:rPr>
                <w:b/>
                <w:sz w:val="20"/>
              </w:rPr>
            </w:pPr>
          </w:p>
          <w:p>
            <w:pPr>
              <w:pStyle w:val="TableParagraph"/>
              <w:spacing w:before="169"/>
              <w:ind w:left="50"/>
              <w:jc w:val="center"/>
              <w:rPr>
                <w:sz w:val="18"/>
              </w:rPr>
            </w:pPr>
            <w:r>
              <w:rPr>
                <w:sz w:val="18"/>
              </w:rPr>
              <w:t>8</w:t>
            </w:r>
          </w:p>
          <w:p>
            <w:pPr>
              <w:pStyle w:val="TableParagraph"/>
              <w:spacing w:before="2"/>
              <w:rPr>
                <w:b/>
                <w:sz w:val="20"/>
              </w:rPr>
            </w:pPr>
          </w:p>
          <w:p>
            <w:pPr>
              <w:pStyle w:val="TableParagraph"/>
              <w:ind w:left="385" w:right="333"/>
              <w:jc w:val="center"/>
              <w:rPr>
                <w:sz w:val="18"/>
              </w:rPr>
            </w:pPr>
            <w:r>
              <w:rPr>
                <w:sz w:val="18"/>
              </w:rPr>
              <w:t>7,6</w:t>
            </w:r>
          </w:p>
        </w:tc>
        <w:tc>
          <w:tcPr>
            <w:tcW w:w="1262" w:type="dxa"/>
          </w:tcPr>
          <w:p>
            <w:pPr>
              <w:pStyle w:val="TableParagraph"/>
              <w:rPr>
                <w:b/>
                <w:sz w:val="20"/>
              </w:rPr>
            </w:pPr>
          </w:p>
          <w:p>
            <w:pPr>
              <w:pStyle w:val="TableParagraph"/>
              <w:rPr>
                <w:b/>
                <w:sz w:val="20"/>
              </w:rPr>
            </w:pPr>
          </w:p>
          <w:p>
            <w:pPr>
              <w:pStyle w:val="TableParagraph"/>
              <w:spacing w:before="169"/>
              <w:ind w:left="362"/>
              <w:rPr>
                <w:sz w:val="18"/>
              </w:rPr>
            </w:pPr>
            <w:r>
              <w:rPr>
                <w:sz w:val="18"/>
              </w:rPr>
              <w:t>20</w:t>
            </w:r>
          </w:p>
          <w:p>
            <w:pPr>
              <w:pStyle w:val="TableParagraph"/>
              <w:spacing w:before="2"/>
              <w:rPr>
                <w:b/>
                <w:sz w:val="20"/>
              </w:rPr>
            </w:pPr>
          </w:p>
          <w:p>
            <w:pPr>
              <w:pStyle w:val="TableParagraph"/>
              <w:ind w:left="360"/>
              <w:rPr>
                <w:sz w:val="18"/>
              </w:rPr>
            </w:pPr>
            <w:r>
              <w:rPr>
                <w:sz w:val="18"/>
              </w:rPr>
              <w:t>19,0</w:t>
            </w:r>
          </w:p>
        </w:tc>
        <w:tc>
          <w:tcPr>
            <w:tcW w:w="1086" w:type="dxa"/>
          </w:tcPr>
          <w:p>
            <w:pPr>
              <w:pStyle w:val="TableParagraph"/>
              <w:rPr>
                <w:b/>
                <w:sz w:val="20"/>
              </w:rPr>
            </w:pPr>
          </w:p>
          <w:p>
            <w:pPr>
              <w:pStyle w:val="TableParagraph"/>
              <w:rPr>
                <w:b/>
                <w:sz w:val="20"/>
              </w:rPr>
            </w:pPr>
          </w:p>
          <w:p>
            <w:pPr>
              <w:pStyle w:val="TableParagraph"/>
              <w:spacing w:before="169"/>
              <w:ind w:left="341"/>
              <w:rPr>
                <w:sz w:val="18"/>
              </w:rPr>
            </w:pPr>
            <w:r>
              <w:rPr>
                <w:sz w:val="18"/>
              </w:rPr>
              <w:t>39</w:t>
            </w:r>
          </w:p>
          <w:p>
            <w:pPr>
              <w:pStyle w:val="TableParagraph"/>
              <w:spacing w:before="2"/>
              <w:rPr>
                <w:b/>
                <w:sz w:val="20"/>
              </w:rPr>
            </w:pPr>
          </w:p>
          <w:p>
            <w:pPr>
              <w:pStyle w:val="TableParagraph"/>
              <w:ind w:left="339"/>
              <w:rPr>
                <w:sz w:val="18"/>
              </w:rPr>
            </w:pPr>
            <w:r>
              <w:rPr>
                <w:sz w:val="18"/>
              </w:rPr>
              <w:t>37,1</w:t>
            </w:r>
          </w:p>
        </w:tc>
        <w:tc>
          <w:tcPr>
            <w:tcW w:w="1147" w:type="dxa"/>
          </w:tcPr>
          <w:p>
            <w:pPr>
              <w:pStyle w:val="TableParagraph"/>
              <w:rPr>
                <w:b/>
                <w:sz w:val="20"/>
              </w:rPr>
            </w:pPr>
          </w:p>
          <w:p>
            <w:pPr>
              <w:pStyle w:val="TableParagraph"/>
              <w:rPr>
                <w:b/>
                <w:sz w:val="20"/>
              </w:rPr>
            </w:pPr>
          </w:p>
          <w:p>
            <w:pPr>
              <w:pStyle w:val="TableParagraph"/>
              <w:spacing w:before="169"/>
              <w:ind w:left="284" w:right="383"/>
              <w:jc w:val="center"/>
              <w:rPr>
                <w:sz w:val="18"/>
              </w:rPr>
            </w:pPr>
            <w:r>
              <w:rPr>
                <w:sz w:val="18"/>
              </w:rPr>
              <w:t>26</w:t>
            </w:r>
          </w:p>
          <w:p>
            <w:pPr>
              <w:pStyle w:val="TableParagraph"/>
              <w:spacing w:before="2"/>
              <w:rPr>
                <w:b/>
                <w:sz w:val="20"/>
              </w:rPr>
            </w:pPr>
          </w:p>
          <w:p>
            <w:pPr>
              <w:pStyle w:val="TableParagraph"/>
              <w:ind w:left="409" w:right="383"/>
              <w:jc w:val="center"/>
              <w:rPr>
                <w:sz w:val="18"/>
              </w:rPr>
            </w:pPr>
            <w:r>
              <w:rPr>
                <w:sz w:val="18"/>
              </w:rPr>
              <w:t>24,8</w:t>
            </w:r>
          </w:p>
        </w:tc>
        <w:tc>
          <w:tcPr>
            <w:tcW w:w="1241" w:type="dxa"/>
          </w:tcPr>
          <w:p>
            <w:pPr>
              <w:pStyle w:val="TableParagraph"/>
              <w:rPr>
                <w:b/>
                <w:sz w:val="20"/>
              </w:rPr>
            </w:pPr>
          </w:p>
          <w:p>
            <w:pPr>
              <w:pStyle w:val="TableParagraph"/>
              <w:rPr>
                <w:b/>
                <w:sz w:val="20"/>
              </w:rPr>
            </w:pPr>
          </w:p>
          <w:p>
            <w:pPr>
              <w:pStyle w:val="TableParagraph"/>
              <w:spacing w:before="169"/>
              <w:ind w:left="281"/>
              <w:rPr>
                <w:sz w:val="18"/>
              </w:rPr>
            </w:pPr>
            <w:r>
              <w:rPr>
                <w:sz w:val="18"/>
              </w:rPr>
              <w:t>12</w:t>
            </w:r>
          </w:p>
          <w:p>
            <w:pPr>
              <w:pStyle w:val="TableParagraph"/>
              <w:spacing w:before="2"/>
              <w:rPr>
                <w:b/>
                <w:sz w:val="20"/>
              </w:rPr>
            </w:pPr>
          </w:p>
          <w:p>
            <w:pPr>
              <w:pStyle w:val="TableParagraph"/>
              <w:ind w:left="278"/>
              <w:rPr>
                <w:sz w:val="18"/>
              </w:rPr>
            </w:pPr>
            <w:r>
              <w:rPr>
                <w:sz w:val="18"/>
              </w:rPr>
              <w:t>11,4</w:t>
            </w:r>
          </w:p>
        </w:tc>
      </w:tr>
      <w:tr>
        <w:trPr>
          <w:trHeight w:val="2809" w:hRule="atLeast"/>
        </w:trPr>
        <w:tc>
          <w:tcPr>
            <w:tcW w:w="1637" w:type="dxa"/>
          </w:tcPr>
          <w:p>
            <w:pPr>
              <w:pStyle w:val="TableParagraph"/>
              <w:tabs>
                <w:tab w:pos="1299" w:val="left" w:leader="none"/>
              </w:tabs>
              <w:spacing w:before="109"/>
              <w:ind w:left="118"/>
              <w:rPr>
                <w:b/>
                <w:sz w:val="18"/>
              </w:rPr>
            </w:pPr>
            <w:r>
              <w:rPr>
                <w:b/>
                <w:sz w:val="18"/>
              </w:rPr>
              <w:t>Soru</w:t>
              <w:tab/>
              <w:t>64.</w:t>
            </w:r>
          </w:p>
          <w:p>
            <w:pPr>
              <w:pStyle w:val="TableParagraph"/>
              <w:tabs>
                <w:tab w:pos="1135" w:val="left" w:leader="none"/>
              </w:tabs>
              <w:spacing w:line="276" w:lineRule="auto" w:before="26"/>
              <w:ind w:left="118" w:right="109"/>
              <w:rPr>
                <w:sz w:val="18"/>
              </w:rPr>
            </w:pPr>
            <w:r>
              <w:rPr>
                <w:sz w:val="18"/>
              </w:rPr>
              <w:t>Kurumumun afette meydana gelebilecek kendinden kaynaklanan veya çevreden</w:t>
              <w:tab/>
              <w:t>gelen</w:t>
            </w:r>
          </w:p>
          <w:p>
            <w:pPr>
              <w:pStyle w:val="TableParagraph"/>
              <w:tabs>
                <w:tab w:pos="989" w:val="left" w:leader="none"/>
                <w:tab w:pos="1044" w:val="left" w:leader="none"/>
              </w:tabs>
              <w:spacing w:line="276" w:lineRule="auto" w:before="1"/>
              <w:ind w:left="118" w:right="107"/>
              <w:rPr>
                <w:sz w:val="18"/>
              </w:rPr>
            </w:pPr>
            <w:r>
              <w:rPr>
                <w:sz w:val="18"/>
              </w:rPr>
              <w:t>çevre</w:t>
              <w:tab/>
              <w:tab/>
              <w:t>sağlığı sorunlarını çözmeye</w:t>
              <w:tab/>
            </w:r>
            <w:r>
              <w:rPr>
                <w:spacing w:val="-1"/>
                <w:sz w:val="18"/>
              </w:rPr>
              <w:t>yönelik </w:t>
            </w:r>
            <w:r>
              <w:rPr>
                <w:sz w:val="18"/>
              </w:rPr>
              <w:t>bir planı</w:t>
            </w:r>
            <w:r>
              <w:rPr>
                <w:spacing w:val="-1"/>
                <w:sz w:val="18"/>
              </w:rPr>
              <w:t> </w:t>
            </w:r>
            <w:r>
              <w:rPr>
                <w:sz w:val="18"/>
              </w:rPr>
              <w:t>vardır.</w:t>
            </w:r>
          </w:p>
        </w:tc>
        <w:tc>
          <w:tcPr>
            <w:tcW w:w="980" w:type="dxa"/>
            <w:vMerge/>
            <w:tcBorders>
              <w:top w:val="nil"/>
              <w:bottom w:val="single" w:sz="4" w:space="0" w:color="000000"/>
            </w:tcBorders>
          </w:tcPr>
          <w:p>
            <w:pPr>
              <w:rPr>
                <w:sz w:val="2"/>
                <w:szCs w:val="2"/>
              </w:rPr>
            </w:pPr>
          </w:p>
        </w:tc>
        <w:tc>
          <w:tcPr>
            <w:tcW w:w="1160" w:type="dxa"/>
          </w:tcPr>
          <w:p>
            <w:pPr>
              <w:pStyle w:val="TableParagraph"/>
              <w:rPr>
                <w:b/>
                <w:sz w:val="20"/>
              </w:rPr>
            </w:pPr>
          </w:p>
          <w:p>
            <w:pPr>
              <w:pStyle w:val="TableParagraph"/>
              <w:spacing w:before="10"/>
              <w:rPr>
                <w:b/>
                <w:sz w:val="22"/>
              </w:rPr>
            </w:pPr>
          </w:p>
          <w:p>
            <w:pPr>
              <w:pStyle w:val="TableParagraph"/>
              <w:ind w:left="50"/>
              <w:jc w:val="center"/>
              <w:rPr>
                <w:sz w:val="18"/>
              </w:rPr>
            </w:pPr>
            <w:r>
              <w:rPr>
                <w:sz w:val="18"/>
              </w:rPr>
              <w:t>8</w:t>
            </w:r>
          </w:p>
          <w:p>
            <w:pPr>
              <w:pStyle w:val="TableParagraph"/>
              <w:spacing w:before="2"/>
              <w:rPr>
                <w:b/>
                <w:sz w:val="20"/>
              </w:rPr>
            </w:pPr>
          </w:p>
          <w:p>
            <w:pPr>
              <w:pStyle w:val="TableParagraph"/>
              <w:spacing w:before="1"/>
              <w:ind w:left="385" w:right="333"/>
              <w:jc w:val="center"/>
              <w:rPr>
                <w:sz w:val="18"/>
              </w:rPr>
            </w:pPr>
            <w:r>
              <w:rPr>
                <w:sz w:val="18"/>
              </w:rPr>
              <w:t>7,6</w:t>
            </w:r>
          </w:p>
        </w:tc>
        <w:tc>
          <w:tcPr>
            <w:tcW w:w="1262" w:type="dxa"/>
          </w:tcPr>
          <w:p>
            <w:pPr>
              <w:pStyle w:val="TableParagraph"/>
              <w:rPr>
                <w:b/>
                <w:sz w:val="20"/>
              </w:rPr>
            </w:pPr>
          </w:p>
          <w:p>
            <w:pPr>
              <w:pStyle w:val="TableParagraph"/>
              <w:spacing w:before="10"/>
              <w:rPr>
                <w:b/>
                <w:sz w:val="22"/>
              </w:rPr>
            </w:pPr>
          </w:p>
          <w:p>
            <w:pPr>
              <w:pStyle w:val="TableParagraph"/>
              <w:ind w:left="362"/>
              <w:rPr>
                <w:sz w:val="18"/>
              </w:rPr>
            </w:pPr>
            <w:r>
              <w:rPr>
                <w:sz w:val="18"/>
              </w:rPr>
              <w:t>19</w:t>
            </w:r>
          </w:p>
          <w:p>
            <w:pPr>
              <w:pStyle w:val="TableParagraph"/>
              <w:spacing w:before="2"/>
              <w:rPr>
                <w:b/>
                <w:sz w:val="20"/>
              </w:rPr>
            </w:pPr>
          </w:p>
          <w:p>
            <w:pPr>
              <w:pStyle w:val="TableParagraph"/>
              <w:spacing w:before="1"/>
              <w:ind w:left="360"/>
              <w:rPr>
                <w:sz w:val="18"/>
              </w:rPr>
            </w:pPr>
            <w:r>
              <w:rPr>
                <w:sz w:val="18"/>
              </w:rPr>
              <w:t>18,1</w:t>
            </w:r>
          </w:p>
        </w:tc>
        <w:tc>
          <w:tcPr>
            <w:tcW w:w="1086" w:type="dxa"/>
          </w:tcPr>
          <w:p>
            <w:pPr>
              <w:pStyle w:val="TableParagraph"/>
              <w:rPr>
                <w:b/>
                <w:sz w:val="20"/>
              </w:rPr>
            </w:pPr>
          </w:p>
          <w:p>
            <w:pPr>
              <w:pStyle w:val="TableParagraph"/>
              <w:spacing w:before="7"/>
              <w:rPr>
                <w:b/>
                <w:sz w:val="20"/>
              </w:rPr>
            </w:pPr>
          </w:p>
          <w:p>
            <w:pPr>
              <w:pStyle w:val="TableParagraph"/>
              <w:ind w:left="341"/>
              <w:rPr>
                <w:sz w:val="18"/>
              </w:rPr>
            </w:pPr>
            <w:r>
              <w:rPr>
                <w:sz w:val="18"/>
              </w:rPr>
              <w:t>38</w:t>
            </w:r>
          </w:p>
          <w:p>
            <w:pPr>
              <w:pStyle w:val="TableParagraph"/>
              <w:spacing w:before="2"/>
              <w:rPr>
                <w:b/>
                <w:sz w:val="20"/>
              </w:rPr>
            </w:pPr>
          </w:p>
          <w:p>
            <w:pPr>
              <w:pStyle w:val="TableParagraph"/>
              <w:ind w:left="339"/>
              <w:rPr>
                <w:sz w:val="18"/>
              </w:rPr>
            </w:pPr>
            <w:r>
              <w:rPr>
                <w:sz w:val="18"/>
              </w:rPr>
              <w:t>36,2</w:t>
            </w:r>
          </w:p>
        </w:tc>
        <w:tc>
          <w:tcPr>
            <w:tcW w:w="1147" w:type="dxa"/>
          </w:tcPr>
          <w:p>
            <w:pPr>
              <w:pStyle w:val="TableParagraph"/>
              <w:rPr>
                <w:b/>
                <w:sz w:val="20"/>
              </w:rPr>
            </w:pPr>
          </w:p>
          <w:p>
            <w:pPr>
              <w:pStyle w:val="TableParagraph"/>
              <w:spacing w:before="3"/>
              <w:rPr>
                <w:b/>
                <w:sz w:val="18"/>
              </w:rPr>
            </w:pPr>
          </w:p>
          <w:p>
            <w:pPr>
              <w:pStyle w:val="TableParagraph"/>
              <w:spacing w:before="1"/>
              <w:ind w:left="284" w:right="383"/>
              <w:jc w:val="center"/>
              <w:rPr>
                <w:sz w:val="18"/>
              </w:rPr>
            </w:pPr>
            <w:r>
              <w:rPr>
                <w:sz w:val="18"/>
              </w:rPr>
              <w:t>31</w:t>
            </w:r>
          </w:p>
          <w:p>
            <w:pPr>
              <w:pStyle w:val="TableParagraph"/>
              <w:spacing w:before="2"/>
              <w:rPr>
                <w:b/>
                <w:sz w:val="20"/>
              </w:rPr>
            </w:pPr>
          </w:p>
          <w:p>
            <w:pPr>
              <w:pStyle w:val="TableParagraph"/>
              <w:ind w:left="409" w:right="383"/>
              <w:jc w:val="center"/>
              <w:rPr>
                <w:sz w:val="18"/>
              </w:rPr>
            </w:pPr>
            <w:r>
              <w:rPr>
                <w:sz w:val="18"/>
              </w:rPr>
              <w:t>29,5</w:t>
            </w:r>
          </w:p>
        </w:tc>
        <w:tc>
          <w:tcPr>
            <w:tcW w:w="1241" w:type="dxa"/>
          </w:tcPr>
          <w:p>
            <w:pPr>
              <w:pStyle w:val="TableParagraph"/>
              <w:rPr>
                <w:b/>
                <w:sz w:val="20"/>
              </w:rPr>
            </w:pPr>
          </w:p>
          <w:p>
            <w:pPr>
              <w:pStyle w:val="TableParagraph"/>
              <w:rPr>
                <w:b/>
                <w:sz w:val="16"/>
              </w:rPr>
            </w:pPr>
          </w:p>
          <w:p>
            <w:pPr>
              <w:pStyle w:val="TableParagraph"/>
              <w:ind w:left="369"/>
              <w:rPr>
                <w:sz w:val="18"/>
              </w:rPr>
            </w:pPr>
            <w:r>
              <w:rPr>
                <w:sz w:val="18"/>
              </w:rPr>
              <w:t>9</w:t>
            </w:r>
          </w:p>
          <w:p>
            <w:pPr>
              <w:pStyle w:val="TableParagraph"/>
              <w:spacing w:before="2"/>
              <w:rPr>
                <w:b/>
                <w:sz w:val="20"/>
              </w:rPr>
            </w:pPr>
          </w:p>
          <w:p>
            <w:pPr>
              <w:pStyle w:val="TableParagraph"/>
              <w:ind w:left="369"/>
              <w:rPr>
                <w:sz w:val="18"/>
              </w:rPr>
            </w:pPr>
            <w:r>
              <w:rPr>
                <w:sz w:val="18"/>
              </w:rPr>
              <w:t>8,6</w:t>
            </w:r>
          </w:p>
        </w:tc>
      </w:tr>
      <w:tr>
        <w:trPr>
          <w:trHeight w:val="1061" w:hRule="atLeast"/>
        </w:trPr>
        <w:tc>
          <w:tcPr>
            <w:tcW w:w="1637" w:type="dxa"/>
            <w:tcBorders>
              <w:bottom w:val="single" w:sz="4" w:space="0" w:color="000000"/>
            </w:tcBorders>
          </w:tcPr>
          <w:p>
            <w:pPr>
              <w:pStyle w:val="TableParagraph"/>
              <w:tabs>
                <w:tab w:pos="1301" w:val="left" w:leader="none"/>
              </w:tabs>
              <w:spacing w:before="108"/>
              <w:ind w:left="164"/>
              <w:rPr>
                <w:b/>
                <w:sz w:val="18"/>
              </w:rPr>
            </w:pPr>
            <w:r>
              <w:rPr>
                <w:b/>
                <w:sz w:val="18"/>
              </w:rPr>
              <w:t>Soru</w:t>
              <w:tab/>
              <w:t>65.</w:t>
            </w:r>
          </w:p>
          <w:p>
            <w:pPr>
              <w:pStyle w:val="TableParagraph"/>
              <w:spacing w:before="26"/>
              <w:ind w:left="118"/>
              <w:rPr>
                <w:sz w:val="18"/>
              </w:rPr>
            </w:pPr>
            <w:r>
              <w:rPr>
                <w:sz w:val="18"/>
              </w:rPr>
              <w:t>Kurumumun</w:t>
            </w:r>
          </w:p>
          <w:p>
            <w:pPr>
              <w:pStyle w:val="TableParagraph"/>
              <w:tabs>
                <w:tab w:pos="1018" w:val="left" w:leader="none"/>
              </w:tabs>
              <w:spacing w:line="230" w:lineRule="atLeast" w:before="10"/>
              <w:ind w:left="118" w:right="105"/>
              <w:rPr>
                <w:sz w:val="18"/>
              </w:rPr>
            </w:pPr>
            <w:r>
              <w:rPr>
                <w:sz w:val="18"/>
              </w:rPr>
              <w:t>afetlerde</w:t>
              <w:tab/>
              <w:t>toplum sağlığı</w:t>
            </w:r>
            <w:r>
              <w:rPr>
                <w:spacing w:val="7"/>
                <w:sz w:val="18"/>
              </w:rPr>
              <w:t> </w:t>
            </w:r>
            <w:r>
              <w:rPr>
                <w:sz w:val="18"/>
              </w:rPr>
              <w:t>hizmetlerini</w:t>
            </w:r>
          </w:p>
        </w:tc>
        <w:tc>
          <w:tcPr>
            <w:tcW w:w="980" w:type="dxa"/>
            <w:vMerge/>
            <w:tcBorders>
              <w:top w:val="nil"/>
              <w:bottom w:val="single" w:sz="4" w:space="0" w:color="000000"/>
            </w:tcBorders>
          </w:tcPr>
          <w:p>
            <w:pPr>
              <w:rPr>
                <w:sz w:val="2"/>
                <w:szCs w:val="2"/>
              </w:rPr>
            </w:pPr>
          </w:p>
        </w:tc>
        <w:tc>
          <w:tcPr>
            <w:tcW w:w="1160" w:type="dxa"/>
            <w:tcBorders>
              <w:bottom w:val="single" w:sz="4" w:space="0" w:color="000000"/>
            </w:tcBorders>
          </w:tcPr>
          <w:p>
            <w:pPr>
              <w:pStyle w:val="TableParagraph"/>
              <w:rPr>
                <w:b/>
                <w:sz w:val="20"/>
              </w:rPr>
            </w:pPr>
          </w:p>
          <w:p>
            <w:pPr>
              <w:pStyle w:val="TableParagraph"/>
              <w:spacing w:before="1"/>
              <w:rPr>
                <w:b/>
                <w:sz w:val="26"/>
              </w:rPr>
            </w:pPr>
          </w:p>
          <w:p>
            <w:pPr>
              <w:pStyle w:val="TableParagraph"/>
              <w:spacing w:before="1"/>
              <w:ind w:left="50"/>
              <w:jc w:val="center"/>
              <w:rPr>
                <w:sz w:val="18"/>
              </w:rPr>
            </w:pPr>
            <w:r>
              <w:rPr>
                <w:sz w:val="18"/>
              </w:rPr>
              <w:t>7</w:t>
            </w:r>
          </w:p>
        </w:tc>
        <w:tc>
          <w:tcPr>
            <w:tcW w:w="1262" w:type="dxa"/>
            <w:tcBorders>
              <w:bottom w:val="single" w:sz="4" w:space="0" w:color="000000"/>
            </w:tcBorders>
          </w:tcPr>
          <w:p>
            <w:pPr>
              <w:pStyle w:val="TableParagraph"/>
              <w:rPr>
                <w:b/>
                <w:sz w:val="20"/>
              </w:rPr>
            </w:pPr>
          </w:p>
          <w:p>
            <w:pPr>
              <w:pStyle w:val="TableParagraph"/>
              <w:spacing w:before="1"/>
              <w:rPr>
                <w:b/>
                <w:sz w:val="26"/>
              </w:rPr>
            </w:pPr>
          </w:p>
          <w:p>
            <w:pPr>
              <w:pStyle w:val="TableParagraph"/>
              <w:spacing w:before="1"/>
              <w:ind w:left="362"/>
              <w:rPr>
                <w:sz w:val="18"/>
              </w:rPr>
            </w:pPr>
            <w:r>
              <w:rPr>
                <w:sz w:val="18"/>
              </w:rPr>
              <w:t>17</w:t>
            </w:r>
          </w:p>
        </w:tc>
        <w:tc>
          <w:tcPr>
            <w:tcW w:w="1086" w:type="dxa"/>
            <w:tcBorders>
              <w:bottom w:val="single" w:sz="4" w:space="0" w:color="000000"/>
            </w:tcBorders>
          </w:tcPr>
          <w:p>
            <w:pPr>
              <w:pStyle w:val="TableParagraph"/>
              <w:rPr>
                <w:b/>
                <w:sz w:val="20"/>
              </w:rPr>
            </w:pPr>
          </w:p>
          <w:p>
            <w:pPr>
              <w:pStyle w:val="TableParagraph"/>
              <w:spacing w:before="1"/>
              <w:rPr>
                <w:b/>
                <w:sz w:val="26"/>
              </w:rPr>
            </w:pPr>
          </w:p>
          <w:p>
            <w:pPr>
              <w:pStyle w:val="TableParagraph"/>
              <w:spacing w:before="1"/>
              <w:ind w:left="341"/>
              <w:rPr>
                <w:sz w:val="18"/>
              </w:rPr>
            </w:pPr>
            <w:r>
              <w:rPr>
                <w:sz w:val="18"/>
              </w:rPr>
              <w:t>34</w:t>
            </w:r>
          </w:p>
        </w:tc>
        <w:tc>
          <w:tcPr>
            <w:tcW w:w="1147" w:type="dxa"/>
            <w:tcBorders>
              <w:bottom w:val="single" w:sz="4" w:space="0" w:color="000000"/>
            </w:tcBorders>
          </w:tcPr>
          <w:p>
            <w:pPr>
              <w:pStyle w:val="TableParagraph"/>
              <w:rPr>
                <w:b/>
                <w:sz w:val="20"/>
              </w:rPr>
            </w:pPr>
          </w:p>
          <w:p>
            <w:pPr>
              <w:pStyle w:val="TableParagraph"/>
              <w:spacing w:before="1"/>
              <w:rPr>
                <w:b/>
                <w:sz w:val="26"/>
              </w:rPr>
            </w:pPr>
          </w:p>
          <w:p>
            <w:pPr>
              <w:pStyle w:val="TableParagraph"/>
              <w:spacing w:before="1"/>
              <w:ind w:left="284" w:right="383"/>
              <w:jc w:val="center"/>
              <w:rPr>
                <w:sz w:val="18"/>
              </w:rPr>
            </w:pPr>
            <w:r>
              <w:rPr>
                <w:sz w:val="18"/>
              </w:rPr>
              <w:t>34</w:t>
            </w:r>
          </w:p>
        </w:tc>
        <w:tc>
          <w:tcPr>
            <w:tcW w:w="1241" w:type="dxa"/>
            <w:tcBorders>
              <w:bottom w:val="single" w:sz="4" w:space="0" w:color="000000"/>
            </w:tcBorders>
          </w:tcPr>
          <w:p>
            <w:pPr>
              <w:pStyle w:val="TableParagraph"/>
              <w:rPr>
                <w:b/>
                <w:sz w:val="20"/>
              </w:rPr>
            </w:pPr>
          </w:p>
          <w:p>
            <w:pPr>
              <w:pStyle w:val="TableParagraph"/>
              <w:spacing w:before="10"/>
              <w:rPr>
                <w:b/>
                <w:sz w:val="23"/>
              </w:rPr>
            </w:pPr>
          </w:p>
          <w:p>
            <w:pPr>
              <w:pStyle w:val="TableParagraph"/>
              <w:ind w:left="281"/>
              <w:rPr>
                <w:sz w:val="18"/>
              </w:rPr>
            </w:pPr>
            <w:r>
              <w:rPr>
                <w:sz w:val="18"/>
              </w:rPr>
              <w:t>13</w:t>
            </w:r>
          </w:p>
        </w:tc>
      </w:tr>
    </w:tbl>
    <w:p>
      <w:pPr>
        <w:spacing w:after="0"/>
        <w:rPr>
          <w:sz w:val="18"/>
        </w:rPr>
        <w:sectPr>
          <w:pgSz w:w="11910" w:h="16840"/>
          <w:pgMar w:header="0" w:footer="976" w:top="1580" w:bottom="1240" w:left="1140" w:right="520"/>
        </w:sectPr>
      </w:pPr>
    </w:p>
    <w:p>
      <w:pPr>
        <w:pStyle w:val="BodyText"/>
        <w:spacing w:before="11"/>
        <w:rPr>
          <w:b/>
          <w:sz w:val="8"/>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631"/>
        <w:gridCol w:w="1027"/>
        <w:gridCol w:w="1074"/>
        <w:gridCol w:w="1178"/>
        <w:gridCol w:w="1208"/>
        <w:gridCol w:w="1086"/>
        <w:gridCol w:w="1058"/>
      </w:tblGrid>
      <w:tr>
        <w:trPr>
          <w:trHeight w:val="1389" w:hRule="atLeast"/>
        </w:trPr>
        <w:tc>
          <w:tcPr>
            <w:tcW w:w="1631" w:type="dxa"/>
            <w:tcBorders>
              <w:top w:val="single" w:sz="4" w:space="0" w:color="000000"/>
              <w:bottom w:val="single" w:sz="4" w:space="0" w:color="000000"/>
            </w:tcBorders>
          </w:tcPr>
          <w:p>
            <w:pPr>
              <w:pStyle w:val="TableParagraph"/>
              <w:tabs>
                <w:tab w:pos="1024" w:val="left" w:leader="none"/>
              </w:tabs>
              <w:spacing w:line="276" w:lineRule="auto"/>
              <w:ind w:left="115" w:right="106"/>
              <w:rPr>
                <w:sz w:val="18"/>
              </w:rPr>
            </w:pPr>
            <w:r>
              <w:rPr>
                <w:sz w:val="18"/>
              </w:rPr>
              <w:t>izleyecek değerlendirilecek ve gerektiği zaman müdahale</w:t>
              <w:tab/>
            </w:r>
            <w:r>
              <w:rPr>
                <w:spacing w:val="-1"/>
                <w:sz w:val="18"/>
              </w:rPr>
              <w:t>edecek </w:t>
            </w:r>
            <w:r>
              <w:rPr>
                <w:sz w:val="18"/>
              </w:rPr>
              <w:t>planı</w:t>
            </w:r>
            <w:r>
              <w:rPr>
                <w:spacing w:val="-1"/>
                <w:sz w:val="18"/>
              </w:rPr>
              <w:t> </w:t>
            </w:r>
            <w:r>
              <w:rPr>
                <w:sz w:val="18"/>
              </w:rPr>
              <w:t>vardır.</w:t>
            </w:r>
          </w:p>
        </w:tc>
        <w:tc>
          <w:tcPr>
            <w:tcW w:w="1027" w:type="dxa"/>
            <w:tcBorders>
              <w:top w:val="single" w:sz="4" w:space="0" w:color="000000"/>
              <w:bottom w:val="single" w:sz="4" w:space="0" w:color="000000"/>
            </w:tcBorders>
          </w:tcPr>
          <w:p>
            <w:pPr>
              <w:pStyle w:val="TableParagraph"/>
              <w:spacing w:line="276" w:lineRule="auto"/>
              <w:ind w:left="200" w:right="429" w:hanging="92"/>
              <w:rPr>
                <w:sz w:val="18"/>
              </w:rPr>
            </w:pPr>
            <w:r>
              <w:rPr>
                <w:sz w:val="18"/>
              </w:rPr>
              <w:t>Yüzde (%)</w:t>
            </w:r>
          </w:p>
        </w:tc>
        <w:tc>
          <w:tcPr>
            <w:tcW w:w="1074" w:type="dxa"/>
            <w:tcBorders>
              <w:top w:val="single" w:sz="4" w:space="0" w:color="000000"/>
              <w:bottom w:val="single" w:sz="4" w:space="0" w:color="000000"/>
            </w:tcBorders>
          </w:tcPr>
          <w:p>
            <w:pPr>
              <w:pStyle w:val="TableParagraph"/>
              <w:spacing w:line="202" w:lineRule="exact"/>
              <w:ind w:left="428" w:right="380"/>
              <w:jc w:val="center"/>
              <w:rPr>
                <w:sz w:val="18"/>
              </w:rPr>
            </w:pPr>
            <w:r>
              <w:rPr>
                <w:sz w:val="18"/>
              </w:rPr>
              <w:t>6,7</w:t>
            </w:r>
          </w:p>
        </w:tc>
        <w:tc>
          <w:tcPr>
            <w:tcW w:w="1178" w:type="dxa"/>
            <w:tcBorders>
              <w:top w:val="single" w:sz="4" w:space="0" w:color="000000"/>
              <w:bottom w:val="single" w:sz="4" w:space="0" w:color="000000"/>
            </w:tcBorders>
          </w:tcPr>
          <w:p>
            <w:pPr>
              <w:pStyle w:val="TableParagraph"/>
              <w:spacing w:line="202" w:lineRule="exact"/>
              <w:ind w:left="383" w:right="440"/>
              <w:jc w:val="center"/>
              <w:rPr>
                <w:sz w:val="18"/>
              </w:rPr>
            </w:pPr>
            <w:r>
              <w:rPr>
                <w:sz w:val="18"/>
              </w:rPr>
              <w:t>16,2</w:t>
            </w:r>
          </w:p>
        </w:tc>
        <w:tc>
          <w:tcPr>
            <w:tcW w:w="1208" w:type="dxa"/>
            <w:tcBorders>
              <w:top w:val="single" w:sz="4" w:space="0" w:color="000000"/>
              <w:bottom w:val="single" w:sz="4" w:space="0" w:color="000000"/>
            </w:tcBorders>
          </w:tcPr>
          <w:p>
            <w:pPr>
              <w:pStyle w:val="TableParagraph"/>
              <w:spacing w:line="202" w:lineRule="exact"/>
              <w:ind w:left="444" w:right="408"/>
              <w:jc w:val="center"/>
              <w:rPr>
                <w:sz w:val="18"/>
              </w:rPr>
            </w:pPr>
            <w:r>
              <w:rPr>
                <w:sz w:val="18"/>
              </w:rPr>
              <w:t>32,4</w:t>
            </w:r>
          </w:p>
        </w:tc>
        <w:tc>
          <w:tcPr>
            <w:tcW w:w="1086" w:type="dxa"/>
            <w:tcBorders>
              <w:top w:val="single" w:sz="4" w:space="0" w:color="000000"/>
              <w:bottom w:val="single" w:sz="4" w:space="0" w:color="000000"/>
            </w:tcBorders>
          </w:tcPr>
          <w:p>
            <w:pPr>
              <w:pStyle w:val="TableParagraph"/>
              <w:spacing w:line="202" w:lineRule="exact"/>
              <w:ind w:left="432"/>
              <w:rPr>
                <w:sz w:val="18"/>
              </w:rPr>
            </w:pPr>
            <w:r>
              <w:rPr>
                <w:sz w:val="18"/>
              </w:rPr>
              <w:t>32,4</w:t>
            </w:r>
          </w:p>
        </w:tc>
        <w:tc>
          <w:tcPr>
            <w:tcW w:w="1058" w:type="dxa"/>
            <w:tcBorders>
              <w:top w:val="single" w:sz="4" w:space="0" w:color="000000"/>
              <w:bottom w:val="single" w:sz="4" w:space="0" w:color="000000"/>
            </w:tcBorders>
          </w:tcPr>
          <w:p>
            <w:pPr>
              <w:pStyle w:val="TableParagraph"/>
              <w:spacing w:line="202" w:lineRule="exact"/>
              <w:ind w:left="343"/>
              <w:rPr>
                <w:sz w:val="18"/>
              </w:rPr>
            </w:pPr>
            <w:r>
              <w:rPr>
                <w:sz w:val="18"/>
              </w:rPr>
              <w:t>12,4</w:t>
            </w:r>
          </w:p>
        </w:tc>
      </w:tr>
    </w:tbl>
    <w:p>
      <w:pPr>
        <w:pStyle w:val="BodyText"/>
        <w:spacing w:before="9"/>
        <w:rPr>
          <w:b/>
          <w:sz w:val="27"/>
        </w:rPr>
      </w:pPr>
    </w:p>
    <w:p>
      <w:pPr>
        <w:pStyle w:val="BodyText"/>
        <w:spacing w:line="360" w:lineRule="auto" w:before="90"/>
        <w:ind w:left="1128" w:right="609" w:firstLine="708"/>
        <w:jc w:val="both"/>
      </w:pPr>
      <w:r>
        <w:rPr/>
        <w:t>‘‘Kurumum çalışan personelinin afette ruh sağlığı yönünden etkileneceğini düşünerek hazırlıklarını yapar (soru 62)’’ sorusuna, kesinlikle katılmıyorum şıkkının işaretlenme oranı %13,3, katılmıyorum şıkkının işaretlenme oranı %19,0, kararsızım şıkkının işaretlenme oranı %34,3, katılıyorum şıkkının işaretlenme oranı %21,9, kesinlikle katılıyorum şıkkının işaretlenme oranı %11,4’tür.</w:t>
      </w:r>
    </w:p>
    <w:p>
      <w:pPr>
        <w:pStyle w:val="BodyText"/>
        <w:spacing w:line="360" w:lineRule="auto"/>
        <w:ind w:left="1128" w:right="608" w:firstLine="708"/>
        <w:jc w:val="both"/>
      </w:pPr>
      <w:r>
        <w:rPr/>
        <w:t>‘‘Kurumum personelinin afetten etkileneceği gibi afetten etkilenenlere yönelik hizmet vereceğini bilerek personelinin afetlerde ruh sağlığı yönünden birbirlerine ve afetzedelere yardımcı olacak şekilde yetiştirir (soru 63)’’ sorusuna, kesinlikle katılmıyorum şıkkının işaretlenme oranı %7,6, katılmıyorum şıkkının işaretlenme oranı</w:t>
      </w:r>
    </w:p>
    <w:p>
      <w:pPr>
        <w:pStyle w:val="BodyText"/>
        <w:spacing w:line="360" w:lineRule="auto"/>
        <w:ind w:left="1128" w:right="613"/>
      </w:pPr>
      <w:r>
        <w:rPr/>
        <w:t>%19,0, kararsızım şıkkının işaretlenme oranı %37,1, katılıyorum şıkkının işaretlenme oranı %24,8, kesinlikle katılıyorum şıkkının işaretlenme oranı 11,4’tür.</w:t>
      </w:r>
    </w:p>
    <w:p>
      <w:pPr>
        <w:pStyle w:val="BodyText"/>
        <w:spacing w:line="360" w:lineRule="auto"/>
        <w:ind w:left="1128" w:right="609" w:firstLine="708"/>
        <w:jc w:val="both"/>
      </w:pPr>
      <w:r>
        <w:rPr/>
        <w:t>‘‘Kurumumun</w:t>
      </w:r>
      <w:r>
        <w:rPr>
          <w:spacing w:val="-8"/>
        </w:rPr>
        <w:t> </w:t>
      </w:r>
      <w:r>
        <w:rPr/>
        <w:t>afette</w:t>
      </w:r>
      <w:r>
        <w:rPr>
          <w:spacing w:val="-8"/>
        </w:rPr>
        <w:t> </w:t>
      </w:r>
      <w:r>
        <w:rPr/>
        <w:t>meydana</w:t>
      </w:r>
      <w:r>
        <w:rPr>
          <w:spacing w:val="-7"/>
        </w:rPr>
        <w:t> </w:t>
      </w:r>
      <w:r>
        <w:rPr/>
        <w:t>gelebilecek</w:t>
      </w:r>
      <w:r>
        <w:rPr>
          <w:spacing w:val="-5"/>
        </w:rPr>
        <w:t> </w:t>
      </w:r>
      <w:r>
        <w:rPr/>
        <w:t>kendinden</w:t>
      </w:r>
      <w:r>
        <w:rPr>
          <w:spacing w:val="-8"/>
        </w:rPr>
        <w:t> </w:t>
      </w:r>
      <w:r>
        <w:rPr/>
        <w:t>kaynaklanan</w:t>
      </w:r>
      <w:r>
        <w:rPr>
          <w:spacing w:val="-7"/>
        </w:rPr>
        <w:t> </w:t>
      </w:r>
      <w:r>
        <w:rPr/>
        <w:t>veya</w:t>
      </w:r>
      <w:r>
        <w:rPr>
          <w:spacing w:val="-6"/>
        </w:rPr>
        <w:t> </w:t>
      </w:r>
      <w:r>
        <w:rPr/>
        <w:t>çevreden gelen çevre sağlığı sorunlarını çözmeye yönelik bir planı vardır (soru 64)’’ sorusuna, kesinlikle katılmıyorum şıkkının işaretlenme oranı %7,6, katılmıyorum şıkkının işaretlenme oranı %18,1, kararsızım şıkkının işaretlenme oranı %36,2, katılıyorum şıkkının işaretlenme oranı %29,5, kesinlikle katılıyorum şıkkının işaretlenme</w:t>
      </w:r>
      <w:r>
        <w:rPr>
          <w:spacing w:val="42"/>
        </w:rPr>
        <w:t> </w:t>
      </w:r>
      <w:r>
        <w:rPr/>
        <w:t>oranı</w:t>
      </w:r>
    </w:p>
    <w:p>
      <w:pPr>
        <w:pStyle w:val="BodyText"/>
        <w:spacing w:before="1"/>
        <w:ind w:left="1128"/>
      </w:pPr>
      <w:r>
        <w:rPr/>
        <w:t>%8,6’dır.</w:t>
      </w:r>
    </w:p>
    <w:p>
      <w:pPr>
        <w:pStyle w:val="BodyText"/>
        <w:spacing w:line="360" w:lineRule="auto" w:before="137"/>
        <w:ind w:left="1128" w:right="610" w:firstLine="708"/>
        <w:jc w:val="both"/>
      </w:pPr>
      <w:r>
        <w:rPr/>
        <w:t>‘‘Kurumumun afetlerde toplum sağlığı hizmetlerini izleyecek değerlendirilecek ve gerektiği zaman müdahale edecek planı vardır (soru 65)’’ sorusuna, kesinlikle katılmıyorum şıkkının işaretlenme oranı %6,7, katılmıyorum şıkkının işaretlenme oranı</w:t>
      </w:r>
    </w:p>
    <w:p>
      <w:pPr>
        <w:pStyle w:val="BodyText"/>
        <w:spacing w:line="360" w:lineRule="auto" w:before="1"/>
        <w:ind w:left="1128" w:right="613"/>
      </w:pPr>
      <w:r>
        <w:rPr/>
        <w:t>%16,2, kararsızım şıkkının işaretlenme oranı %32,4, katılıyorum şıkkının işaretlenme oranı %32,4, kesinlikle katılıyorum şıkkının işaretlenme oranı %12,4’tür.</w:t>
      </w:r>
    </w:p>
    <w:p>
      <w:pPr>
        <w:pStyle w:val="BodyText"/>
        <w:spacing w:before="5"/>
        <w:rPr>
          <w:sz w:val="36"/>
        </w:rPr>
      </w:pPr>
    </w:p>
    <w:p>
      <w:pPr>
        <w:pStyle w:val="Heading1"/>
        <w:numPr>
          <w:ilvl w:val="1"/>
          <w:numId w:val="12"/>
        </w:numPr>
        <w:tabs>
          <w:tab w:pos="2377" w:val="left" w:leader="none"/>
        </w:tabs>
        <w:spacing w:line="240" w:lineRule="auto" w:before="0" w:after="0"/>
        <w:ind w:left="2376" w:right="0" w:hanging="540"/>
        <w:jc w:val="left"/>
      </w:pPr>
      <w:bookmarkStart w:name="_bookmark54" w:id="121"/>
      <w:bookmarkEnd w:id="121"/>
      <w:r>
        <w:rPr>
          <w:b w:val="0"/>
        </w:rPr>
      </w:r>
      <w:bookmarkStart w:name="_bookmark54" w:id="122"/>
      <w:bookmarkEnd w:id="122"/>
      <w:r>
        <w:rPr/>
        <w:t>Hipot</w:t>
      </w:r>
      <w:r>
        <w:rPr/>
        <w:t>ezlerin Değerlendirilmesi</w:t>
      </w:r>
    </w:p>
    <w:p>
      <w:pPr>
        <w:pStyle w:val="BodyText"/>
        <w:spacing w:line="360" w:lineRule="auto" w:before="132"/>
        <w:ind w:left="1128" w:right="616" w:firstLine="708"/>
        <w:jc w:val="both"/>
      </w:pPr>
      <w:r>
        <w:rPr/>
        <w:t>H1: Gümüşhane 112’de çalışan personelin afet planları ile ilgili düşünceleri, cinsiyete göre anlamlı bir farklılık göstermektedir.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firstLine="708"/>
        <w:jc w:val="both"/>
      </w:pPr>
      <w:r>
        <w:rPr/>
        <w:t>Birinci hipotezde parametrik test olan T-testi kullanılmıştır. T-testi, ilişkisiz (bağımsız) gruplardan elde edilen veri değerlerinin ortalamaları arasında istatistiksel olarak anlamlı fark olup olmadığını belirlemek için kullanılmaktadır (Can, 2014: 115).</w:t>
      </w:r>
    </w:p>
    <w:p>
      <w:pPr>
        <w:pStyle w:val="BodyText"/>
        <w:rPr>
          <w:sz w:val="36"/>
        </w:rPr>
      </w:pPr>
    </w:p>
    <w:p>
      <w:pPr>
        <w:pStyle w:val="BodyText"/>
        <w:spacing w:line="360" w:lineRule="auto"/>
        <w:ind w:left="1128" w:right="617" w:firstLine="708"/>
        <w:jc w:val="both"/>
      </w:pPr>
      <w:r>
        <w:rPr/>
        <w:t>Araştırma</w:t>
      </w:r>
      <w:r>
        <w:rPr>
          <w:spacing w:val="-9"/>
        </w:rPr>
        <w:t> </w:t>
      </w:r>
      <w:r>
        <w:rPr/>
        <w:t>grubundaki</w:t>
      </w:r>
      <w:r>
        <w:rPr>
          <w:spacing w:val="-9"/>
        </w:rPr>
        <w:t> </w:t>
      </w:r>
      <w:r>
        <w:rPr/>
        <w:t>kişilerin</w:t>
      </w:r>
      <w:r>
        <w:rPr>
          <w:spacing w:val="-9"/>
        </w:rPr>
        <w:t> </w:t>
      </w:r>
      <w:r>
        <w:rPr/>
        <w:t>afet</w:t>
      </w:r>
      <w:r>
        <w:rPr>
          <w:spacing w:val="-9"/>
        </w:rPr>
        <w:t> </w:t>
      </w:r>
      <w:r>
        <w:rPr/>
        <w:t>planları</w:t>
      </w:r>
      <w:r>
        <w:rPr>
          <w:spacing w:val="-11"/>
        </w:rPr>
        <w:t> </w:t>
      </w:r>
      <w:r>
        <w:rPr/>
        <w:t>ile</w:t>
      </w:r>
      <w:r>
        <w:rPr>
          <w:spacing w:val="-11"/>
        </w:rPr>
        <w:t> </w:t>
      </w:r>
      <w:r>
        <w:rPr/>
        <w:t>ilgili</w:t>
      </w:r>
      <w:r>
        <w:rPr>
          <w:spacing w:val="-9"/>
        </w:rPr>
        <w:t> </w:t>
      </w:r>
      <w:r>
        <w:rPr/>
        <w:t>düşüncelerinin</w:t>
      </w:r>
      <w:r>
        <w:rPr>
          <w:spacing w:val="-10"/>
        </w:rPr>
        <w:t> </w:t>
      </w:r>
      <w:r>
        <w:rPr/>
        <w:t>cinsiyete</w:t>
      </w:r>
      <w:r>
        <w:rPr>
          <w:spacing w:val="-8"/>
        </w:rPr>
        <w:t> </w:t>
      </w:r>
      <w:r>
        <w:rPr/>
        <w:t>göre karşılaştırılması Tablo 4. 14’de</w:t>
      </w:r>
      <w:r>
        <w:rPr>
          <w:spacing w:val="-1"/>
        </w:rPr>
        <w:t> </w:t>
      </w:r>
      <w:r>
        <w:rPr/>
        <w:t>gösterilmiştir.</w:t>
      </w:r>
    </w:p>
    <w:p>
      <w:pPr>
        <w:pStyle w:val="BodyText"/>
        <w:rPr>
          <w:sz w:val="26"/>
        </w:rPr>
      </w:pPr>
    </w:p>
    <w:p>
      <w:pPr>
        <w:pStyle w:val="Heading1"/>
        <w:spacing w:line="259" w:lineRule="auto" w:before="162"/>
        <w:ind w:left="2917" w:right="1118" w:hanging="1273"/>
      </w:pPr>
      <w:r>
        <w:rPr/>
        <w:t>Tablo 4. 14. Gümüşhane 112’de Çalışan Personelin Afet Planları İle İlgili Düşüncelerinin Cinsiyete Göre Karşılaştırılması</w:t>
      </w:r>
    </w:p>
    <w:p>
      <w:pPr>
        <w:pStyle w:val="BodyText"/>
        <w:spacing w:before="5"/>
        <w:rPr>
          <w:b/>
          <w:sz w:val="14"/>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408"/>
        <w:gridCol w:w="836"/>
        <w:gridCol w:w="714"/>
        <w:gridCol w:w="922"/>
        <w:gridCol w:w="649"/>
        <w:gridCol w:w="1138"/>
        <w:gridCol w:w="1085"/>
        <w:gridCol w:w="679"/>
        <w:gridCol w:w="831"/>
      </w:tblGrid>
      <w:tr>
        <w:trPr>
          <w:trHeight w:val="891" w:hRule="atLeast"/>
        </w:trPr>
        <w:tc>
          <w:tcPr>
            <w:tcW w:w="2958" w:type="dxa"/>
            <w:gridSpan w:val="3"/>
            <w:tcBorders>
              <w:top w:val="single" w:sz="4" w:space="0" w:color="000000"/>
            </w:tcBorders>
          </w:tcPr>
          <w:p>
            <w:pPr>
              <w:pStyle w:val="TableParagraph"/>
              <w:ind w:left="1461" w:right="370"/>
              <w:rPr>
                <w:b/>
                <w:sz w:val="22"/>
              </w:rPr>
            </w:pPr>
            <w:r>
              <w:rPr>
                <w:b/>
                <w:sz w:val="22"/>
              </w:rPr>
              <w:t>Levene’ nin Varyans</w:t>
            </w:r>
          </w:p>
          <w:p>
            <w:pPr>
              <w:pStyle w:val="TableParagraph"/>
              <w:tabs>
                <w:tab w:pos="1461" w:val="left" w:leader="none"/>
                <w:tab w:pos="8264" w:val="left" w:leader="none"/>
              </w:tabs>
              <w:ind w:right="-5314"/>
              <w:rPr>
                <w:b/>
                <w:sz w:val="22"/>
              </w:rPr>
            </w:pPr>
            <w:r>
              <w:rPr>
                <w:w w:val="100"/>
                <w:sz w:val="22"/>
                <w:u w:val="single"/>
              </w:rPr>
              <w:t> </w:t>
            </w:r>
            <w:r>
              <w:rPr>
                <w:sz w:val="22"/>
                <w:u w:val="single"/>
              </w:rPr>
              <w:tab/>
            </w:r>
            <w:r>
              <w:rPr>
                <w:b/>
                <w:sz w:val="22"/>
                <w:u w:val="single"/>
              </w:rPr>
              <w:t>Eşitliği</w:t>
            </w:r>
            <w:r>
              <w:rPr>
                <w:b/>
                <w:spacing w:val="-7"/>
                <w:sz w:val="22"/>
                <w:u w:val="single"/>
              </w:rPr>
              <w:t> </w:t>
            </w:r>
            <w:r>
              <w:rPr>
                <w:b/>
                <w:sz w:val="22"/>
                <w:u w:val="single"/>
              </w:rPr>
              <w:t>Testi</w:t>
              <w:tab/>
            </w:r>
          </w:p>
        </w:tc>
        <w:tc>
          <w:tcPr>
            <w:tcW w:w="922" w:type="dxa"/>
            <w:tcBorders>
              <w:top w:val="single" w:sz="4" w:space="0" w:color="000000"/>
            </w:tcBorders>
          </w:tcPr>
          <w:p>
            <w:pPr>
              <w:pStyle w:val="TableParagraph"/>
              <w:spacing w:line="251" w:lineRule="exact"/>
              <w:ind w:left="36" w:right="75"/>
              <w:jc w:val="center"/>
              <w:rPr>
                <w:b/>
                <w:sz w:val="22"/>
              </w:rPr>
            </w:pPr>
            <w:r>
              <w:rPr>
                <w:b/>
                <w:sz w:val="22"/>
              </w:rPr>
              <w:t>Cinsiyet</w:t>
            </w:r>
          </w:p>
        </w:tc>
        <w:tc>
          <w:tcPr>
            <w:tcW w:w="649" w:type="dxa"/>
            <w:tcBorders>
              <w:top w:val="single" w:sz="4" w:space="0" w:color="000000"/>
            </w:tcBorders>
          </w:tcPr>
          <w:p>
            <w:pPr>
              <w:pStyle w:val="TableParagraph"/>
              <w:spacing w:line="251" w:lineRule="exact"/>
              <w:ind w:right="144"/>
              <w:jc w:val="right"/>
              <w:rPr>
                <w:b/>
                <w:sz w:val="22"/>
              </w:rPr>
            </w:pPr>
            <w:r>
              <w:rPr>
                <w:b/>
                <w:sz w:val="22"/>
              </w:rPr>
              <w:t>Sayı</w:t>
            </w:r>
          </w:p>
        </w:tc>
        <w:tc>
          <w:tcPr>
            <w:tcW w:w="1138" w:type="dxa"/>
            <w:tcBorders>
              <w:top w:val="single" w:sz="4" w:space="0" w:color="000000"/>
            </w:tcBorders>
          </w:tcPr>
          <w:p>
            <w:pPr>
              <w:pStyle w:val="TableParagraph"/>
              <w:spacing w:line="251" w:lineRule="exact"/>
              <w:ind w:right="108"/>
              <w:jc w:val="right"/>
              <w:rPr>
                <w:b/>
                <w:sz w:val="22"/>
              </w:rPr>
            </w:pPr>
            <w:r>
              <w:rPr>
                <w:b/>
                <w:sz w:val="22"/>
              </w:rPr>
              <w:t>Ortalama</w:t>
            </w:r>
          </w:p>
        </w:tc>
        <w:tc>
          <w:tcPr>
            <w:tcW w:w="1085" w:type="dxa"/>
            <w:tcBorders>
              <w:top w:val="single" w:sz="4" w:space="0" w:color="000000"/>
            </w:tcBorders>
          </w:tcPr>
          <w:p>
            <w:pPr>
              <w:pStyle w:val="TableParagraph"/>
              <w:ind w:left="113" w:right="120"/>
              <w:rPr>
                <w:b/>
                <w:sz w:val="22"/>
              </w:rPr>
            </w:pPr>
            <w:r>
              <w:rPr>
                <w:b/>
                <w:sz w:val="22"/>
              </w:rPr>
              <w:t>Standart sapma</w:t>
            </w:r>
          </w:p>
        </w:tc>
        <w:tc>
          <w:tcPr>
            <w:tcW w:w="679" w:type="dxa"/>
            <w:tcBorders>
              <w:top w:val="single" w:sz="4" w:space="0" w:color="000000"/>
            </w:tcBorders>
          </w:tcPr>
          <w:p>
            <w:pPr>
              <w:pStyle w:val="TableParagraph"/>
              <w:spacing w:line="251" w:lineRule="exact"/>
              <w:ind w:left="140"/>
              <w:rPr>
                <w:b/>
                <w:sz w:val="22"/>
              </w:rPr>
            </w:pPr>
            <w:r>
              <w:rPr>
                <w:b/>
                <w:w w:val="100"/>
                <w:sz w:val="22"/>
              </w:rPr>
              <w:t>t</w:t>
            </w:r>
          </w:p>
        </w:tc>
        <w:tc>
          <w:tcPr>
            <w:tcW w:w="831" w:type="dxa"/>
            <w:tcBorders>
              <w:top w:val="single" w:sz="4" w:space="0" w:color="000000"/>
            </w:tcBorders>
          </w:tcPr>
          <w:p>
            <w:pPr>
              <w:pStyle w:val="TableParagraph"/>
              <w:spacing w:line="251" w:lineRule="exact"/>
              <w:ind w:left="109"/>
              <w:rPr>
                <w:b/>
                <w:sz w:val="22"/>
              </w:rPr>
            </w:pPr>
            <w:r>
              <w:rPr>
                <w:b/>
                <w:w w:val="100"/>
                <w:sz w:val="22"/>
              </w:rPr>
              <w:t>p</w:t>
            </w:r>
          </w:p>
        </w:tc>
      </w:tr>
      <w:tr>
        <w:trPr>
          <w:trHeight w:val="385" w:hRule="atLeast"/>
        </w:trPr>
        <w:tc>
          <w:tcPr>
            <w:tcW w:w="1408" w:type="dxa"/>
          </w:tcPr>
          <w:p>
            <w:pPr>
              <w:pStyle w:val="TableParagraph"/>
              <w:spacing w:line="236" w:lineRule="exact" w:before="129"/>
              <w:ind w:left="107"/>
              <w:rPr>
                <w:b/>
                <w:sz w:val="22"/>
              </w:rPr>
            </w:pPr>
            <w:r>
              <w:rPr>
                <w:b/>
                <w:sz w:val="22"/>
              </w:rPr>
              <w:t>Afet</w:t>
            </w:r>
          </w:p>
        </w:tc>
        <w:tc>
          <w:tcPr>
            <w:tcW w:w="836" w:type="dxa"/>
          </w:tcPr>
          <w:p>
            <w:pPr>
              <w:pStyle w:val="TableParagraph"/>
              <w:spacing w:line="240" w:lineRule="exact" w:before="124"/>
              <w:ind w:left="275"/>
              <w:rPr>
                <w:sz w:val="22"/>
              </w:rPr>
            </w:pPr>
            <w:r>
              <w:rPr>
                <w:w w:val="100"/>
                <w:sz w:val="22"/>
              </w:rPr>
              <w:t>F</w:t>
            </w:r>
          </w:p>
        </w:tc>
        <w:tc>
          <w:tcPr>
            <w:tcW w:w="714" w:type="dxa"/>
          </w:tcPr>
          <w:p>
            <w:pPr>
              <w:pStyle w:val="TableParagraph"/>
              <w:spacing w:line="240" w:lineRule="exact" w:before="124"/>
              <w:ind w:right="31"/>
              <w:jc w:val="center"/>
              <w:rPr>
                <w:b/>
                <w:sz w:val="22"/>
              </w:rPr>
            </w:pPr>
            <w:r>
              <w:rPr>
                <w:b/>
                <w:w w:val="100"/>
                <w:sz w:val="22"/>
              </w:rPr>
              <w:t>p</w:t>
            </w:r>
          </w:p>
        </w:tc>
        <w:tc>
          <w:tcPr>
            <w:tcW w:w="922" w:type="dxa"/>
          </w:tcPr>
          <w:p>
            <w:pPr>
              <w:pStyle w:val="TableParagraph"/>
              <w:spacing w:line="240" w:lineRule="exact" w:before="124"/>
              <w:ind w:left="20" w:right="75"/>
              <w:jc w:val="center"/>
              <w:rPr>
                <w:sz w:val="22"/>
              </w:rPr>
            </w:pPr>
            <w:r>
              <w:rPr>
                <w:sz w:val="22"/>
              </w:rPr>
              <w:t>Kadın</w:t>
            </w:r>
          </w:p>
        </w:tc>
        <w:tc>
          <w:tcPr>
            <w:tcW w:w="649" w:type="dxa"/>
          </w:tcPr>
          <w:p>
            <w:pPr>
              <w:pStyle w:val="TableParagraph"/>
              <w:spacing w:line="240" w:lineRule="exact" w:before="124"/>
              <w:ind w:right="105"/>
              <w:jc w:val="right"/>
              <w:rPr>
                <w:sz w:val="22"/>
              </w:rPr>
            </w:pPr>
            <w:r>
              <w:rPr>
                <w:sz w:val="22"/>
              </w:rPr>
              <w:t>50</w:t>
            </w:r>
          </w:p>
        </w:tc>
        <w:tc>
          <w:tcPr>
            <w:tcW w:w="1138" w:type="dxa"/>
          </w:tcPr>
          <w:p>
            <w:pPr>
              <w:pStyle w:val="TableParagraph"/>
              <w:spacing w:line="240" w:lineRule="exact" w:before="124"/>
              <w:ind w:right="170"/>
              <w:jc w:val="right"/>
              <w:rPr>
                <w:sz w:val="22"/>
              </w:rPr>
            </w:pPr>
            <w:r>
              <w:rPr>
                <w:sz w:val="22"/>
              </w:rPr>
              <w:t>3,0171</w:t>
            </w:r>
          </w:p>
        </w:tc>
        <w:tc>
          <w:tcPr>
            <w:tcW w:w="1085" w:type="dxa"/>
          </w:tcPr>
          <w:p>
            <w:pPr>
              <w:pStyle w:val="TableParagraph"/>
              <w:spacing w:line="240" w:lineRule="exact" w:before="124"/>
              <w:ind w:right="72"/>
              <w:jc w:val="right"/>
              <w:rPr>
                <w:sz w:val="22"/>
              </w:rPr>
            </w:pPr>
            <w:r>
              <w:rPr>
                <w:sz w:val="22"/>
              </w:rPr>
              <w:t>0,84325</w:t>
            </w:r>
          </w:p>
        </w:tc>
        <w:tc>
          <w:tcPr>
            <w:tcW w:w="679" w:type="dxa"/>
          </w:tcPr>
          <w:p>
            <w:pPr>
              <w:pStyle w:val="TableParagraph"/>
              <w:rPr>
                <w:sz w:val="22"/>
              </w:rPr>
            </w:pPr>
          </w:p>
        </w:tc>
        <w:tc>
          <w:tcPr>
            <w:tcW w:w="831" w:type="dxa"/>
          </w:tcPr>
          <w:p>
            <w:pPr>
              <w:pStyle w:val="TableParagraph"/>
              <w:rPr>
                <w:sz w:val="22"/>
              </w:rPr>
            </w:pPr>
          </w:p>
        </w:tc>
      </w:tr>
      <w:tr>
        <w:trPr>
          <w:trHeight w:val="253" w:hRule="atLeast"/>
        </w:trPr>
        <w:tc>
          <w:tcPr>
            <w:tcW w:w="1408" w:type="dxa"/>
          </w:tcPr>
          <w:p>
            <w:pPr>
              <w:pStyle w:val="TableParagraph"/>
              <w:spacing w:line="233" w:lineRule="exact"/>
              <w:ind w:left="107"/>
              <w:rPr>
                <w:b/>
                <w:sz w:val="22"/>
              </w:rPr>
            </w:pPr>
            <w:r>
              <w:rPr>
                <w:b/>
                <w:sz w:val="22"/>
              </w:rPr>
              <w:t>Planları İle</w:t>
            </w:r>
          </w:p>
        </w:tc>
        <w:tc>
          <w:tcPr>
            <w:tcW w:w="836" w:type="dxa"/>
          </w:tcPr>
          <w:p>
            <w:pPr>
              <w:pStyle w:val="TableParagraph"/>
              <w:rPr>
                <w:sz w:val="18"/>
              </w:rPr>
            </w:pPr>
          </w:p>
        </w:tc>
        <w:tc>
          <w:tcPr>
            <w:tcW w:w="714" w:type="dxa"/>
          </w:tcPr>
          <w:p>
            <w:pPr>
              <w:pStyle w:val="TableParagraph"/>
              <w:rPr>
                <w:sz w:val="18"/>
              </w:rPr>
            </w:pPr>
          </w:p>
        </w:tc>
        <w:tc>
          <w:tcPr>
            <w:tcW w:w="922" w:type="dxa"/>
          </w:tcPr>
          <w:p>
            <w:pPr>
              <w:pStyle w:val="TableParagraph"/>
              <w:rPr>
                <w:sz w:val="18"/>
              </w:rPr>
            </w:pPr>
          </w:p>
        </w:tc>
        <w:tc>
          <w:tcPr>
            <w:tcW w:w="649" w:type="dxa"/>
          </w:tcPr>
          <w:p>
            <w:pPr>
              <w:pStyle w:val="TableParagraph"/>
              <w:rPr>
                <w:sz w:val="18"/>
              </w:rPr>
            </w:pPr>
          </w:p>
        </w:tc>
        <w:tc>
          <w:tcPr>
            <w:tcW w:w="1138" w:type="dxa"/>
          </w:tcPr>
          <w:p>
            <w:pPr>
              <w:pStyle w:val="TableParagraph"/>
              <w:rPr>
                <w:sz w:val="18"/>
              </w:rPr>
            </w:pPr>
          </w:p>
        </w:tc>
        <w:tc>
          <w:tcPr>
            <w:tcW w:w="1085" w:type="dxa"/>
          </w:tcPr>
          <w:p>
            <w:pPr>
              <w:pStyle w:val="TableParagraph"/>
              <w:rPr>
                <w:sz w:val="18"/>
              </w:rPr>
            </w:pPr>
          </w:p>
        </w:tc>
        <w:tc>
          <w:tcPr>
            <w:tcW w:w="679" w:type="dxa"/>
          </w:tcPr>
          <w:p>
            <w:pPr>
              <w:pStyle w:val="TableParagraph"/>
              <w:spacing w:line="233" w:lineRule="exact"/>
              <w:ind w:left="77"/>
              <w:rPr>
                <w:sz w:val="22"/>
              </w:rPr>
            </w:pPr>
            <w:r>
              <w:rPr>
                <w:sz w:val="22"/>
              </w:rPr>
              <w:t>0,544</w:t>
            </w:r>
          </w:p>
        </w:tc>
        <w:tc>
          <w:tcPr>
            <w:tcW w:w="831" w:type="dxa"/>
          </w:tcPr>
          <w:p>
            <w:pPr>
              <w:pStyle w:val="TableParagraph"/>
              <w:spacing w:line="233" w:lineRule="exact"/>
              <w:ind w:left="229"/>
              <w:rPr>
                <w:b/>
                <w:sz w:val="22"/>
              </w:rPr>
            </w:pPr>
            <w:r>
              <w:rPr>
                <w:b/>
                <w:sz w:val="22"/>
              </w:rPr>
              <w:t>0,588</w:t>
            </w:r>
          </w:p>
        </w:tc>
      </w:tr>
      <w:tr>
        <w:trPr>
          <w:trHeight w:val="254" w:hRule="atLeast"/>
        </w:trPr>
        <w:tc>
          <w:tcPr>
            <w:tcW w:w="1408" w:type="dxa"/>
          </w:tcPr>
          <w:p>
            <w:pPr>
              <w:pStyle w:val="TableParagraph"/>
              <w:spacing w:line="234" w:lineRule="exact"/>
              <w:ind w:left="107"/>
              <w:rPr>
                <w:b/>
                <w:sz w:val="22"/>
              </w:rPr>
            </w:pPr>
            <w:r>
              <w:rPr>
                <w:b/>
                <w:sz w:val="22"/>
              </w:rPr>
              <w:t>İlgili</w:t>
            </w:r>
          </w:p>
        </w:tc>
        <w:tc>
          <w:tcPr>
            <w:tcW w:w="836" w:type="dxa"/>
          </w:tcPr>
          <w:p>
            <w:pPr>
              <w:pStyle w:val="TableParagraph"/>
              <w:spacing w:line="234" w:lineRule="exact"/>
              <w:ind w:left="174"/>
              <w:rPr>
                <w:sz w:val="22"/>
              </w:rPr>
            </w:pPr>
            <w:r>
              <w:rPr>
                <w:sz w:val="22"/>
              </w:rPr>
              <w:t>1,175</w:t>
            </w:r>
          </w:p>
        </w:tc>
        <w:tc>
          <w:tcPr>
            <w:tcW w:w="714" w:type="dxa"/>
          </w:tcPr>
          <w:p>
            <w:pPr>
              <w:pStyle w:val="TableParagraph"/>
              <w:spacing w:line="234" w:lineRule="exact"/>
              <w:ind w:left="166"/>
              <w:rPr>
                <w:b/>
                <w:sz w:val="22"/>
              </w:rPr>
            </w:pPr>
            <w:r>
              <w:rPr>
                <w:b/>
                <w:sz w:val="22"/>
              </w:rPr>
              <w:t>0,193</w:t>
            </w:r>
          </w:p>
        </w:tc>
        <w:tc>
          <w:tcPr>
            <w:tcW w:w="922" w:type="dxa"/>
          </w:tcPr>
          <w:p>
            <w:pPr>
              <w:pStyle w:val="TableParagraph"/>
              <w:spacing w:line="234" w:lineRule="exact"/>
              <w:ind w:left="6" w:right="75"/>
              <w:jc w:val="center"/>
              <w:rPr>
                <w:sz w:val="22"/>
              </w:rPr>
            </w:pPr>
            <w:r>
              <w:rPr>
                <w:sz w:val="22"/>
              </w:rPr>
              <w:t>Erkek</w:t>
            </w:r>
          </w:p>
        </w:tc>
        <w:tc>
          <w:tcPr>
            <w:tcW w:w="649" w:type="dxa"/>
          </w:tcPr>
          <w:p>
            <w:pPr>
              <w:pStyle w:val="TableParagraph"/>
              <w:spacing w:line="234" w:lineRule="exact"/>
              <w:ind w:right="105"/>
              <w:jc w:val="right"/>
              <w:rPr>
                <w:sz w:val="22"/>
              </w:rPr>
            </w:pPr>
            <w:r>
              <w:rPr>
                <w:sz w:val="22"/>
              </w:rPr>
              <w:t>55</w:t>
            </w:r>
          </w:p>
        </w:tc>
        <w:tc>
          <w:tcPr>
            <w:tcW w:w="1138" w:type="dxa"/>
          </w:tcPr>
          <w:p>
            <w:pPr>
              <w:pStyle w:val="TableParagraph"/>
              <w:spacing w:line="234" w:lineRule="exact"/>
              <w:ind w:right="170"/>
              <w:jc w:val="right"/>
              <w:rPr>
                <w:sz w:val="22"/>
              </w:rPr>
            </w:pPr>
            <w:r>
              <w:rPr>
                <w:sz w:val="22"/>
              </w:rPr>
              <w:t>2,9195</w:t>
            </w:r>
          </w:p>
        </w:tc>
        <w:tc>
          <w:tcPr>
            <w:tcW w:w="1085" w:type="dxa"/>
          </w:tcPr>
          <w:p>
            <w:pPr>
              <w:pStyle w:val="TableParagraph"/>
              <w:spacing w:line="234" w:lineRule="exact"/>
              <w:ind w:right="72"/>
              <w:jc w:val="right"/>
              <w:rPr>
                <w:sz w:val="22"/>
              </w:rPr>
            </w:pPr>
            <w:r>
              <w:rPr>
                <w:sz w:val="22"/>
              </w:rPr>
              <w:t>0,98276</w:t>
            </w:r>
          </w:p>
        </w:tc>
        <w:tc>
          <w:tcPr>
            <w:tcW w:w="679" w:type="dxa"/>
          </w:tcPr>
          <w:p>
            <w:pPr>
              <w:pStyle w:val="TableParagraph"/>
              <w:rPr>
                <w:sz w:val="18"/>
              </w:rPr>
            </w:pPr>
          </w:p>
        </w:tc>
        <w:tc>
          <w:tcPr>
            <w:tcW w:w="831" w:type="dxa"/>
          </w:tcPr>
          <w:p>
            <w:pPr>
              <w:pStyle w:val="TableParagraph"/>
              <w:rPr>
                <w:sz w:val="18"/>
              </w:rPr>
            </w:pPr>
          </w:p>
        </w:tc>
      </w:tr>
      <w:tr>
        <w:trPr>
          <w:trHeight w:val="248" w:hRule="atLeast"/>
        </w:trPr>
        <w:tc>
          <w:tcPr>
            <w:tcW w:w="1408" w:type="dxa"/>
          </w:tcPr>
          <w:p>
            <w:pPr>
              <w:pStyle w:val="TableParagraph"/>
              <w:spacing w:line="228" w:lineRule="exact"/>
              <w:ind w:left="107"/>
              <w:rPr>
                <w:b/>
                <w:sz w:val="22"/>
              </w:rPr>
            </w:pPr>
            <w:r>
              <w:rPr>
                <w:b/>
                <w:sz w:val="22"/>
              </w:rPr>
              <w:t>Düşünceleri</w:t>
            </w:r>
          </w:p>
        </w:tc>
        <w:tc>
          <w:tcPr>
            <w:tcW w:w="836" w:type="dxa"/>
          </w:tcPr>
          <w:p>
            <w:pPr>
              <w:pStyle w:val="TableParagraph"/>
              <w:rPr>
                <w:sz w:val="18"/>
              </w:rPr>
            </w:pPr>
          </w:p>
        </w:tc>
        <w:tc>
          <w:tcPr>
            <w:tcW w:w="714" w:type="dxa"/>
          </w:tcPr>
          <w:p>
            <w:pPr>
              <w:pStyle w:val="TableParagraph"/>
              <w:rPr>
                <w:sz w:val="18"/>
              </w:rPr>
            </w:pPr>
          </w:p>
        </w:tc>
        <w:tc>
          <w:tcPr>
            <w:tcW w:w="922" w:type="dxa"/>
          </w:tcPr>
          <w:p>
            <w:pPr>
              <w:pStyle w:val="TableParagraph"/>
              <w:rPr>
                <w:sz w:val="18"/>
              </w:rPr>
            </w:pPr>
          </w:p>
        </w:tc>
        <w:tc>
          <w:tcPr>
            <w:tcW w:w="649" w:type="dxa"/>
          </w:tcPr>
          <w:p>
            <w:pPr>
              <w:pStyle w:val="TableParagraph"/>
              <w:rPr>
                <w:sz w:val="18"/>
              </w:rPr>
            </w:pPr>
          </w:p>
        </w:tc>
        <w:tc>
          <w:tcPr>
            <w:tcW w:w="1138" w:type="dxa"/>
          </w:tcPr>
          <w:p>
            <w:pPr>
              <w:pStyle w:val="TableParagraph"/>
              <w:rPr>
                <w:sz w:val="18"/>
              </w:rPr>
            </w:pPr>
          </w:p>
        </w:tc>
        <w:tc>
          <w:tcPr>
            <w:tcW w:w="1085" w:type="dxa"/>
          </w:tcPr>
          <w:p>
            <w:pPr>
              <w:pStyle w:val="TableParagraph"/>
              <w:rPr>
                <w:sz w:val="18"/>
              </w:rPr>
            </w:pPr>
          </w:p>
        </w:tc>
        <w:tc>
          <w:tcPr>
            <w:tcW w:w="679" w:type="dxa"/>
          </w:tcPr>
          <w:p>
            <w:pPr>
              <w:pStyle w:val="TableParagraph"/>
              <w:rPr>
                <w:sz w:val="18"/>
              </w:rPr>
            </w:pPr>
          </w:p>
        </w:tc>
        <w:tc>
          <w:tcPr>
            <w:tcW w:w="831" w:type="dxa"/>
          </w:tcPr>
          <w:p>
            <w:pPr>
              <w:pStyle w:val="TableParagraph"/>
              <w:rPr>
                <w:sz w:val="18"/>
              </w:rPr>
            </w:pPr>
          </w:p>
        </w:tc>
      </w:tr>
    </w:tbl>
    <w:p>
      <w:pPr>
        <w:pStyle w:val="BodyText"/>
        <w:rPr>
          <w:b/>
          <w:sz w:val="20"/>
        </w:rPr>
      </w:pPr>
    </w:p>
    <w:p>
      <w:pPr>
        <w:pStyle w:val="BodyText"/>
        <w:rPr>
          <w:b/>
          <w:sz w:val="26"/>
        </w:rPr>
      </w:pPr>
      <w:r>
        <w:rPr/>
        <w:pict>
          <v:group style="position:absolute;margin-left:112.699997pt;margin-top:16.952919pt;width:414pt;height:.5pt;mso-position-horizontal-relative:page;mso-position-vertical-relative:paragraph;z-index:-664;mso-wrap-distance-left:0;mso-wrap-distance-right:0" coordorigin="2254,339" coordsize="8280,10">
            <v:line style="position:absolute" from="2254,344" to="3622,344" stroked="true" strokeweight=".48001pt" strokecolor="#000000">
              <v:stroke dashstyle="solid"/>
            </v:line>
            <v:rect style="position:absolute;left:3607;top:339;width:10;height:10" filled="true" fillcolor="#000000" stroked="false">
              <v:fill type="solid"/>
            </v:rect>
            <v:line style="position:absolute" from="3617,344" to="5281,344" stroked="true" strokeweight=".48001pt" strokecolor="#000000">
              <v:stroke dashstyle="solid"/>
            </v:line>
            <v:rect style="position:absolute;left:5266;top:339;width:10;height:10" filled="true" fillcolor="#000000" stroked="false">
              <v:fill type="solid"/>
            </v:rect>
            <v:line style="position:absolute" from="5276,344" to="6248,344" stroked="true" strokeweight=".48001pt" strokecolor="#000000">
              <v:stroke dashstyle="solid"/>
            </v:line>
            <v:rect style="position:absolute;left:6233;top:339;width:10;height:10" filled="true" fillcolor="#000000" stroked="false">
              <v:fill type="solid"/>
            </v:rect>
            <v:line style="position:absolute" from="6243,344" to="6801,344" stroked="true" strokeweight=".48001pt" strokecolor="#000000">
              <v:stroke dashstyle="solid"/>
            </v:line>
            <v:rect style="position:absolute;left:6786;top:339;width:10;height:10" filled="true" fillcolor="#000000" stroked="false">
              <v:fill type="solid"/>
            </v:rect>
            <v:line style="position:absolute" from="6796,344" to="7993,344" stroked="true" strokeweight=".48001pt" strokecolor="#000000">
              <v:stroke dashstyle="solid"/>
            </v:line>
            <v:rect style="position:absolute;left:7979;top:339;width:10;height:10" filled="true" fillcolor="#000000" stroked="false">
              <v:fill type="solid"/>
            </v:rect>
            <v:line style="position:absolute" from="7989,344" to="9052,344" stroked="true" strokeweight=".48001pt" strokecolor="#000000">
              <v:stroke dashstyle="solid"/>
            </v:line>
            <v:rect style="position:absolute;left:9038;top:339;width:10;height:10" filled="true" fillcolor="#000000" stroked="false">
              <v:fill type="solid"/>
            </v:rect>
            <v:line style="position:absolute" from="9048,344" to="9700,344" stroked="true" strokeweight=".48001pt" strokecolor="#000000">
              <v:stroke dashstyle="solid"/>
            </v:line>
            <v:rect style="position:absolute;left:9686;top:339;width:10;height:10" filled="true" fillcolor="#000000" stroked="false">
              <v:fill type="solid"/>
            </v:rect>
            <v:line style="position:absolute" from="9696,344" to="10533,344" stroked="true" strokeweight=".48001pt" strokecolor="#000000">
              <v:stroke dashstyle="solid"/>
            </v:line>
            <w10:wrap type="topAndBottom"/>
          </v:group>
        </w:pict>
      </w:r>
    </w:p>
    <w:p>
      <w:pPr>
        <w:pStyle w:val="BodyText"/>
        <w:spacing w:before="9"/>
        <w:rPr>
          <w:b/>
          <w:sz w:val="36"/>
        </w:rPr>
      </w:pPr>
    </w:p>
    <w:p>
      <w:pPr>
        <w:pStyle w:val="BodyText"/>
        <w:spacing w:line="360" w:lineRule="auto"/>
        <w:ind w:left="1128" w:right="609" w:firstLine="708"/>
        <w:jc w:val="both"/>
      </w:pPr>
      <w:r>
        <w:rPr/>
        <w:t>Yapılan analiz sonucunda ilk olarak bakılan değer levene (homojenlik)</w:t>
      </w:r>
      <w:r>
        <w:rPr>
          <w:spacing w:val="-19"/>
        </w:rPr>
        <w:t> </w:t>
      </w:r>
      <w:r>
        <w:rPr/>
        <w:t>testindeki p</w:t>
      </w:r>
      <w:r>
        <w:rPr>
          <w:spacing w:val="-16"/>
        </w:rPr>
        <w:t> </w:t>
      </w:r>
      <w:r>
        <w:rPr/>
        <w:t>değeri</w:t>
      </w:r>
      <w:r>
        <w:rPr>
          <w:spacing w:val="-16"/>
        </w:rPr>
        <w:t> </w:t>
      </w:r>
      <w:r>
        <w:rPr/>
        <w:t>olmalıdır.</w:t>
      </w:r>
      <w:r>
        <w:rPr>
          <w:spacing w:val="-15"/>
        </w:rPr>
        <w:t> </w:t>
      </w:r>
      <w:r>
        <w:rPr/>
        <w:t>Analize</w:t>
      </w:r>
      <w:r>
        <w:rPr>
          <w:spacing w:val="-17"/>
        </w:rPr>
        <w:t> </w:t>
      </w:r>
      <w:r>
        <w:rPr/>
        <w:t>alınan</w:t>
      </w:r>
      <w:r>
        <w:rPr>
          <w:spacing w:val="-16"/>
        </w:rPr>
        <w:t> </w:t>
      </w:r>
      <w:r>
        <w:rPr/>
        <w:t>her</w:t>
      </w:r>
      <w:r>
        <w:rPr>
          <w:spacing w:val="-17"/>
        </w:rPr>
        <w:t> </w:t>
      </w:r>
      <w:r>
        <w:rPr/>
        <w:t>iki</w:t>
      </w:r>
      <w:r>
        <w:rPr>
          <w:spacing w:val="-13"/>
        </w:rPr>
        <w:t> </w:t>
      </w:r>
      <w:r>
        <w:rPr/>
        <w:t>grubun</w:t>
      </w:r>
      <w:r>
        <w:rPr>
          <w:spacing w:val="-17"/>
        </w:rPr>
        <w:t> </w:t>
      </w:r>
      <w:r>
        <w:rPr/>
        <w:t>varyanslarının</w:t>
      </w:r>
      <w:r>
        <w:rPr>
          <w:spacing w:val="-16"/>
        </w:rPr>
        <w:t> </w:t>
      </w:r>
      <w:r>
        <w:rPr/>
        <w:t>eşit</w:t>
      </w:r>
      <w:r>
        <w:rPr>
          <w:spacing w:val="-15"/>
        </w:rPr>
        <w:t> </w:t>
      </w:r>
      <w:r>
        <w:rPr/>
        <w:t>olup</w:t>
      </w:r>
      <w:r>
        <w:rPr>
          <w:spacing w:val="-15"/>
        </w:rPr>
        <w:t> </w:t>
      </w:r>
      <w:r>
        <w:rPr/>
        <w:t>olmamasına</w:t>
      </w:r>
      <w:r>
        <w:rPr>
          <w:spacing w:val="-14"/>
        </w:rPr>
        <w:t> </w:t>
      </w:r>
      <w:r>
        <w:rPr/>
        <w:t>göre ayrı p (anlamlılık) değerleri ortaya çıkacaktır. Levene testi sonucunda ortaya çıkan p değeri 0,05’ten büyük olması durumunda grup varyanslarının eşit olduğu söylenilir (Sipahi vd., 2010: 120). Leveni testi sonucunda anlamlılık değeri 0,193 çıkmıştır ve iki grubun varyansının eşit olduğu</w:t>
      </w:r>
      <w:r>
        <w:rPr>
          <w:spacing w:val="1"/>
        </w:rPr>
        <w:t> </w:t>
      </w:r>
      <w:r>
        <w:rPr/>
        <w:t>görülmüştür.</w:t>
      </w:r>
    </w:p>
    <w:p>
      <w:pPr>
        <w:pStyle w:val="BodyText"/>
        <w:spacing w:line="360" w:lineRule="auto" w:before="1"/>
        <w:ind w:left="1128" w:right="610" w:firstLine="708"/>
        <w:jc w:val="both"/>
      </w:pPr>
      <w:r>
        <w:rPr/>
        <w:t>%95 güven aralığı içerisinde yapılan T testi sonucunda p değeri 0,05 den büyük çıkmıştır.</w:t>
      </w:r>
      <w:r>
        <w:rPr>
          <w:spacing w:val="-10"/>
        </w:rPr>
        <w:t> </w:t>
      </w:r>
      <w:r>
        <w:rPr/>
        <w:t>T</w:t>
      </w:r>
      <w:r>
        <w:rPr>
          <w:spacing w:val="-9"/>
        </w:rPr>
        <w:t> </w:t>
      </w:r>
      <w:r>
        <w:rPr/>
        <w:t>testi</w:t>
      </w:r>
      <w:r>
        <w:rPr>
          <w:spacing w:val="-8"/>
        </w:rPr>
        <w:t> </w:t>
      </w:r>
      <w:r>
        <w:rPr/>
        <w:t>sonucu</w:t>
      </w:r>
      <w:r>
        <w:rPr>
          <w:spacing w:val="-10"/>
        </w:rPr>
        <w:t> </w:t>
      </w:r>
      <w:r>
        <w:rPr/>
        <w:t>p</w:t>
      </w:r>
      <w:r>
        <w:rPr>
          <w:spacing w:val="-9"/>
        </w:rPr>
        <w:t> </w:t>
      </w:r>
      <w:r>
        <w:rPr/>
        <w:t>değeri</w:t>
      </w:r>
      <w:r>
        <w:rPr>
          <w:spacing w:val="-9"/>
        </w:rPr>
        <w:t> </w:t>
      </w:r>
      <w:r>
        <w:rPr/>
        <w:t>0,588</w:t>
      </w:r>
      <w:r>
        <w:rPr>
          <w:spacing w:val="-9"/>
        </w:rPr>
        <w:t> </w:t>
      </w:r>
      <w:r>
        <w:rPr/>
        <w:t>bulunmuş</w:t>
      </w:r>
      <w:r>
        <w:rPr>
          <w:spacing w:val="-8"/>
        </w:rPr>
        <w:t> </w:t>
      </w:r>
      <w:r>
        <w:rPr/>
        <w:t>ve</w:t>
      </w:r>
      <w:r>
        <w:rPr>
          <w:spacing w:val="-10"/>
        </w:rPr>
        <w:t> </w:t>
      </w:r>
      <w:r>
        <w:rPr/>
        <w:t>çalışan</w:t>
      </w:r>
      <w:r>
        <w:rPr>
          <w:spacing w:val="-10"/>
        </w:rPr>
        <w:t> </w:t>
      </w:r>
      <w:r>
        <w:rPr/>
        <w:t>personellerin</w:t>
      </w:r>
      <w:r>
        <w:rPr>
          <w:spacing w:val="-9"/>
        </w:rPr>
        <w:t> </w:t>
      </w:r>
      <w:r>
        <w:rPr/>
        <w:t>afet</w:t>
      </w:r>
      <w:r>
        <w:rPr>
          <w:spacing w:val="-8"/>
        </w:rPr>
        <w:t> </w:t>
      </w:r>
      <w:r>
        <w:rPr/>
        <w:t>planları</w:t>
      </w:r>
      <w:r>
        <w:rPr>
          <w:spacing w:val="-9"/>
        </w:rPr>
        <w:t> </w:t>
      </w:r>
      <w:r>
        <w:rPr/>
        <w:t>ile ilgili düşüncelerinin, cinsiyete göre anlamlı farklılık göstermediği saptanmıştır. Elde edilen verilere göre birinci hipotez</w:t>
      </w:r>
      <w:r>
        <w:rPr>
          <w:spacing w:val="-2"/>
        </w:rPr>
        <w:t> </w:t>
      </w:r>
      <w:r>
        <w:rPr/>
        <w:t>reddedilmiştir.</w:t>
      </w:r>
    </w:p>
    <w:p>
      <w:pPr>
        <w:pStyle w:val="BodyText"/>
        <w:spacing w:line="360" w:lineRule="auto" w:before="1"/>
        <w:ind w:left="1128" w:right="621" w:firstLine="708"/>
        <w:jc w:val="both"/>
      </w:pPr>
      <w:r>
        <w:rPr/>
        <w:t>H2: Gümüşhane 112’de çalışan personelin afet planları ile ilgili düşünceleri, öğrenim durumuna göre anlamlı bir farklılık göstermektedir.</w:t>
      </w:r>
    </w:p>
    <w:p>
      <w:pPr>
        <w:pStyle w:val="BodyText"/>
        <w:spacing w:line="360" w:lineRule="auto"/>
        <w:ind w:left="1128" w:right="609" w:firstLine="708"/>
        <w:jc w:val="both"/>
      </w:pPr>
      <w:r>
        <w:rPr/>
        <w:t>Bu hipotezde parametrik test olan Tek Yönlü Varyans Analizi (ANOVA) kullanılmıştır.</w:t>
      </w:r>
      <w:r>
        <w:rPr>
          <w:spacing w:val="-8"/>
        </w:rPr>
        <w:t> </w:t>
      </w:r>
      <w:r>
        <w:rPr/>
        <w:t>ANOVA</w:t>
      </w:r>
      <w:r>
        <w:rPr>
          <w:spacing w:val="-7"/>
        </w:rPr>
        <w:t> </w:t>
      </w:r>
      <w:r>
        <w:rPr/>
        <w:t>iki</w:t>
      </w:r>
      <w:r>
        <w:rPr>
          <w:spacing w:val="-7"/>
        </w:rPr>
        <w:t> </w:t>
      </w:r>
      <w:r>
        <w:rPr/>
        <w:t>taneden</w:t>
      </w:r>
      <w:r>
        <w:rPr>
          <w:spacing w:val="-2"/>
        </w:rPr>
        <w:t> </w:t>
      </w:r>
      <w:r>
        <w:rPr/>
        <w:t>fazla</w:t>
      </w:r>
      <w:r>
        <w:rPr>
          <w:spacing w:val="-8"/>
        </w:rPr>
        <w:t> </w:t>
      </w:r>
      <w:r>
        <w:rPr/>
        <w:t>bağımsız</w:t>
      </w:r>
      <w:r>
        <w:rPr>
          <w:spacing w:val="-3"/>
        </w:rPr>
        <w:t> </w:t>
      </w:r>
      <w:r>
        <w:rPr/>
        <w:t>(en</w:t>
      </w:r>
      <w:r>
        <w:rPr>
          <w:spacing w:val="-5"/>
        </w:rPr>
        <w:t> </w:t>
      </w:r>
      <w:r>
        <w:rPr/>
        <w:t>az</w:t>
      </w:r>
      <w:r>
        <w:rPr>
          <w:spacing w:val="-5"/>
        </w:rPr>
        <w:t> </w:t>
      </w:r>
      <w:r>
        <w:rPr/>
        <w:t>3)</w:t>
      </w:r>
      <w:r>
        <w:rPr>
          <w:spacing w:val="-3"/>
        </w:rPr>
        <w:t> </w:t>
      </w:r>
      <w:r>
        <w:rPr/>
        <w:t>gruba</w:t>
      </w:r>
      <w:r>
        <w:rPr>
          <w:spacing w:val="-6"/>
        </w:rPr>
        <w:t> </w:t>
      </w:r>
      <w:r>
        <w:rPr/>
        <w:t>ilişkin</w:t>
      </w:r>
      <w:r>
        <w:rPr>
          <w:spacing w:val="-5"/>
        </w:rPr>
        <w:t> </w:t>
      </w:r>
      <w:r>
        <w:rPr/>
        <w:t>ortalamalarının en az ikisinin arasındaki istatistiksel olarak anlamlı fark olup olmadığını yokluk hipoteziyle test etmektedir (Can, 2014:</w:t>
      </w:r>
      <w:r>
        <w:rPr>
          <w:spacing w:val="3"/>
        </w:rPr>
        <w:t> </w:t>
      </w:r>
      <w:r>
        <w:rPr/>
        <w:t>147).</w:t>
      </w:r>
    </w:p>
    <w:p>
      <w:pPr>
        <w:spacing w:after="0" w:line="360" w:lineRule="auto"/>
        <w:jc w:val="both"/>
        <w:sectPr>
          <w:pgSz w:w="11910" w:h="16840"/>
          <w:pgMar w:header="0" w:footer="976" w:top="1580" w:bottom="1240" w:left="1140" w:right="520"/>
        </w:sectPr>
      </w:pPr>
    </w:p>
    <w:p>
      <w:pPr>
        <w:pStyle w:val="BodyText"/>
        <w:spacing w:line="360" w:lineRule="auto" w:before="98"/>
        <w:ind w:left="1128" w:right="1382" w:firstLine="708"/>
      </w:pPr>
      <w:r>
        <w:rPr/>
        <w:t>Araştırma grubundaki kişilerin afet planları ile ilgili düşünceleri öğrenim durumuna göre karşılaştırılması Tablo 4. 15’de gösterilmiştir.</w:t>
      </w:r>
    </w:p>
    <w:p>
      <w:pPr>
        <w:pStyle w:val="BodyText"/>
        <w:rPr>
          <w:sz w:val="26"/>
        </w:rPr>
      </w:pPr>
    </w:p>
    <w:p>
      <w:pPr>
        <w:pStyle w:val="Heading1"/>
        <w:spacing w:line="259" w:lineRule="auto" w:before="162"/>
        <w:ind w:left="1572" w:right="1045" w:firstLine="72"/>
      </w:pPr>
      <w:r>
        <w:rPr/>
        <w:t>Tablo 4. 15. Gümüşhane 112’de Çalışan Personelin Afet Planları İle İlgili Düşüncelerinin Öğrenim Durumuna Göre Karşılaştırılması (Levene Testi)</w:t>
      </w:r>
    </w:p>
    <w:p>
      <w:pPr>
        <w:pStyle w:val="BodyText"/>
        <w:spacing w:before="11"/>
        <w:rPr>
          <w:b/>
          <w:sz w:val="13"/>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902"/>
        <w:gridCol w:w="2855"/>
        <w:gridCol w:w="2215"/>
      </w:tblGrid>
      <w:tr>
        <w:trPr>
          <w:trHeight w:val="674" w:hRule="atLeast"/>
        </w:trPr>
        <w:tc>
          <w:tcPr>
            <w:tcW w:w="2902" w:type="dxa"/>
            <w:tcBorders>
              <w:top w:val="single" w:sz="4" w:space="0" w:color="000000"/>
              <w:bottom w:val="single" w:sz="4" w:space="0" w:color="000000"/>
            </w:tcBorders>
          </w:tcPr>
          <w:p>
            <w:pPr>
              <w:pStyle w:val="TableParagraph"/>
              <w:rPr>
                <w:sz w:val="22"/>
              </w:rPr>
            </w:pPr>
          </w:p>
        </w:tc>
        <w:tc>
          <w:tcPr>
            <w:tcW w:w="2855" w:type="dxa"/>
            <w:tcBorders>
              <w:top w:val="single" w:sz="4" w:space="0" w:color="000000"/>
              <w:bottom w:val="single" w:sz="4" w:space="0" w:color="000000"/>
            </w:tcBorders>
          </w:tcPr>
          <w:p>
            <w:pPr>
              <w:pStyle w:val="TableParagraph"/>
              <w:spacing w:before="11"/>
              <w:rPr>
                <w:b/>
                <w:sz w:val="21"/>
              </w:rPr>
            </w:pPr>
          </w:p>
          <w:p>
            <w:pPr>
              <w:pStyle w:val="TableParagraph"/>
              <w:ind w:left="348"/>
              <w:rPr>
                <w:b/>
                <w:sz w:val="22"/>
              </w:rPr>
            </w:pPr>
            <w:r>
              <w:rPr>
                <w:b/>
                <w:sz w:val="22"/>
              </w:rPr>
              <w:t>Levene İstatistiği</w:t>
            </w:r>
          </w:p>
        </w:tc>
        <w:tc>
          <w:tcPr>
            <w:tcW w:w="2215" w:type="dxa"/>
            <w:tcBorders>
              <w:top w:val="single" w:sz="4" w:space="0" w:color="000000"/>
              <w:bottom w:val="single" w:sz="4" w:space="0" w:color="000000"/>
            </w:tcBorders>
          </w:tcPr>
          <w:p>
            <w:pPr>
              <w:pStyle w:val="TableParagraph"/>
              <w:spacing w:before="11"/>
              <w:rPr>
                <w:b/>
                <w:sz w:val="21"/>
              </w:rPr>
            </w:pPr>
          </w:p>
          <w:p>
            <w:pPr>
              <w:pStyle w:val="TableParagraph"/>
              <w:ind w:left="959"/>
              <w:rPr>
                <w:b/>
                <w:sz w:val="22"/>
              </w:rPr>
            </w:pPr>
            <w:r>
              <w:rPr>
                <w:b/>
                <w:w w:val="100"/>
                <w:sz w:val="22"/>
              </w:rPr>
              <w:t>p</w:t>
            </w:r>
          </w:p>
        </w:tc>
      </w:tr>
      <w:tr>
        <w:trPr>
          <w:trHeight w:val="757" w:hRule="atLeast"/>
        </w:trPr>
        <w:tc>
          <w:tcPr>
            <w:tcW w:w="2902" w:type="dxa"/>
            <w:tcBorders>
              <w:top w:val="single" w:sz="4" w:space="0" w:color="000000"/>
            </w:tcBorders>
          </w:tcPr>
          <w:p>
            <w:pPr>
              <w:pStyle w:val="TableParagraph"/>
              <w:rPr>
                <w:b/>
                <w:sz w:val="24"/>
              </w:rPr>
            </w:pPr>
          </w:p>
          <w:p>
            <w:pPr>
              <w:pStyle w:val="TableParagraph"/>
              <w:spacing w:before="10"/>
              <w:rPr>
                <w:b/>
                <w:sz w:val="19"/>
              </w:rPr>
            </w:pPr>
          </w:p>
          <w:p>
            <w:pPr>
              <w:pStyle w:val="TableParagraph"/>
              <w:spacing w:line="233" w:lineRule="exact"/>
              <w:ind w:left="655"/>
              <w:rPr>
                <w:b/>
                <w:sz w:val="22"/>
              </w:rPr>
            </w:pPr>
            <w:r>
              <w:rPr>
                <w:b/>
                <w:sz w:val="22"/>
              </w:rPr>
              <w:t>Afet Planları</w:t>
            </w:r>
          </w:p>
        </w:tc>
        <w:tc>
          <w:tcPr>
            <w:tcW w:w="2855" w:type="dxa"/>
            <w:tcBorders>
              <w:top w:val="single" w:sz="4" w:space="0" w:color="000000"/>
            </w:tcBorders>
          </w:tcPr>
          <w:p>
            <w:pPr>
              <w:pStyle w:val="TableParagraph"/>
              <w:rPr>
                <w:b/>
                <w:sz w:val="24"/>
              </w:rPr>
            </w:pPr>
          </w:p>
          <w:p>
            <w:pPr>
              <w:pStyle w:val="TableParagraph"/>
              <w:spacing w:line="252" w:lineRule="exact" w:before="209"/>
              <w:ind w:left="1012" w:right="1308"/>
              <w:jc w:val="center"/>
              <w:rPr>
                <w:sz w:val="22"/>
              </w:rPr>
            </w:pPr>
            <w:r>
              <w:rPr>
                <w:sz w:val="22"/>
              </w:rPr>
              <w:t>0,722</w:t>
            </w:r>
          </w:p>
        </w:tc>
        <w:tc>
          <w:tcPr>
            <w:tcW w:w="2215" w:type="dxa"/>
            <w:tcBorders>
              <w:top w:val="single" w:sz="4" w:space="0" w:color="000000"/>
            </w:tcBorders>
          </w:tcPr>
          <w:p>
            <w:pPr>
              <w:pStyle w:val="TableParagraph"/>
              <w:rPr>
                <w:b/>
                <w:sz w:val="24"/>
              </w:rPr>
            </w:pPr>
          </w:p>
          <w:p>
            <w:pPr>
              <w:pStyle w:val="TableParagraph"/>
              <w:spacing w:line="248" w:lineRule="exact" w:before="214"/>
              <w:ind w:left="899"/>
              <w:rPr>
                <w:b/>
                <w:sz w:val="22"/>
              </w:rPr>
            </w:pPr>
            <w:r>
              <w:rPr>
                <w:b/>
                <w:sz w:val="22"/>
              </w:rPr>
              <w:t>0,541</w:t>
            </w:r>
          </w:p>
        </w:tc>
      </w:tr>
    </w:tbl>
    <w:p>
      <w:pPr>
        <w:pStyle w:val="BodyText"/>
        <w:rPr>
          <w:b/>
          <w:sz w:val="20"/>
        </w:rPr>
      </w:pPr>
    </w:p>
    <w:p>
      <w:pPr>
        <w:pStyle w:val="BodyText"/>
        <w:spacing w:before="8"/>
        <w:rPr>
          <w:b/>
          <w:sz w:val="20"/>
        </w:rPr>
      </w:pPr>
      <w:r>
        <w:rPr/>
        <w:pict>
          <v:group style="position:absolute;margin-left:112.699997pt;margin-top:13.86292pt;width:399.45pt;height:.5pt;mso-position-horizontal-relative:page;mso-position-vertical-relative:paragraph;z-index:-640;mso-wrap-distance-left:0;mso-wrap-distance-right:0" coordorigin="2254,277" coordsize="7989,10">
            <v:line style="position:absolute" from="2254,282" to="4796,282" stroked="true" strokeweight=".48001pt" strokecolor="#000000">
              <v:stroke dashstyle="solid"/>
            </v:line>
            <v:rect style="position:absolute;left:4781;top:277;width:10;height:10" filled="true" fillcolor="#000000" stroked="false">
              <v:fill type="solid"/>
            </v:rect>
            <v:line style="position:absolute" from="4791,282" to="7852,282" stroked="true" strokeweight=".48001pt" strokecolor="#000000">
              <v:stroke dashstyle="solid"/>
            </v:line>
            <v:rect style="position:absolute;left:7837;top:277;width:10;height:10" filled="true" fillcolor="#000000" stroked="false">
              <v:fill type="solid"/>
            </v:rect>
            <v:line style="position:absolute" from="7847,282" to="10243,282" stroked="true" strokeweight=".48001pt" strokecolor="#000000">
              <v:stroke dashstyle="solid"/>
            </v:line>
            <w10:wrap type="topAndBottom"/>
          </v:group>
        </w:pict>
      </w:r>
    </w:p>
    <w:p>
      <w:pPr>
        <w:pStyle w:val="BodyText"/>
        <w:spacing w:before="7"/>
        <w:rPr>
          <w:b/>
          <w:sz w:val="36"/>
        </w:rPr>
      </w:pPr>
    </w:p>
    <w:p>
      <w:pPr>
        <w:pStyle w:val="BodyText"/>
        <w:spacing w:line="259" w:lineRule="auto"/>
        <w:ind w:left="1128" w:right="615" w:firstLine="828"/>
        <w:jc w:val="both"/>
      </w:pPr>
      <w:r>
        <w:rPr/>
        <w:t>Anova testinin güvenilir olması için grupların homojen olarak dağılması gerekmektedir. Homojenliği test etmek için levene testine bakılmalıdır. Levene testi sonucunda p değeri 0,05 den büyük olduğu görülmektedir. Böylece grupların homojen olarak dağılmaktadır.</w:t>
      </w:r>
    </w:p>
    <w:p>
      <w:pPr>
        <w:pStyle w:val="BodyText"/>
        <w:spacing w:line="259" w:lineRule="auto"/>
        <w:ind w:left="1128" w:right="615" w:firstLine="708"/>
        <w:jc w:val="both"/>
      </w:pPr>
      <w:r>
        <w:rPr/>
        <w:t>Araştırma grubundaki kişilerin afet planları ile ilgili düşüncelerinin öğrenim durumuna göre karşılaştırılması Tablo 4. 16’da gösterilmiştir.</w:t>
      </w:r>
    </w:p>
    <w:p>
      <w:pPr>
        <w:pStyle w:val="BodyText"/>
        <w:rPr>
          <w:sz w:val="26"/>
        </w:rPr>
      </w:pPr>
    </w:p>
    <w:p>
      <w:pPr>
        <w:pStyle w:val="Heading1"/>
        <w:spacing w:line="256" w:lineRule="auto" w:before="164"/>
        <w:ind w:left="1606" w:right="1077" w:firstLine="38"/>
      </w:pPr>
      <w:r>
        <w:rPr/>
        <w:t>Tablo 4. 16. Gümüşhane 112’de Çalışan Personelin Afet Planları İle İlgili Düşüncelerinin Öğrenim Durumuna Göre Karşılaştırılması (Anova Testi)</w:t>
      </w:r>
    </w:p>
    <w:p>
      <w:pPr>
        <w:pStyle w:val="BodyText"/>
        <w:spacing w:before="3"/>
        <w:rPr>
          <w:b/>
          <w:sz w:val="14"/>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24"/>
        <w:gridCol w:w="1894"/>
        <w:gridCol w:w="1018"/>
        <w:gridCol w:w="1525"/>
        <w:gridCol w:w="1201"/>
        <w:gridCol w:w="1153"/>
      </w:tblGrid>
      <w:tr>
        <w:trPr>
          <w:trHeight w:val="676" w:hRule="atLeast"/>
        </w:trPr>
        <w:tc>
          <w:tcPr>
            <w:tcW w:w="1724" w:type="dxa"/>
            <w:tcBorders>
              <w:top w:val="single" w:sz="4" w:space="0" w:color="000000"/>
              <w:bottom w:val="single" w:sz="4" w:space="0" w:color="000000"/>
            </w:tcBorders>
          </w:tcPr>
          <w:p>
            <w:pPr>
              <w:pStyle w:val="TableParagraph"/>
              <w:rPr>
                <w:sz w:val="22"/>
              </w:rPr>
            </w:pPr>
          </w:p>
        </w:tc>
        <w:tc>
          <w:tcPr>
            <w:tcW w:w="1894" w:type="dxa"/>
            <w:tcBorders>
              <w:top w:val="single" w:sz="4" w:space="0" w:color="000000"/>
              <w:bottom w:val="single" w:sz="4" w:space="0" w:color="000000"/>
            </w:tcBorders>
          </w:tcPr>
          <w:p>
            <w:pPr>
              <w:pStyle w:val="TableParagraph"/>
              <w:rPr>
                <w:sz w:val="22"/>
              </w:rPr>
            </w:pPr>
          </w:p>
        </w:tc>
        <w:tc>
          <w:tcPr>
            <w:tcW w:w="1018" w:type="dxa"/>
            <w:tcBorders>
              <w:top w:val="single" w:sz="4" w:space="0" w:color="000000"/>
              <w:bottom w:val="single" w:sz="4" w:space="0" w:color="000000"/>
            </w:tcBorders>
          </w:tcPr>
          <w:p>
            <w:pPr>
              <w:pStyle w:val="TableParagraph"/>
              <w:spacing w:before="1"/>
              <w:ind w:left="75" w:right="128" w:firstLine="31"/>
              <w:rPr>
                <w:b/>
                <w:sz w:val="22"/>
              </w:rPr>
            </w:pPr>
            <w:r>
              <w:rPr>
                <w:b/>
                <w:sz w:val="22"/>
              </w:rPr>
              <w:t>Kareler Toplamı</w:t>
            </w:r>
          </w:p>
        </w:tc>
        <w:tc>
          <w:tcPr>
            <w:tcW w:w="1525" w:type="dxa"/>
            <w:tcBorders>
              <w:top w:val="single" w:sz="4" w:space="0" w:color="000000"/>
              <w:bottom w:val="single" w:sz="4" w:space="0" w:color="000000"/>
            </w:tcBorders>
          </w:tcPr>
          <w:p>
            <w:pPr>
              <w:pStyle w:val="TableParagraph"/>
              <w:spacing w:before="1"/>
              <w:ind w:left="147" w:right="294" w:firstLine="165"/>
              <w:rPr>
                <w:b/>
                <w:sz w:val="22"/>
              </w:rPr>
            </w:pPr>
            <w:r>
              <w:rPr>
                <w:b/>
                <w:sz w:val="22"/>
              </w:rPr>
              <w:t>Kareler Ortalaması</w:t>
            </w:r>
          </w:p>
        </w:tc>
        <w:tc>
          <w:tcPr>
            <w:tcW w:w="1201" w:type="dxa"/>
            <w:tcBorders>
              <w:top w:val="single" w:sz="4" w:space="0" w:color="000000"/>
              <w:bottom w:val="single" w:sz="4" w:space="0" w:color="000000"/>
            </w:tcBorders>
          </w:tcPr>
          <w:p>
            <w:pPr>
              <w:pStyle w:val="TableParagraph"/>
              <w:spacing w:before="1"/>
              <w:ind w:left="369"/>
              <w:rPr>
                <w:b/>
                <w:sz w:val="22"/>
              </w:rPr>
            </w:pPr>
            <w:r>
              <w:rPr>
                <w:b/>
                <w:w w:val="100"/>
                <w:sz w:val="22"/>
              </w:rPr>
              <w:t>F</w:t>
            </w:r>
          </w:p>
        </w:tc>
        <w:tc>
          <w:tcPr>
            <w:tcW w:w="1153" w:type="dxa"/>
            <w:tcBorders>
              <w:top w:val="single" w:sz="4" w:space="0" w:color="000000"/>
              <w:bottom w:val="single" w:sz="4" w:space="0" w:color="000000"/>
            </w:tcBorders>
          </w:tcPr>
          <w:p>
            <w:pPr>
              <w:pStyle w:val="TableParagraph"/>
              <w:spacing w:before="1"/>
              <w:ind w:left="452"/>
              <w:rPr>
                <w:b/>
                <w:sz w:val="22"/>
              </w:rPr>
            </w:pPr>
            <w:r>
              <w:rPr>
                <w:b/>
                <w:w w:val="100"/>
                <w:sz w:val="22"/>
              </w:rPr>
              <w:t>p</w:t>
            </w:r>
          </w:p>
        </w:tc>
      </w:tr>
      <w:tr>
        <w:trPr>
          <w:trHeight w:val="756" w:hRule="atLeast"/>
        </w:trPr>
        <w:tc>
          <w:tcPr>
            <w:tcW w:w="1724" w:type="dxa"/>
            <w:tcBorders>
              <w:top w:val="single" w:sz="4" w:space="0" w:color="000000"/>
            </w:tcBorders>
          </w:tcPr>
          <w:p>
            <w:pPr>
              <w:pStyle w:val="TableParagraph"/>
              <w:rPr>
                <w:sz w:val="22"/>
              </w:rPr>
            </w:pPr>
          </w:p>
        </w:tc>
        <w:tc>
          <w:tcPr>
            <w:tcW w:w="1894" w:type="dxa"/>
            <w:vMerge w:val="restart"/>
            <w:tcBorders>
              <w:top w:val="single" w:sz="4" w:space="0" w:color="000000"/>
              <w:bottom w:val="single" w:sz="4" w:space="0" w:color="000000"/>
            </w:tcBorders>
          </w:tcPr>
          <w:p>
            <w:pPr>
              <w:pStyle w:val="TableParagraph"/>
              <w:spacing w:before="8"/>
              <w:rPr>
                <w:b/>
                <w:sz w:val="21"/>
              </w:rPr>
            </w:pPr>
          </w:p>
          <w:p>
            <w:pPr>
              <w:pStyle w:val="TableParagraph"/>
              <w:spacing w:before="1"/>
              <w:ind w:left="500" w:right="461" w:firstLine="72"/>
              <w:jc w:val="both"/>
              <w:rPr>
                <w:b/>
                <w:sz w:val="22"/>
              </w:rPr>
            </w:pPr>
            <w:r>
              <w:rPr>
                <w:b/>
                <w:sz w:val="22"/>
              </w:rPr>
              <w:t>Gruplar Arasında Gruplar</w:t>
            </w:r>
          </w:p>
          <w:p>
            <w:pPr>
              <w:pStyle w:val="TableParagraph"/>
              <w:spacing w:line="252" w:lineRule="exact" w:before="5"/>
              <w:ind w:left="387" w:right="222" w:firstLine="112"/>
              <w:rPr>
                <w:b/>
                <w:sz w:val="22"/>
              </w:rPr>
            </w:pPr>
            <w:r>
              <w:rPr>
                <w:b/>
                <w:sz w:val="22"/>
              </w:rPr>
              <w:t>İçerisinde Genel toplam</w:t>
            </w:r>
          </w:p>
        </w:tc>
        <w:tc>
          <w:tcPr>
            <w:tcW w:w="1018" w:type="dxa"/>
            <w:vMerge w:val="restart"/>
            <w:tcBorders>
              <w:top w:val="single" w:sz="4" w:space="0" w:color="000000"/>
              <w:bottom w:val="single" w:sz="4" w:space="0" w:color="000000"/>
            </w:tcBorders>
          </w:tcPr>
          <w:p>
            <w:pPr>
              <w:pStyle w:val="TableParagraph"/>
              <w:spacing w:before="4"/>
              <w:rPr>
                <w:b/>
                <w:sz w:val="21"/>
              </w:rPr>
            </w:pPr>
          </w:p>
          <w:p>
            <w:pPr>
              <w:pStyle w:val="TableParagraph"/>
              <w:ind w:left="221" w:right="41"/>
              <w:jc w:val="center"/>
              <w:rPr>
                <w:sz w:val="22"/>
              </w:rPr>
            </w:pPr>
            <w:r>
              <w:rPr>
                <w:sz w:val="22"/>
              </w:rPr>
              <w:t>1,600</w:t>
            </w:r>
          </w:p>
          <w:p>
            <w:pPr>
              <w:pStyle w:val="TableParagraph"/>
              <w:rPr>
                <w:b/>
                <w:sz w:val="22"/>
              </w:rPr>
            </w:pPr>
          </w:p>
          <w:p>
            <w:pPr>
              <w:pStyle w:val="TableParagraph"/>
              <w:ind w:left="221" w:right="151"/>
              <w:jc w:val="center"/>
              <w:rPr>
                <w:sz w:val="22"/>
              </w:rPr>
            </w:pPr>
            <w:r>
              <w:rPr>
                <w:sz w:val="22"/>
              </w:rPr>
              <w:t>85,646</w:t>
            </w:r>
          </w:p>
          <w:p>
            <w:pPr>
              <w:pStyle w:val="TableParagraph"/>
              <w:spacing w:before="1"/>
              <w:rPr>
                <w:b/>
                <w:sz w:val="22"/>
              </w:rPr>
            </w:pPr>
          </w:p>
          <w:p>
            <w:pPr>
              <w:pStyle w:val="TableParagraph"/>
              <w:spacing w:line="240" w:lineRule="exact"/>
              <w:ind w:left="221" w:right="151"/>
              <w:jc w:val="center"/>
              <w:rPr>
                <w:sz w:val="22"/>
              </w:rPr>
            </w:pPr>
            <w:r>
              <w:rPr>
                <w:sz w:val="22"/>
              </w:rPr>
              <w:t>87,246</w:t>
            </w:r>
          </w:p>
        </w:tc>
        <w:tc>
          <w:tcPr>
            <w:tcW w:w="1525" w:type="dxa"/>
            <w:vMerge w:val="restart"/>
            <w:tcBorders>
              <w:top w:val="single" w:sz="4" w:space="0" w:color="000000"/>
              <w:bottom w:val="single" w:sz="4" w:space="0" w:color="000000"/>
            </w:tcBorders>
          </w:tcPr>
          <w:p>
            <w:pPr>
              <w:pStyle w:val="TableParagraph"/>
              <w:spacing w:before="4"/>
              <w:rPr>
                <w:b/>
                <w:sz w:val="21"/>
              </w:rPr>
            </w:pPr>
          </w:p>
          <w:p>
            <w:pPr>
              <w:pStyle w:val="TableParagraph"/>
              <w:ind w:left="557"/>
              <w:rPr>
                <w:sz w:val="22"/>
              </w:rPr>
            </w:pPr>
            <w:r>
              <w:rPr>
                <w:sz w:val="22"/>
              </w:rPr>
              <w:t>0,533</w:t>
            </w:r>
          </w:p>
          <w:p>
            <w:pPr>
              <w:pStyle w:val="TableParagraph"/>
              <w:rPr>
                <w:b/>
                <w:sz w:val="22"/>
              </w:rPr>
            </w:pPr>
          </w:p>
          <w:p>
            <w:pPr>
              <w:pStyle w:val="TableParagraph"/>
              <w:ind w:left="557"/>
              <w:rPr>
                <w:sz w:val="22"/>
              </w:rPr>
            </w:pPr>
            <w:r>
              <w:rPr>
                <w:sz w:val="22"/>
              </w:rPr>
              <w:t>0,848</w:t>
            </w:r>
          </w:p>
        </w:tc>
        <w:tc>
          <w:tcPr>
            <w:tcW w:w="1201" w:type="dxa"/>
            <w:tcBorders>
              <w:top w:val="single" w:sz="4" w:space="0" w:color="000000"/>
            </w:tcBorders>
          </w:tcPr>
          <w:p>
            <w:pPr>
              <w:pStyle w:val="TableParagraph"/>
              <w:rPr>
                <w:b/>
                <w:sz w:val="24"/>
              </w:rPr>
            </w:pPr>
          </w:p>
          <w:p>
            <w:pPr>
              <w:pStyle w:val="TableParagraph"/>
              <w:spacing w:before="5"/>
              <w:rPr>
                <w:b/>
                <w:sz w:val="19"/>
              </w:rPr>
            </w:pPr>
          </w:p>
          <w:p>
            <w:pPr>
              <w:pStyle w:val="TableParagraph"/>
              <w:spacing w:line="237" w:lineRule="exact"/>
              <w:ind w:left="314"/>
              <w:rPr>
                <w:sz w:val="22"/>
              </w:rPr>
            </w:pPr>
            <w:r>
              <w:rPr>
                <w:sz w:val="22"/>
              </w:rPr>
              <w:t>0,629</w:t>
            </w:r>
          </w:p>
        </w:tc>
        <w:tc>
          <w:tcPr>
            <w:tcW w:w="1153" w:type="dxa"/>
            <w:tcBorders>
              <w:top w:val="single" w:sz="4" w:space="0" w:color="000000"/>
            </w:tcBorders>
          </w:tcPr>
          <w:p>
            <w:pPr>
              <w:pStyle w:val="TableParagraph"/>
              <w:rPr>
                <w:b/>
                <w:sz w:val="24"/>
              </w:rPr>
            </w:pPr>
          </w:p>
          <w:p>
            <w:pPr>
              <w:pStyle w:val="TableParagraph"/>
              <w:spacing w:before="10"/>
              <w:rPr>
                <w:b/>
                <w:sz w:val="19"/>
              </w:rPr>
            </w:pPr>
          </w:p>
          <w:p>
            <w:pPr>
              <w:pStyle w:val="TableParagraph"/>
              <w:spacing w:line="232" w:lineRule="exact"/>
              <w:ind w:left="390"/>
              <w:rPr>
                <w:b/>
                <w:sz w:val="22"/>
              </w:rPr>
            </w:pPr>
            <w:r>
              <w:rPr>
                <w:b/>
                <w:sz w:val="22"/>
              </w:rPr>
              <w:t>0,598</w:t>
            </w:r>
          </w:p>
        </w:tc>
      </w:tr>
      <w:tr>
        <w:trPr>
          <w:trHeight w:val="752" w:hRule="atLeast"/>
        </w:trPr>
        <w:tc>
          <w:tcPr>
            <w:tcW w:w="1724" w:type="dxa"/>
            <w:tcBorders>
              <w:bottom w:val="single" w:sz="4" w:space="0" w:color="000000"/>
            </w:tcBorders>
          </w:tcPr>
          <w:p>
            <w:pPr>
              <w:pStyle w:val="TableParagraph"/>
              <w:spacing w:line="243" w:lineRule="exact"/>
              <w:ind w:left="118"/>
              <w:rPr>
                <w:b/>
                <w:sz w:val="22"/>
              </w:rPr>
            </w:pPr>
            <w:r>
              <w:rPr>
                <w:b/>
                <w:sz w:val="22"/>
              </w:rPr>
              <w:t>Afet Planları</w:t>
            </w:r>
          </w:p>
        </w:tc>
        <w:tc>
          <w:tcPr>
            <w:tcW w:w="1894" w:type="dxa"/>
            <w:vMerge/>
            <w:tcBorders>
              <w:top w:val="nil"/>
              <w:bottom w:val="single" w:sz="4" w:space="0" w:color="000000"/>
            </w:tcBorders>
          </w:tcPr>
          <w:p>
            <w:pPr>
              <w:rPr>
                <w:sz w:val="2"/>
                <w:szCs w:val="2"/>
              </w:rPr>
            </w:pPr>
          </w:p>
        </w:tc>
        <w:tc>
          <w:tcPr>
            <w:tcW w:w="1018" w:type="dxa"/>
            <w:vMerge/>
            <w:tcBorders>
              <w:top w:val="nil"/>
              <w:bottom w:val="single" w:sz="4" w:space="0" w:color="000000"/>
            </w:tcBorders>
          </w:tcPr>
          <w:p>
            <w:pPr>
              <w:rPr>
                <w:sz w:val="2"/>
                <w:szCs w:val="2"/>
              </w:rPr>
            </w:pPr>
          </w:p>
        </w:tc>
        <w:tc>
          <w:tcPr>
            <w:tcW w:w="1525" w:type="dxa"/>
            <w:vMerge/>
            <w:tcBorders>
              <w:top w:val="nil"/>
              <w:bottom w:val="single" w:sz="4" w:space="0" w:color="000000"/>
            </w:tcBorders>
          </w:tcPr>
          <w:p>
            <w:pPr>
              <w:rPr>
                <w:sz w:val="2"/>
                <w:szCs w:val="2"/>
              </w:rPr>
            </w:pPr>
          </w:p>
        </w:tc>
        <w:tc>
          <w:tcPr>
            <w:tcW w:w="1201" w:type="dxa"/>
            <w:tcBorders>
              <w:bottom w:val="single" w:sz="4" w:space="0" w:color="000000"/>
            </w:tcBorders>
          </w:tcPr>
          <w:p>
            <w:pPr>
              <w:pStyle w:val="TableParagraph"/>
              <w:rPr>
                <w:sz w:val="22"/>
              </w:rPr>
            </w:pPr>
          </w:p>
        </w:tc>
        <w:tc>
          <w:tcPr>
            <w:tcW w:w="1153" w:type="dxa"/>
            <w:tcBorders>
              <w:bottom w:val="single" w:sz="4" w:space="0" w:color="000000"/>
            </w:tcBorders>
          </w:tcPr>
          <w:p>
            <w:pPr>
              <w:pStyle w:val="TableParagraph"/>
              <w:rPr>
                <w:sz w:val="22"/>
              </w:rPr>
            </w:pPr>
          </w:p>
        </w:tc>
      </w:tr>
    </w:tbl>
    <w:p>
      <w:pPr>
        <w:pStyle w:val="BodyText"/>
        <w:rPr>
          <w:b/>
          <w:sz w:val="26"/>
        </w:rPr>
      </w:pPr>
    </w:p>
    <w:p>
      <w:pPr>
        <w:pStyle w:val="BodyText"/>
        <w:spacing w:line="360" w:lineRule="auto" w:before="151"/>
        <w:ind w:left="1128" w:right="612" w:firstLine="708"/>
        <w:jc w:val="both"/>
      </w:pPr>
      <w:r>
        <w:rPr/>
        <w:t>Yapılan Anova testi sonucunda p değeri 0,598 olduğu görülmektedir. p değerinin 0,05 den büyük olması nedeniyle çalışmaya katılan personelin afet planları ile ilgili düşünceleri öğrenim durumuna göre anlamlı farklılık görülmemektedir. Böylelikle çalışmanın ikinci hipotezi reddedilmiştir.</w:t>
      </w:r>
    </w:p>
    <w:p>
      <w:pPr>
        <w:pStyle w:val="BodyText"/>
        <w:spacing w:line="360" w:lineRule="auto" w:before="1"/>
        <w:ind w:left="1128" w:right="611" w:firstLine="708"/>
        <w:jc w:val="both"/>
      </w:pPr>
      <w:r>
        <w:rPr/>
        <w:t>H3: Gümüşhane 112’de çalışan personelin afet eğitimleri ve tatbikatları ile ilgili düşünceleri, daha önce afet eğitimi alıp almama durumuna göre anlamlı bir farklılık göstermektedir.</w:t>
      </w:r>
    </w:p>
    <w:p>
      <w:pPr>
        <w:pStyle w:val="BodyText"/>
        <w:spacing w:before="1"/>
        <w:ind w:left="1836"/>
      </w:pPr>
      <w:r>
        <w:rPr/>
        <w:t>Üçüncü hipotezde parametrik T- testi kullanılmıştır.</w:t>
      </w:r>
    </w:p>
    <w:p>
      <w:pPr>
        <w:spacing w:after="0"/>
        <w:sectPr>
          <w:pgSz w:w="11910" w:h="16840"/>
          <w:pgMar w:header="0" w:footer="976" w:top="1580" w:bottom="1240" w:left="1140" w:right="520"/>
        </w:sectPr>
      </w:pPr>
    </w:p>
    <w:p>
      <w:pPr>
        <w:pStyle w:val="BodyText"/>
        <w:spacing w:line="360" w:lineRule="auto" w:before="98"/>
        <w:ind w:left="1128" w:right="615" w:firstLine="708"/>
        <w:jc w:val="both"/>
      </w:pPr>
      <w:r>
        <w:rPr/>
        <w:t>Araştırma grubundaki kişilerin afet eğitim ve tatbikatları ile ilgili düşüncelerinin daha önce afet eğitimi alıp almama durumuna göre karşılaştırılması Tablo 4. 17’de gösterilmiştir.</w:t>
      </w:r>
    </w:p>
    <w:p>
      <w:pPr>
        <w:pStyle w:val="BodyText"/>
        <w:spacing w:before="4"/>
        <w:rPr>
          <w:sz w:val="36"/>
        </w:rPr>
      </w:pPr>
    </w:p>
    <w:p>
      <w:pPr>
        <w:pStyle w:val="Heading1"/>
        <w:spacing w:line="256" w:lineRule="auto" w:before="1"/>
        <w:ind w:left="1120" w:right="605"/>
        <w:jc w:val="center"/>
      </w:pPr>
      <w:r>
        <w:rPr/>
        <w:t>Tablo 4. 17. Gümüşhane 112’de Çalışan Personelin Afet Eğitim ve Tatbikatları İle İlgili Düşüncelerinin Daha Önce Afet Eğitimi Alıp Almama Durumuna Göre Karşılaştırılması</w:t>
      </w:r>
    </w:p>
    <w:p>
      <w:pPr>
        <w:pStyle w:val="BodyText"/>
        <w:rPr>
          <w:b/>
          <w:sz w:val="15"/>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26"/>
        <w:gridCol w:w="1438"/>
        <w:gridCol w:w="1000"/>
        <w:gridCol w:w="659"/>
        <w:gridCol w:w="1139"/>
        <w:gridCol w:w="1104"/>
        <w:gridCol w:w="806"/>
        <w:gridCol w:w="902"/>
      </w:tblGrid>
      <w:tr>
        <w:trPr>
          <w:trHeight w:val="1143" w:hRule="atLeast"/>
        </w:trPr>
        <w:tc>
          <w:tcPr>
            <w:tcW w:w="2664" w:type="dxa"/>
            <w:gridSpan w:val="2"/>
            <w:tcBorders>
              <w:top w:val="single" w:sz="4" w:space="0" w:color="000000"/>
            </w:tcBorders>
          </w:tcPr>
          <w:p>
            <w:pPr>
              <w:pStyle w:val="TableParagraph"/>
              <w:ind w:left="1395" w:right="158"/>
              <w:jc w:val="center"/>
              <w:rPr>
                <w:b/>
                <w:sz w:val="22"/>
              </w:rPr>
            </w:pPr>
            <w:r>
              <w:rPr>
                <w:b/>
                <w:sz w:val="22"/>
              </w:rPr>
              <w:t>Levene’ nin Varyans Eşitliği</w:t>
            </w:r>
          </w:p>
          <w:p>
            <w:pPr>
              <w:pStyle w:val="TableParagraph"/>
              <w:tabs>
                <w:tab w:pos="1717" w:val="left" w:leader="none"/>
                <w:tab w:pos="8273" w:val="left" w:leader="none"/>
              </w:tabs>
              <w:ind w:left="10" w:right="-5616"/>
              <w:rPr>
                <w:b/>
                <w:sz w:val="22"/>
              </w:rPr>
            </w:pPr>
            <w:r>
              <w:rPr>
                <w:b/>
                <w:w w:val="100"/>
                <w:sz w:val="22"/>
                <w:u w:val="single"/>
              </w:rPr>
              <w:t> </w:t>
            </w:r>
            <w:r>
              <w:rPr>
                <w:b/>
                <w:sz w:val="22"/>
                <w:u w:val="single"/>
              </w:rPr>
              <w:tab/>
              <w:t>Testi</w:t>
              <w:tab/>
            </w:r>
          </w:p>
        </w:tc>
        <w:tc>
          <w:tcPr>
            <w:tcW w:w="1000" w:type="dxa"/>
            <w:tcBorders>
              <w:top w:val="single" w:sz="4" w:space="0" w:color="000000"/>
            </w:tcBorders>
          </w:tcPr>
          <w:p>
            <w:pPr>
              <w:pStyle w:val="TableParagraph"/>
              <w:ind w:left="69" w:right="120" w:hanging="4"/>
              <w:jc w:val="center"/>
              <w:rPr>
                <w:b/>
                <w:sz w:val="22"/>
              </w:rPr>
            </w:pPr>
            <w:r>
              <w:rPr>
                <w:b/>
                <w:sz w:val="22"/>
              </w:rPr>
              <w:t>Eğitim Alma Durumu</w:t>
            </w:r>
          </w:p>
        </w:tc>
        <w:tc>
          <w:tcPr>
            <w:tcW w:w="659" w:type="dxa"/>
            <w:tcBorders>
              <w:top w:val="single" w:sz="4" w:space="0" w:color="000000"/>
            </w:tcBorders>
          </w:tcPr>
          <w:p>
            <w:pPr>
              <w:pStyle w:val="TableParagraph"/>
              <w:spacing w:line="251" w:lineRule="exact"/>
              <w:ind w:left="102" w:right="113"/>
              <w:jc w:val="center"/>
              <w:rPr>
                <w:b/>
                <w:sz w:val="22"/>
              </w:rPr>
            </w:pPr>
            <w:r>
              <w:rPr>
                <w:b/>
                <w:sz w:val="22"/>
              </w:rPr>
              <w:t>Sayı</w:t>
            </w:r>
          </w:p>
        </w:tc>
        <w:tc>
          <w:tcPr>
            <w:tcW w:w="1139" w:type="dxa"/>
            <w:tcBorders>
              <w:top w:val="single" w:sz="4" w:space="0" w:color="000000"/>
            </w:tcBorders>
          </w:tcPr>
          <w:p>
            <w:pPr>
              <w:pStyle w:val="TableParagraph"/>
              <w:spacing w:line="251" w:lineRule="exact"/>
              <w:ind w:left="131"/>
              <w:rPr>
                <w:b/>
                <w:sz w:val="22"/>
              </w:rPr>
            </w:pPr>
            <w:r>
              <w:rPr>
                <w:b/>
                <w:sz w:val="22"/>
              </w:rPr>
              <w:t>Ortalama</w:t>
            </w:r>
          </w:p>
        </w:tc>
        <w:tc>
          <w:tcPr>
            <w:tcW w:w="1104" w:type="dxa"/>
            <w:tcBorders>
              <w:top w:val="single" w:sz="4" w:space="0" w:color="000000"/>
            </w:tcBorders>
          </w:tcPr>
          <w:p>
            <w:pPr>
              <w:pStyle w:val="TableParagraph"/>
              <w:ind w:left="256" w:right="90" w:hanging="94"/>
              <w:rPr>
                <w:b/>
                <w:sz w:val="22"/>
              </w:rPr>
            </w:pPr>
            <w:r>
              <w:rPr>
                <w:b/>
                <w:sz w:val="22"/>
              </w:rPr>
              <w:t>Standart Sapma</w:t>
            </w:r>
          </w:p>
        </w:tc>
        <w:tc>
          <w:tcPr>
            <w:tcW w:w="806" w:type="dxa"/>
            <w:tcBorders>
              <w:top w:val="single" w:sz="4" w:space="0" w:color="000000"/>
            </w:tcBorders>
          </w:tcPr>
          <w:p>
            <w:pPr>
              <w:pStyle w:val="TableParagraph"/>
              <w:spacing w:line="251" w:lineRule="exact"/>
              <w:ind w:left="8"/>
              <w:jc w:val="center"/>
              <w:rPr>
                <w:b/>
                <w:sz w:val="22"/>
              </w:rPr>
            </w:pPr>
            <w:r>
              <w:rPr>
                <w:b/>
                <w:w w:val="100"/>
                <w:sz w:val="22"/>
              </w:rPr>
              <w:t>t</w:t>
            </w:r>
          </w:p>
        </w:tc>
        <w:tc>
          <w:tcPr>
            <w:tcW w:w="902" w:type="dxa"/>
            <w:tcBorders>
              <w:top w:val="single" w:sz="4" w:space="0" w:color="000000"/>
            </w:tcBorders>
          </w:tcPr>
          <w:p>
            <w:pPr>
              <w:pStyle w:val="TableParagraph"/>
              <w:spacing w:line="251" w:lineRule="exact"/>
              <w:jc w:val="center"/>
              <w:rPr>
                <w:b/>
                <w:sz w:val="22"/>
              </w:rPr>
            </w:pPr>
            <w:r>
              <w:rPr>
                <w:b/>
                <w:w w:val="100"/>
                <w:sz w:val="22"/>
              </w:rPr>
              <w:t>p</w:t>
            </w:r>
          </w:p>
        </w:tc>
      </w:tr>
      <w:tr>
        <w:trPr>
          <w:trHeight w:val="384" w:hRule="atLeast"/>
        </w:trPr>
        <w:tc>
          <w:tcPr>
            <w:tcW w:w="1226" w:type="dxa"/>
          </w:tcPr>
          <w:p>
            <w:pPr>
              <w:pStyle w:val="TableParagraph"/>
              <w:spacing w:line="234" w:lineRule="exact" w:before="129"/>
              <w:ind w:left="146" w:right="140"/>
              <w:jc w:val="center"/>
              <w:rPr>
                <w:b/>
                <w:sz w:val="22"/>
              </w:rPr>
            </w:pPr>
            <w:r>
              <w:rPr>
                <w:b/>
                <w:sz w:val="22"/>
              </w:rPr>
              <w:t>Afet</w:t>
            </w:r>
          </w:p>
        </w:tc>
        <w:tc>
          <w:tcPr>
            <w:tcW w:w="1438" w:type="dxa"/>
          </w:tcPr>
          <w:p>
            <w:pPr>
              <w:pStyle w:val="TableParagraph"/>
              <w:tabs>
                <w:tab w:pos="1055" w:val="left" w:leader="none"/>
              </w:tabs>
              <w:spacing w:line="239" w:lineRule="exact" w:before="124"/>
              <w:ind w:left="160"/>
              <w:rPr>
                <w:b/>
                <w:sz w:val="22"/>
              </w:rPr>
            </w:pPr>
            <w:r>
              <w:rPr>
                <w:sz w:val="22"/>
              </w:rPr>
              <w:t>F</w:t>
              <w:tab/>
            </w:r>
            <w:r>
              <w:rPr>
                <w:b/>
                <w:sz w:val="22"/>
              </w:rPr>
              <w:t>p</w:t>
            </w:r>
          </w:p>
        </w:tc>
        <w:tc>
          <w:tcPr>
            <w:tcW w:w="1000" w:type="dxa"/>
          </w:tcPr>
          <w:p>
            <w:pPr>
              <w:pStyle w:val="TableParagraph"/>
              <w:spacing w:line="239" w:lineRule="exact" w:before="124"/>
              <w:ind w:left="240" w:right="216"/>
              <w:jc w:val="center"/>
              <w:rPr>
                <w:sz w:val="22"/>
              </w:rPr>
            </w:pPr>
            <w:r>
              <w:rPr>
                <w:sz w:val="22"/>
              </w:rPr>
              <w:t>Evet</w:t>
            </w:r>
          </w:p>
        </w:tc>
        <w:tc>
          <w:tcPr>
            <w:tcW w:w="659" w:type="dxa"/>
          </w:tcPr>
          <w:p>
            <w:pPr>
              <w:pStyle w:val="TableParagraph"/>
              <w:spacing w:line="239" w:lineRule="exact" w:before="124"/>
              <w:ind w:left="95" w:right="113"/>
              <w:jc w:val="center"/>
              <w:rPr>
                <w:sz w:val="22"/>
              </w:rPr>
            </w:pPr>
            <w:r>
              <w:rPr>
                <w:sz w:val="22"/>
              </w:rPr>
              <w:t>59</w:t>
            </w:r>
          </w:p>
        </w:tc>
        <w:tc>
          <w:tcPr>
            <w:tcW w:w="1139" w:type="dxa"/>
          </w:tcPr>
          <w:p>
            <w:pPr>
              <w:pStyle w:val="TableParagraph"/>
              <w:spacing w:line="239" w:lineRule="exact" w:before="124"/>
              <w:ind w:left="229"/>
              <w:rPr>
                <w:sz w:val="22"/>
              </w:rPr>
            </w:pPr>
            <w:r>
              <w:rPr>
                <w:sz w:val="22"/>
              </w:rPr>
              <w:t>3,1299</w:t>
            </w:r>
          </w:p>
        </w:tc>
        <w:tc>
          <w:tcPr>
            <w:tcW w:w="1104" w:type="dxa"/>
          </w:tcPr>
          <w:p>
            <w:pPr>
              <w:pStyle w:val="TableParagraph"/>
              <w:spacing w:line="239" w:lineRule="exact" w:before="124"/>
              <w:ind w:left="86"/>
              <w:rPr>
                <w:sz w:val="22"/>
              </w:rPr>
            </w:pPr>
            <w:r>
              <w:rPr>
                <w:sz w:val="22"/>
              </w:rPr>
              <w:t>0,87541</w:t>
            </w:r>
          </w:p>
        </w:tc>
        <w:tc>
          <w:tcPr>
            <w:tcW w:w="806" w:type="dxa"/>
          </w:tcPr>
          <w:p>
            <w:pPr>
              <w:pStyle w:val="TableParagraph"/>
              <w:rPr>
                <w:sz w:val="22"/>
              </w:rPr>
            </w:pPr>
          </w:p>
        </w:tc>
        <w:tc>
          <w:tcPr>
            <w:tcW w:w="902" w:type="dxa"/>
          </w:tcPr>
          <w:p>
            <w:pPr>
              <w:pStyle w:val="TableParagraph"/>
              <w:rPr>
                <w:sz w:val="22"/>
              </w:rPr>
            </w:pPr>
          </w:p>
        </w:tc>
      </w:tr>
      <w:tr>
        <w:trPr>
          <w:trHeight w:val="253" w:hRule="atLeast"/>
        </w:trPr>
        <w:tc>
          <w:tcPr>
            <w:tcW w:w="1226" w:type="dxa"/>
          </w:tcPr>
          <w:p>
            <w:pPr>
              <w:pStyle w:val="TableParagraph"/>
              <w:spacing w:line="233" w:lineRule="exact"/>
              <w:ind w:left="146" w:right="140"/>
              <w:jc w:val="center"/>
              <w:rPr>
                <w:b/>
                <w:sz w:val="22"/>
              </w:rPr>
            </w:pPr>
            <w:r>
              <w:rPr>
                <w:b/>
                <w:sz w:val="22"/>
              </w:rPr>
              <w:t>Eğitim ve</w:t>
            </w:r>
          </w:p>
        </w:tc>
        <w:tc>
          <w:tcPr>
            <w:tcW w:w="1438" w:type="dxa"/>
          </w:tcPr>
          <w:p>
            <w:pPr>
              <w:pStyle w:val="TableParagraph"/>
              <w:rPr>
                <w:sz w:val="18"/>
              </w:rPr>
            </w:pPr>
          </w:p>
        </w:tc>
        <w:tc>
          <w:tcPr>
            <w:tcW w:w="1000" w:type="dxa"/>
          </w:tcPr>
          <w:p>
            <w:pPr>
              <w:pStyle w:val="TableParagraph"/>
              <w:rPr>
                <w:sz w:val="18"/>
              </w:rPr>
            </w:pPr>
          </w:p>
        </w:tc>
        <w:tc>
          <w:tcPr>
            <w:tcW w:w="659" w:type="dxa"/>
          </w:tcPr>
          <w:p>
            <w:pPr>
              <w:pStyle w:val="TableParagraph"/>
              <w:rPr>
                <w:sz w:val="18"/>
              </w:rPr>
            </w:pPr>
          </w:p>
        </w:tc>
        <w:tc>
          <w:tcPr>
            <w:tcW w:w="1139" w:type="dxa"/>
          </w:tcPr>
          <w:p>
            <w:pPr>
              <w:pStyle w:val="TableParagraph"/>
              <w:rPr>
                <w:sz w:val="18"/>
              </w:rPr>
            </w:pPr>
          </w:p>
        </w:tc>
        <w:tc>
          <w:tcPr>
            <w:tcW w:w="1104" w:type="dxa"/>
          </w:tcPr>
          <w:p>
            <w:pPr>
              <w:pStyle w:val="TableParagraph"/>
              <w:rPr>
                <w:sz w:val="18"/>
              </w:rPr>
            </w:pPr>
          </w:p>
        </w:tc>
        <w:tc>
          <w:tcPr>
            <w:tcW w:w="806" w:type="dxa"/>
          </w:tcPr>
          <w:p>
            <w:pPr>
              <w:pStyle w:val="TableParagraph"/>
              <w:spacing w:line="233" w:lineRule="exact"/>
              <w:ind w:left="88" w:right="182"/>
              <w:jc w:val="center"/>
              <w:rPr>
                <w:sz w:val="22"/>
              </w:rPr>
            </w:pPr>
            <w:r>
              <w:rPr>
                <w:sz w:val="22"/>
              </w:rPr>
              <w:t>2,315</w:t>
            </w:r>
          </w:p>
        </w:tc>
        <w:tc>
          <w:tcPr>
            <w:tcW w:w="902" w:type="dxa"/>
          </w:tcPr>
          <w:p>
            <w:pPr>
              <w:pStyle w:val="TableParagraph"/>
              <w:spacing w:line="233" w:lineRule="exact"/>
              <w:ind w:left="182" w:right="184"/>
              <w:jc w:val="center"/>
              <w:rPr>
                <w:b/>
                <w:sz w:val="22"/>
              </w:rPr>
            </w:pPr>
            <w:r>
              <w:rPr>
                <w:b/>
                <w:sz w:val="22"/>
              </w:rPr>
              <w:t>0,023</w:t>
            </w:r>
          </w:p>
        </w:tc>
      </w:tr>
      <w:tr>
        <w:trPr>
          <w:trHeight w:val="506" w:hRule="atLeast"/>
        </w:trPr>
        <w:tc>
          <w:tcPr>
            <w:tcW w:w="1226" w:type="dxa"/>
            <w:tcBorders>
              <w:bottom w:val="single" w:sz="4" w:space="0" w:color="000000"/>
            </w:tcBorders>
          </w:tcPr>
          <w:p>
            <w:pPr>
              <w:pStyle w:val="TableParagraph"/>
              <w:spacing w:line="252" w:lineRule="exact"/>
              <w:ind w:left="146" w:right="138"/>
              <w:jc w:val="center"/>
              <w:rPr>
                <w:b/>
                <w:sz w:val="22"/>
              </w:rPr>
            </w:pPr>
            <w:r>
              <w:rPr>
                <w:b/>
                <w:sz w:val="22"/>
              </w:rPr>
              <w:t>Tatbikatı</w:t>
            </w:r>
          </w:p>
        </w:tc>
        <w:tc>
          <w:tcPr>
            <w:tcW w:w="1438" w:type="dxa"/>
            <w:tcBorders>
              <w:bottom w:val="single" w:sz="4" w:space="0" w:color="000000"/>
            </w:tcBorders>
          </w:tcPr>
          <w:p>
            <w:pPr>
              <w:pStyle w:val="TableParagraph"/>
              <w:tabs>
                <w:tab w:pos="873" w:val="left" w:leader="none"/>
              </w:tabs>
              <w:spacing w:line="247" w:lineRule="exact"/>
              <w:ind w:left="265"/>
              <w:rPr>
                <w:b/>
                <w:sz w:val="22"/>
              </w:rPr>
            </w:pPr>
            <w:r>
              <w:rPr>
                <w:sz w:val="22"/>
              </w:rPr>
              <w:t>0,21</w:t>
              <w:tab/>
            </w:r>
            <w:r>
              <w:rPr>
                <w:b/>
                <w:sz w:val="22"/>
              </w:rPr>
              <w:t>0,884</w:t>
            </w:r>
          </w:p>
        </w:tc>
        <w:tc>
          <w:tcPr>
            <w:tcW w:w="1000" w:type="dxa"/>
            <w:tcBorders>
              <w:bottom w:val="single" w:sz="4" w:space="0" w:color="000000"/>
            </w:tcBorders>
          </w:tcPr>
          <w:p>
            <w:pPr>
              <w:pStyle w:val="TableParagraph"/>
              <w:spacing w:line="247" w:lineRule="exact"/>
              <w:ind w:left="243" w:right="216"/>
              <w:jc w:val="center"/>
              <w:rPr>
                <w:sz w:val="22"/>
              </w:rPr>
            </w:pPr>
            <w:r>
              <w:rPr>
                <w:sz w:val="22"/>
              </w:rPr>
              <w:t>Hayır</w:t>
            </w:r>
          </w:p>
        </w:tc>
        <w:tc>
          <w:tcPr>
            <w:tcW w:w="659" w:type="dxa"/>
            <w:tcBorders>
              <w:bottom w:val="single" w:sz="4" w:space="0" w:color="000000"/>
            </w:tcBorders>
          </w:tcPr>
          <w:p>
            <w:pPr>
              <w:pStyle w:val="TableParagraph"/>
              <w:spacing w:line="247" w:lineRule="exact"/>
              <w:ind w:left="95" w:right="113"/>
              <w:jc w:val="center"/>
              <w:rPr>
                <w:sz w:val="22"/>
              </w:rPr>
            </w:pPr>
            <w:r>
              <w:rPr>
                <w:sz w:val="22"/>
              </w:rPr>
              <w:t>46</w:t>
            </w:r>
          </w:p>
        </w:tc>
        <w:tc>
          <w:tcPr>
            <w:tcW w:w="1139" w:type="dxa"/>
            <w:tcBorders>
              <w:bottom w:val="single" w:sz="4" w:space="0" w:color="000000"/>
            </w:tcBorders>
          </w:tcPr>
          <w:p>
            <w:pPr>
              <w:pStyle w:val="TableParagraph"/>
              <w:spacing w:line="247" w:lineRule="exact"/>
              <w:ind w:left="229"/>
              <w:rPr>
                <w:sz w:val="22"/>
              </w:rPr>
            </w:pPr>
            <w:r>
              <w:rPr>
                <w:sz w:val="22"/>
              </w:rPr>
              <w:t>2,7065</w:t>
            </w:r>
          </w:p>
        </w:tc>
        <w:tc>
          <w:tcPr>
            <w:tcW w:w="1104" w:type="dxa"/>
            <w:tcBorders>
              <w:bottom w:val="single" w:sz="4" w:space="0" w:color="000000"/>
            </w:tcBorders>
          </w:tcPr>
          <w:p>
            <w:pPr>
              <w:pStyle w:val="TableParagraph"/>
              <w:spacing w:line="247" w:lineRule="exact"/>
              <w:ind w:left="86"/>
              <w:rPr>
                <w:sz w:val="22"/>
              </w:rPr>
            </w:pPr>
            <w:r>
              <w:rPr>
                <w:sz w:val="22"/>
              </w:rPr>
              <w:t>0,99578</w:t>
            </w:r>
          </w:p>
        </w:tc>
        <w:tc>
          <w:tcPr>
            <w:tcW w:w="806" w:type="dxa"/>
            <w:tcBorders>
              <w:bottom w:val="single" w:sz="4" w:space="0" w:color="000000"/>
            </w:tcBorders>
          </w:tcPr>
          <w:p>
            <w:pPr>
              <w:pStyle w:val="TableParagraph"/>
              <w:rPr>
                <w:sz w:val="22"/>
              </w:rPr>
            </w:pPr>
          </w:p>
        </w:tc>
        <w:tc>
          <w:tcPr>
            <w:tcW w:w="902" w:type="dxa"/>
            <w:tcBorders>
              <w:bottom w:val="single" w:sz="4" w:space="0" w:color="000000"/>
            </w:tcBorders>
          </w:tcPr>
          <w:p>
            <w:pPr>
              <w:pStyle w:val="TableParagraph"/>
              <w:rPr>
                <w:sz w:val="22"/>
              </w:rPr>
            </w:pPr>
          </w:p>
        </w:tc>
      </w:tr>
    </w:tbl>
    <w:p>
      <w:pPr>
        <w:pStyle w:val="BodyText"/>
        <w:spacing w:before="1"/>
        <w:rPr>
          <w:b/>
          <w:sz w:val="38"/>
        </w:rPr>
      </w:pPr>
    </w:p>
    <w:p>
      <w:pPr>
        <w:pStyle w:val="BodyText"/>
        <w:spacing w:line="360" w:lineRule="auto"/>
        <w:ind w:left="1128" w:right="610" w:firstLine="708"/>
        <w:jc w:val="both"/>
      </w:pPr>
      <w:r>
        <w:rPr/>
        <w:t>Levene testi sonucu p değeri 0,884 çıkmıştır ve iki grubun varyanslarının eşit olduğu saptanmıştır. Yapılan T testinde p değeri 0,023 çıkması sebebiyle araştırmaya katılan personelin afet eğitim ve tatbikatlarıyla ilgili düşünceleri daha önce afet alıp almama durumuna göre anlamlı farklılık gösterdiği tespit edilmiştir. Böylelikle çalışmanın üçüncü hipotezi kabul edilmiştir. Arada anlamlı bir fark bulunuyorsa bu anlamlı farklılığın ortaya konulması için ‘‘Hangi cevabı veren personelin bilgi düzeyi daha yüksektir?’’ sorusuna cevap bulunmalıdır. Bu sebeple Tablo 4. 17’deki afetle ilgili eğitim alan ve eğitim almayan personelin ortalamalarına bakılmalıdır. Tablo 4. 17’deki verilere göre afetle ilgili eğitim alan personel ortalaması (evet) 3,1299 ve afetle ilgili eğitim almayan personelin ortalaması (hayır) 2,7065 olarak saptanmıştır. Böylece afetle ilgili eğitim alan personelin bilgi düzeyler afetle ilgili eğitim almayan personelin bilgi düzeylerine göre daha yüksek olduğu sonucuna ulaşılmaktadır.</w:t>
      </w:r>
    </w:p>
    <w:p>
      <w:pPr>
        <w:pStyle w:val="BodyText"/>
        <w:spacing w:line="362" w:lineRule="auto" w:before="1"/>
        <w:ind w:left="1128" w:right="619" w:firstLine="708"/>
        <w:jc w:val="both"/>
      </w:pPr>
      <w:r>
        <w:rPr/>
        <w:t>H4: Gümüşhane 112’de çalışan personelin koordinasyon ile ilgili düşünceleri, kurumdaki görevine göre anlamlı farklılık göstermektedir.</w:t>
      </w:r>
    </w:p>
    <w:p>
      <w:pPr>
        <w:pStyle w:val="BodyText"/>
        <w:spacing w:line="360" w:lineRule="auto"/>
        <w:ind w:left="1128" w:right="611" w:firstLine="708"/>
        <w:jc w:val="both"/>
      </w:pPr>
      <w:r>
        <w:rPr/>
        <w:t>Araştırma grubundaki kişilerin koordinasyon ile ilgili düşüncelerinin kurumdaki görevine göre karşılaştırılması Tablo 4. 18’de gösterilmiştir.</w:t>
      </w:r>
    </w:p>
    <w:p>
      <w:pPr>
        <w:spacing w:after="0" w:line="360" w:lineRule="auto"/>
        <w:jc w:val="both"/>
        <w:sectPr>
          <w:pgSz w:w="11910" w:h="16840"/>
          <w:pgMar w:header="0" w:footer="976" w:top="1580" w:bottom="1240" w:left="1140" w:right="520"/>
        </w:sectPr>
      </w:pPr>
    </w:p>
    <w:p>
      <w:pPr>
        <w:pStyle w:val="Heading1"/>
        <w:spacing w:line="256" w:lineRule="auto" w:before="102"/>
        <w:ind w:left="1519" w:right="991" w:firstLine="62"/>
      </w:pPr>
      <w:r>
        <w:rPr/>
        <w:t>Tablo 4. 18. Gümüşhane 112’de Çalışan Personelin Koordinasyon İle İlgili Düşüncelerinin Kurumdaki Görevine Göre Karşılaştırılması (Levene Testi)</w:t>
      </w:r>
    </w:p>
    <w:p>
      <w:pPr>
        <w:pStyle w:val="BodyText"/>
        <w:spacing w:before="6"/>
        <w:rPr>
          <w:b/>
          <w:sz w:val="14"/>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463"/>
        <w:gridCol w:w="2931"/>
        <w:gridCol w:w="1873"/>
      </w:tblGrid>
      <w:tr>
        <w:trPr>
          <w:trHeight w:val="671" w:hRule="atLeast"/>
        </w:trPr>
        <w:tc>
          <w:tcPr>
            <w:tcW w:w="3463" w:type="dxa"/>
            <w:tcBorders>
              <w:top w:val="single" w:sz="4" w:space="0" w:color="000000"/>
              <w:bottom w:val="single" w:sz="4" w:space="0" w:color="000000"/>
            </w:tcBorders>
          </w:tcPr>
          <w:p>
            <w:pPr>
              <w:pStyle w:val="TableParagraph"/>
              <w:rPr>
                <w:sz w:val="22"/>
              </w:rPr>
            </w:pPr>
          </w:p>
        </w:tc>
        <w:tc>
          <w:tcPr>
            <w:tcW w:w="2931" w:type="dxa"/>
            <w:tcBorders>
              <w:top w:val="single" w:sz="4" w:space="0" w:color="000000"/>
              <w:bottom w:val="single" w:sz="4" w:space="0" w:color="000000"/>
            </w:tcBorders>
          </w:tcPr>
          <w:p>
            <w:pPr>
              <w:pStyle w:val="TableParagraph"/>
              <w:spacing w:line="251" w:lineRule="exact"/>
              <w:ind w:left="516"/>
              <w:rPr>
                <w:b/>
                <w:sz w:val="22"/>
              </w:rPr>
            </w:pPr>
            <w:r>
              <w:rPr>
                <w:b/>
                <w:sz w:val="22"/>
              </w:rPr>
              <w:t>Levene İstatistiği</w:t>
            </w:r>
          </w:p>
        </w:tc>
        <w:tc>
          <w:tcPr>
            <w:tcW w:w="1873" w:type="dxa"/>
            <w:tcBorders>
              <w:top w:val="single" w:sz="4" w:space="0" w:color="000000"/>
              <w:bottom w:val="single" w:sz="4" w:space="0" w:color="000000"/>
            </w:tcBorders>
          </w:tcPr>
          <w:p>
            <w:pPr>
              <w:pStyle w:val="TableParagraph"/>
              <w:spacing w:line="251" w:lineRule="exact"/>
              <w:ind w:right="22"/>
              <w:jc w:val="center"/>
              <w:rPr>
                <w:b/>
                <w:sz w:val="22"/>
              </w:rPr>
            </w:pPr>
            <w:r>
              <w:rPr>
                <w:b/>
                <w:w w:val="100"/>
                <w:sz w:val="22"/>
              </w:rPr>
              <w:t>p</w:t>
            </w:r>
          </w:p>
        </w:tc>
      </w:tr>
      <w:tr>
        <w:trPr>
          <w:trHeight w:val="757" w:hRule="atLeast"/>
        </w:trPr>
        <w:tc>
          <w:tcPr>
            <w:tcW w:w="3463" w:type="dxa"/>
            <w:tcBorders>
              <w:top w:val="single" w:sz="4" w:space="0" w:color="000000"/>
            </w:tcBorders>
          </w:tcPr>
          <w:p>
            <w:pPr>
              <w:pStyle w:val="TableParagraph"/>
              <w:rPr>
                <w:b/>
                <w:sz w:val="24"/>
              </w:rPr>
            </w:pPr>
          </w:p>
          <w:p>
            <w:pPr>
              <w:pStyle w:val="TableParagraph"/>
              <w:spacing w:before="10"/>
              <w:rPr>
                <w:b/>
                <w:sz w:val="19"/>
              </w:rPr>
            </w:pPr>
          </w:p>
          <w:p>
            <w:pPr>
              <w:pStyle w:val="TableParagraph"/>
              <w:spacing w:line="233" w:lineRule="exact"/>
              <w:ind w:left="928"/>
              <w:rPr>
                <w:b/>
                <w:sz w:val="22"/>
              </w:rPr>
            </w:pPr>
            <w:r>
              <w:rPr>
                <w:b/>
                <w:sz w:val="22"/>
              </w:rPr>
              <w:t>Koordinasyon</w:t>
            </w:r>
          </w:p>
        </w:tc>
        <w:tc>
          <w:tcPr>
            <w:tcW w:w="2931" w:type="dxa"/>
            <w:tcBorders>
              <w:top w:val="single" w:sz="4" w:space="0" w:color="000000"/>
            </w:tcBorders>
          </w:tcPr>
          <w:p>
            <w:pPr>
              <w:pStyle w:val="TableParagraph"/>
              <w:rPr>
                <w:b/>
                <w:sz w:val="24"/>
              </w:rPr>
            </w:pPr>
          </w:p>
          <w:p>
            <w:pPr>
              <w:pStyle w:val="TableParagraph"/>
              <w:spacing w:line="252" w:lineRule="exact" w:before="209"/>
              <w:ind w:left="1181" w:right="1215"/>
              <w:jc w:val="center"/>
              <w:rPr>
                <w:sz w:val="22"/>
              </w:rPr>
            </w:pPr>
            <w:r>
              <w:rPr>
                <w:sz w:val="22"/>
              </w:rPr>
              <w:t>1,278</w:t>
            </w:r>
          </w:p>
        </w:tc>
        <w:tc>
          <w:tcPr>
            <w:tcW w:w="1873" w:type="dxa"/>
            <w:tcBorders>
              <w:top w:val="single" w:sz="4" w:space="0" w:color="000000"/>
            </w:tcBorders>
          </w:tcPr>
          <w:p>
            <w:pPr>
              <w:pStyle w:val="TableParagraph"/>
              <w:rPr>
                <w:b/>
                <w:sz w:val="24"/>
              </w:rPr>
            </w:pPr>
          </w:p>
          <w:p>
            <w:pPr>
              <w:pStyle w:val="TableParagraph"/>
              <w:spacing w:line="248" w:lineRule="exact" w:before="214"/>
              <w:ind w:left="802"/>
              <w:rPr>
                <w:b/>
                <w:sz w:val="22"/>
              </w:rPr>
            </w:pPr>
            <w:r>
              <w:rPr>
                <w:b/>
                <w:sz w:val="22"/>
              </w:rPr>
              <w:t>0,283</w:t>
            </w:r>
          </w:p>
        </w:tc>
      </w:tr>
    </w:tbl>
    <w:p>
      <w:pPr>
        <w:pStyle w:val="BodyText"/>
        <w:rPr>
          <w:b/>
          <w:sz w:val="20"/>
        </w:rPr>
      </w:pPr>
    </w:p>
    <w:p>
      <w:pPr>
        <w:pStyle w:val="BodyText"/>
        <w:spacing w:before="7"/>
        <w:rPr>
          <w:b/>
          <w:sz w:val="20"/>
        </w:rPr>
      </w:pPr>
      <w:r>
        <w:rPr/>
        <w:pict>
          <v:group style="position:absolute;margin-left:112.699997pt;margin-top:13.83292pt;width:414pt;height:.5pt;mso-position-horizontal-relative:page;mso-position-vertical-relative:paragraph;z-index:-616;mso-wrap-distance-left:0;mso-wrap-distance-right:0" coordorigin="2254,277" coordsize="8280,10">
            <v:line style="position:absolute" from="2254,281" to="5461,281" stroked="true" strokeweight=".48001pt" strokecolor="#000000">
              <v:stroke dashstyle="solid"/>
            </v:line>
            <v:rect style="position:absolute;left:5446;top:276;width:10;height:10" filled="true" fillcolor="#000000" stroked="false">
              <v:fill type="solid"/>
            </v:rect>
            <v:line style="position:absolute" from="5456,281" to="8644,281" stroked="true" strokeweight=".48001pt" strokecolor="#000000">
              <v:stroke dashstyle="solid"/>
            </v:line>
            <v:rect style="position:absolute;left:8629;top:276;width:10;height:10" filled="true" fillcolor="#000000" stroked="false">
              <v:fill type="solid"/>
            </v:rect>
            <v:line style="position:absolute" from="8639,281" to="10533,281" stroked="true" strokeweight=".48001pt" strokecolor="#000000">
              <v:stroke dashstyle="solid"/>
            </v:line>
            <w10:wrap type="topAndBottom"/>
          </v:group>
        </w:pict>
      </w:r>
    </w:p>
    <w:p>
      <w:pPr>
        <w:pStyle w:val="BodyText"/>
        <w:spacing w:before="9"/>
        <w:rPr>
          <w:b/>
          <w:sz w:val="36"/>
        </w:rPr>
      </w:pPr>
    </w:p>
    <w:p>
      <w:pPr>
        <w:pStyle w:val="BodyText"/>
        <w:spacing w:line="360" w:lineRule="auto"/>
        <w:ind w:left="1128" w:right="609" w:firstLine="708"/>
        <w:jc w:val="both"/>
      </w:pPr>
      <w:r>
        <w:rPr/>
        <w:t>Anova testinin güvenilir olması için grupların homojen olarak dağılması gerekmektedir. Homojenliği test etmek için levene testine bakılmalıdır. Levene testi sonucunda p değeri 0,05 den büyük olduğu görülmektedir. Böylece grupların homojen olarak dağılmaktadır.</w:t>
      </w:r>
    </w:p>
    <w:p>
      <w:pPr>
        <w:pStyle w:val="BodyText"/>
        <w:spacing w:line="360" w:lineRule="auto"/>
        <w:ind w:left="1128" w:right="613" w:firstLine="708"/>
        <w:jc w:val="both"/>
      </w:pPr>
      <w:r>
        <w:rPr/>
        <w:t>Araştırma grubundaki kişilerin koordinasyonla ilgili düşüncelerinin kurumdaki görevine göre karşılaştırılması Tablo 4. 19’da gösterilmiştir.</w:t>
      </w:r>
    </w:p>
    <w:p>
      <w:pPr>
        <w:pStyle w:val="BodyText"/>
        <w:rPr>
          <w:sz w:val="26"/>
        </w:rPr>
      </w:pPr>
    </w:p>
    <w:p>
      <w:pPr>
        <w:pStyle w:val="Heading1"/>
        <w:spacing w:line="256" w:lineRule="auto" w:before="163"/>
        <w:ind w:left="1550" w:right="1026" w:firstLine="31"/>
      </w:pPr>
      <w:r>
        <w:rPr/>
        <w:t>Tablo 4. 19. Gümüşhane 112’de Çalışan Personelin Koordinasyon İle İlgili Düşüncelerinin Kurumdaki Görevine Göre Karşılaştırılması (Anova Testi)</w:t>
      </w:r>
    </w:p>
    <w:p>
      <w:pPr>
        <w:pStyle w:val="BodyText"/>
        <w:spacing w:before="10"/>
        <w:rPr>
          <w:b/>
          <w:sz w:val="14"/>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559"/>
        <w:gridCol w:w="1840"/>
        <w:gridCol w:w="1393"/>
        <w:gridCol w:w="1796"/>
        <w:gridCol w:w="1094"/>
        <w:gridCol w:w="836"/>
      </w:tblGrid>
      <w:tr>
        <w:trPr>
          <w:trHeight w:val="506" w:hRule="atLeast"/>
        </w:trPr>
        <w:tc>
          <w:tcPr>
            <w:tcW w:w="1559" w:type="dxa"/>
            <w:tcBorders>
              <w:top w:val="single" w:sz="4" w:space="0" w:color="000000"/>
              <w:bottom w:val="single" w:sz="4" w:space="0" w:color="000000"/>
            </w:tcBorders>
          </w:tcPr>
          <w:p>
            <w:pPr>
              <w:pStyle w:val="TableParagraph"/>
              <w:rPr>
                <w:sz w:val="22"/>
              </w:rPr>
            </w:pPr>
          </w:p>
        </w:tc>
        <w:tc>
          <w:tcPr>
            <w:tcW w:w="1840" w:type="dxa"/>
            <w:tcBorders>
              <w:top w:val="single" w:sz="4" w:space="0" w:color="000000"/>
              <w:bottom w:val="single" w:sz="4" w:space="0" w:color="000000"/>
            </w:tcBorders>
          </w:tcPr>
          <w:p>
            <w:pPr>
              <w:pStyle w:val="TableParagraph"/>
              <w:rPr>
                <w:sz w:val="22"/>
              </w:rPr>
            </w:pPr>
          </w:p>
        </w:tc>
        <w:tc>
          <w:tcPr>
            <w:tcW w:w="1393" w:type="dxa"/>
            <w:tcBorders>
              <w:top w:val="single" w:sz="4" w:space="0" w:color="000000"/>
              <w:bottom w:val="single" w:sz="4" w:space="0" w:color="000000"/>
            </w:tcBorders>
          </w:tcPr>
          <w:p>
            <w:pPr>
              <w:pStyle w:val="TableParagraph"/>
              <w:spacing w:line="254" w:lineRule="exact"/>
              <w:ind w:left="227" w:right="351" w:firstLine="28"/>
              <w:rPr>
                <w:b/>
                <w:sz w:val="22"/>
              </w:rPr>
            </w:pPr>
            <w:r>
              <w:rPr>
                <w:b/>
                <w:sz w:val="22"/>
              </w:rPr>
              <w:t>Kareler Toplamı</w:t>
            </w:r>
          </w:p>
        </w:tc>
        <w:tc>
          <w:tcPr>
            <w:tcW w:w="1796" w:type="dxa"/>
            <w:tcBorders>
              <w:top w:val="single" w:sz="4" w:space="0" w:color="000000"/>
              <w:bottom w:val="single" w:sz="4" w:space="0" w:color="000000"/>
            </w:tcBorders>
          </w:tcPr>
          <w:p>
            <w:pPr>
              <w:pStyle w:val="TableParagraph"/>
              <w:spacing w:line="254" w:lineRule="exact"/>
              <w:ind w:left="365" w:right="347" w:firstLine="165"/>
              <w:rPr>
                <w:b/>
                <w:sz w:val="22"/>
              </w:rPr>
            </w:pPr>
            <w:r>
              <w:rPr>
                <w:b/>
                <w:sz w:val="22"/>
              </w:rPr>
              <w:t>Kareler Ortalaması</w:t>
            </w:r>
          </w:p>
        </w:tc>
        <w:tc>
          <w:tcPr>
            <w:tcW w:w="1094" w:type="dxa"/>
            <w:tcBorders>
              <w:top w:val="single" w:sz="4" w:space="0" w:color="000000"/>
              <w:bottom w:val="single" w:sz="4" w:space="0" w:color="000000"/>
            </w:tcBorders>
          </w:tcPr>
          <w:p>
            <w:pPr>
              <w:pStyle w:val="TableParagraph"/>
              <w:spacing w:line="251" w:lineRule="exact"/>
              <w:ind w:left="416"/>
              <w:rPr>
                <w:b/>
                <w:sz w:val="22"/>
              </w:rPr>
            </w:pPr>
            <w:r>
              <w:rPr>
                <w:b/>
                <w:w w:val="100"/>
                <w:sz w:val="22"/>
              </w:rPr>
              <w:t>F</w:t>
            </w:r>
          </w:p>
        </w:tc>
        <w:tc>
          <w:tcPr>
            <w:tcW w:w="836" w:type="dxa"/>
            <w:tcBorders>
              <w:top w:val="single" w:sz="4" w:space="0" w:color="000000"/>
              <w:bottom w:val="single" w:sz="4" w:space="0" w:color="000000"/>
            </w:tcBorders>
          </w:tcPr>
          <w:p>
            <w:pPr>
              <w:pStyle w:val="TableParagraph"/>
              <w:spacing w:line="251" w:lineRule="exact"/>
              <w:ind w:left="289"/>
              <w:rPr>
                <w:b/>
                <w:sz w:val="22"/>
              </w:rPr>
            </w:pPr>
            <w:r>
              <w:rPr>
                <w:b/>
                <w:w w:val="100"/>
                <w:sz w:val="22"/>
              </w:rPr>
              <w:t>p</w:t>
            </w:r>
          </w:p>
        </w:tc>
      </w:tr>
      <w:tr>
        <w:trPr>
          <w:trHeight w:val="272" w:hRule="atLeast"/>
        </w:trPr>
        <w:tc>
          <w:tcPr>
            <w:tcW w:w="1559" w:type="dxa"/>
            <w:vMerge w:val="restart"/>
            <w:tcBorders>
              <w:top w:val="single" w:sz="4" w:space="0" w:color="000000"/>
            </w:tcBorders>
          </w:tcPr>
          <w:p>
            <w:pPr>
              <w:pStyle w:val="TableParagraph"/>
              <w:rPr>
                <w:sz w:val="22"/>
              </w:rPr>
            </w:pPr>
          </w:p>
        </w:tc>
        <w:tc>
          <w:tcPr>
            <w:tcW w:w="1840" w:type="dxa"/>
            <w:tcBorders>
              <w:top w:val="single" w:sz="4" w:space="0" w:color="000000"/>
            </w:tcBorders>
          </w:tcPr>
          <w:p>
            <w:pPr>
              <w:pStyle w:val="TableParagraph"/>
              <w:spacing w:line="250" w:lineRule="exact"/>
              <w:ind w:left="106"/>
              <w:rPr>
                <w:b/>
                <w:sz w:val="22"/>
              </w:rPr>
            </w:pPr>
            <w:r>
              <w:rPr>
                <w:b/>
                <w:sz w:val="22"/>
              </w:rPr>
              <w:t>Gruplar</w:t>
            </w:r>
          </w:p>
        </w:tc>
        <w:tc>
          <w:tcPr>
            <w:tcW w:w="1393" w:type="dxa"/>
            <w:tcBorders>
              <w:top w:val="single" w:sz="4" w:space="0" w:color="000000"/>
            </w:tcBorders>
          </w:tcPr>
          <w:p>
            <w:pPr>
              <w:pStyle w:val="TableParagraph"/>
              <w:spacing w:line="245" w:lineRule="exact"/>
              <w:ind w:right="393"/>
              <w:jc w:val="right"/>
              <w:rPr>
                <w:sz w:val="22"/>
              </w:rPr>
            </w:pPr>
            <w:r>
              <w:rPr>
                <w:sz w:val="22"/>
              </w:rPr>
              <w:t>0,959</w:t>
            </w:r>
          </w:p>
        </w:tc>
        <w:tc>
          <w:tcPr>
            <w:tcW w:w="1796" w:type="dxa"/>
            <w:tcBorders>
              <w:top w:val="single" w:sz="4" w:space="0" w:color="000000"/>
            </w:tcBorders>
          </w:tcPr>
          <w:p>
            <w:pPr>
              <w:pStyle w:val="TableParagraph"/>
              <w:spacing w:line="245" w:lineRule="exact"/>
              <w:ind w:right="520"/>
              <w:jc w:val="right"/>
              <w:rPr>
                <w:sz w:val="22"/>
              </w:rPr>
            </w:pPr>
            <w:r>
              <w:rPr>
                <w:sz w:val="22"/>
              </w:rPr>
              <w:t>0,479</w:t>
            </w:r>
          </w:p>
        </w:tc>
        <w:tc>
          <w:tcPr>
            <w:tcW w:w="1094" w:type="dxa"/>
            <w:tcBorders>
              <w:top w:val="single" w:sz="4" w:space="0" w:color="000000"/>
            </w:tcBorders>
          </w:tcPr>
          <w:p>
            <w:pPr>
              <w:pStyle w:val="TableParagraph"/>
              <w:rPr>
                <w:sz w:val="20"/>
              </w:rPr>
            </w:pPr>
          </w:p>
        </w:tc>
        <w:tc>
          <w:tcPr>
            <w:tcW w:w="836" w:type="dxa"/>
            <w:tcBorders>
              <w:top w:val="single" w:sz="4" w:space="0" w:color="000000"/>
            </w:tcBorders>
          </w:tcPr>
          <w:p>
            <w:pPr>
              <w:pStyle w:val="TableParagraph"/>
              <w:rPr>
                <w:sz w:val="20"/>
              </w:rPr>
            </w:pPr>
          </w:p>
        </w:tc>
      </w:tr>
      <w:tr>
        <w:trPr>
          <w:trHeight w:val="480" w:hRule="atLeast"/>
        </w:trPr>
        <w:tc>
          <w:tcPr>
            <w:tcW w:w="1559" w:type="dxa"/>
            <w:vMerge/>
            <w:tcBorders>
              <w:top w:val="nil"/>
            </w:tcBorders>
          </w:tcPr>
          <w:p>
            <w:pPr>
              <w:rPr>
                <w:sz w:val="2"/>
                <w:szCs w:val="2"/>
              </w:rPr>
            </w:pPr>
          </w:p>
        </w:tc>
        <w:tc>
          <w:tcPr>
            <w:tcW w:w="1840" w:type="dxa"/>
          </w:tcPr>
          <w:p>
            <w:pPr>
              <w:pStyle w:val="TableParagraph"/>
              <w:spacing w:before="14"/>
              <w:ind w:left="106"/>
              <w:rPr>
                <w:b/>
                <w:sz w:val="22"/>
              </w:rPr>
            </w:pPr>
            <w:r>
              <w:rPr>
                <w:b/>
                <w:sz w:val="22"/>
              </w:rPr>
              <w:t>Arasında</w:t>
            </w:r>
          </w:p>
        </w:tc>
        <w:tc>
          <w:tcPr>
            <w:tcW w:w="1393" w:type="dxa"/>
          </w:tcPr>
          <w:p>
            <w:pPr>
              <w:pStyle w:val="TableParagraph"/>
              <w:rPr>
                <w:sz w:val="22"/>
              </w:rPr>
            </w:pPr>
          </w:p>
        </w:tc>
        <w:tc>
          <w:tcPr>
            <w:tcW w:w="1796" w:type="dxa"/>
          </w:tcPr>
          <w:p>
            <w:pPr>
              <w:pStyle w:val="TableParagraph"/>
              <w:rPr>
                <w:sz w:val="22"/>
              </w:rPr>
            </w:pPr>
          </w:p>
        </w:tc>
        <w:tc>
          <w:tcPr>
            <w:tcW w:w="1094" w:type="dxa"/>
          </w:tcPr>
          <w:p>
            <w:pPr>
              <w:pStyle w:val="TableParagraph"/>
              <w:spacing w:line="249" w:lineRule="exact" w:before="211"/>
              <w:ind w:left="360"/>
              <w:rPr>
                <w:sz w:val="22"/>
              </w:rPr>
            </w:pPr>
            <w:r>
              <w:rPr>
                <w:sz w:val="22"/>
              </w:rPr>
              <w:t>0,775</w:t>
            </w:r>
          </w:p>
        </w:tc>
        <w:tc>
          <w:tcPr>
            <w:tcW w:w="836" w:type="dxa"/>
          </w:tcPr>
          <w:p>
            <w:pPr>
              <w:pStyle w:val="TableParagraph"/>
              <w:spacing w:line="244" w:lineRule="exact" w:before="216"/>
              <w:ind w:left="229"/>
              <w:rPr>
                <w:b/>
                <w:sz w:val="22"/>
              </w:rPr>
            </w:pPr>
            <w:r>
              <w:rPr>
                <w:b/>
                <w:sz w:val="22"/>
              </w:rPr>
              <w:t>0,464</w:t>
            </w:r>
          </w:p>
        </w:tc>
      </w:tr>
      <w:tr>
        <w:trPr>
          <w:trHeight w:val="640" w:hRule="atLeast"/>
        </w:trPr>
        <w:tc>
          <w:tcPr>
            <w:tcW w:w="1559" w:type="dxa"/>
          </w:tcPr>
          <w:p>
            <w:pPr>
              <w:pStyle w:val="TableParagraph"/>
              <w:spacing w:before="2"/>
              <w:ind w:left="116"/>
              <w:rPr>
                <w:b/>
                <w:sz w:val="22"/>
              </w:rPr>
            </w:pPr>
            <w:r>
              <w:rPr>
                <w:b/>
                <w:sz w:val="22"/>
              </w:rPr>
              <w:t>Koordinasyon</w:t>
            </w:r>
          </w:p>
        </w:tc>
        <w:tc>
          <w:tcPr>
            <w:tcW w:w="1840" w:type="dxa"/>
          </w:tcPr>
          <w:p>
            <w:pPr>
              <w:pStyle w:val="TableParagraph"/>
              <w:spacing w:line="276" w:lineRule="auto" w:before="26"/>
              <w:ind w:left="106" w:right="785"/>
              <w:rPr>
                <w:b/>
                <w:sz w:val="22"/>
              </w:rPr>
            </w:pPr>
            <w:r>
              <w:rPr>
                <w:b/>
                <w:sz w:val="22"/>
              </w:rPr>
              <w:t>Gruplar İçerisinde</w:t>
            </w:r>
          </w:p>
        </w:tc>
        <w:tc>
          <w:tcPr>
            <w:tcW w:w="1393" w:type="dxa"/>
          </w:tcPr>
          <w:p>
            <w:pPr>
              <w:pStyle w:val="TableParagraph"/>
              <w:spacing w:before="2"/>
              <w:rPr>
                <w:b/>
                <w:sz w:val="19"/>
              </w:rPr>
            </w:pPr>
          </w:p>
          <w:p>
            <w:pPr>
              <w:pStyle w:val="TableParagraph"/>
              <w:ind w:right="393"/>
              <w:jc w:val="right"/>
              <w:rPr>
                <w:sz w:val="22"/>
              </w:rPr>
            </w:pPr>
            <w:r>
              <w:rPr>
                <w:sz w:val="22"/>
              </w:rPr>
              <w:t>63,120</w:t>
            </w:r>
          </w:p>
        </w:tc>
        <w:tc>
          <w:tcPr>
            <w:tcW w:w="1796" w:type="dxa"/>
          </w:tcPr>
          <w:p>
            <w:pPr>
              <w:pStyle w:val="TableParagraph"/>
              <w:spacing w:before="2"/>
              <w:rPr>
                <w:b/>
                <w:sz w:val="19"/>
              </w:rPr>
            </w:pPr>
          </w:p>
          <w:p>
            <w:pPr>
              <w:pStyle w:val="TableParagraph"/>
              <w:ind w:right="520"/>
              <w:jc w:val="right"/>
              <w:rPr>
                <w:sz w:val="22"/>
              </w:rPr>
            </w:pPr>
            <w:r>
              <w:rPr>
                <w:sz w:val="22"/>
              </w:rPr>
              <w:t>0,619</w:t>
            </w:r>
          </w:p>
        </w:tc>
        <w:tc>
          <w:tcPr>
            <w:tcW w:w="1094" w:type="dxa"/>
            <w:vMerge w:val="restart"/>
            <w:tcBorders>
              <w:bottom w:val="single" w:sz="4" w:space="0" w:color="000000"/>
            </w:tcBorders>
          </w:tcPr>
          <w:p>
            <w:pPr>
              <w:pStyle w:val="TableParagraph"/>
              <w:rPr>
                <w:sz w:val="22"/>
              </w:rPr>
            </w:pPr>
          </w:p>
        </w:tc>
        <w:tc>
          <w:tcPr>
            <w:tcW w:w="836" w:type="dxa"/>
            <w:vMerge w:val="restart"/>
            <w:tcBorders>
              <w:bottom w:val="single" w:sz="4" w:space="0" w:color="000000"/>
            </w:tcBorders>
          </w:tcPr>
          <w:p>
            <w:pPr>
              <w:pStyle w:val="TableParagraph"/>
              <w:rPr>
                <w:sz w:val="22"/>
              </w:rPr>
            </w:pPr>
          </w:p>
        </w:tc>
      </w:tr>
      <w:tr>
        <w:trPr>
          <w:trHeight w:val="648" w:hRule="atLeast"/>
        </w:trPr>
        <w:tc>
          <w:tcPr>
            <w:tcW w:w="1559" w:type="dxa"/>
            <w:tcBorders>
              <w:bottom w:val="single" w:sz="4" w:space="0" w:color="000000"/>
            </w:tcBorders>
          </w:tcPr>
          <w:p>
            <w:pPr>
              <w:pStyle w:val="TableParagraph"/>
              <w:rPr>
                <w:sz w:val="22"/>
              </w:rPr>
            </w:pPr>
          </w:p>
        </w:tc>
        <w:tc>
          <w:tcPr>
            <w:tcW w:w="1840" w:type="dxa"/>
            <w:tcBorders>
              <w:bottom w:val="single" w:sz="4" w:space="0" w:color="000000"/>
            </w:tcBorders>
          </w:tcPr>
          <w:p>
            <w:pPr>
              <w:pStyle w:val="TableParagraph"/>
              <w:spacing w:before="158"/>
              <w:ind w:left="106"/>
              <w:rPr>
                <w:b/>
                <w:sz w:val="22"/>
              </w:rPr>
            </w:pPr>
            <w:r>
              <w:rPr>
                <w:b/>
                <w:sz w:val="22"/>
              </w:rPr>
              <w:t>Genel Toplam</w:t>
            </w:r>
          </w:p>
        </w:tc>
        <w:tc>
          <w:tcPr>
            <w:tcW w:w="1393" w:type="dxa"/>
            <w:tcBorders>
              <w:bottom w:val="single" w:sz="4" w:space="0" w:color="000000"/>
            </w:tcBorders>
          </w:tcPr>
          <w:p>
            <w:pPr>
              <w:pStyle w:val="TableParagraph"/>
              <w:spacing w:before="62"/>
              <w:ind w:right="393"/>
              <w:jc w:val="right"/>
              <w:rPr>
                <w:sz w:val="22"/>
              </w:rPr>
            </w:pPr>
            <w:r>
              <w:rPr>
                <w:sz w:val="22"/>
              </w:rPr>
              <w:t>64,079</w:t>
            </w:r>
          </w:p>
        </w:tc>
        <w:tc>
          <w:tcPr>
            <w:tcW w:w="1796" w:type="dxa"/>
            <w:tcBorders>
              <w:bottom w:val="single" w:sz="4" w:space="0" w:color="000000"/>
            </w:tcBorders>
          </w:tcPr>
          <w:p>
            <w:pPr>
              <w:pStyle w:val="TableParagraph"/>
              <w:rPr>
                <w:sz w:val="22"/>
              </w:rPr>
            </w:pPr>
          </w:p>
        </w:tc>
        <w:tc>
          <w:tcPr>
            <w:tcW w:w="1094" w:type="dxa"/>
            <w:vMerge/>
            <w:tcBorders>
              <w:top w:val="nil"/>
              <w:bottom w:val="single" w:sz="4" w:space="0" w:color="000000"/>
            </w:tcBorders>
          </w:tcPr>
          <w:p>
            <w:pPr>
              <w:rPr>
                <w:sz w:val="2"/>
                <w:szCs w:val="2"/>
              </w:rPr>
            </w:pPr>
          </w:p>
        </w:tc>
        <w:tc>
          <w:tcPr>
            <w:tcW w:w="836" w:type="dxa"/>
            <w:vMerge/>
            <w:tcBorders>
              <w:top w:val="nil"/>
              <w:bottom w:val="single" w:sz="4" w:space="0" w:color="000000"/>
            </w:tcBorders>
          </w:tcPr>
          <w:p>
            <w:pPr>
              <w:rPr>
                <w:sz w:val="2"/>
                <w:szCs w:val="2"/>
              </w:rPr>
            </w:pPr>
          </w:p>
        </w:tc>
      </w:tr>
    </w:tbl>
    <w:p>
      <w:pPr>
        <w:pStyle w:val="BodyText"/>
        <w:spacing w:before="10"/>
        <w:rPr>
          <w:b/>
          <w:sz w:val="38"/>
        </w:rPr>
      </w:pPr>
    </w:p>
    <w:p>
      <w:pPr>
        <w:pStyle w:val="BodyText"/>
        <w:spacing w:line="360" w:lineRule="auto" w:before="1"/>
        <w:ind w:left="1128" w:right="611" w:firstLine="708"/>
        <w:jc w:val="both"/>
      </w:pPr>
      <w:r>
        <w:rPr/>
        <w:t>Yapılan Anova testi sonucunda p değerinin 0,464 olduğu görülmektedir. p değerinin</w:t>
      </w:r>
      <w:r>
        <w:rPr>
          <w:spacing w:val="-13"/>
        </w:rPr>
        <w:t> </w:t>
      </w:r>
      <w:r>
        <w:rPr/>
        <w:t>0,05</w:t>
      </w:r>
      <w:r>
        <w:rPr>
          <w:spacing w:val="-12"/>
        </w:rPr>
        <w:t> </w:t>
      </w:r>
      <w:r>
        <w:rPr/>
        <w:t>den</w:t>
      </w:r>
      <w:r>
        <w:rPr>
          <w:spacing w:val="-10"/>
        </w:rPr>
        <w:t> </w:t>
      </w:r>
      <w:r>
        <w:rPr/>
        <w:t>büyük</w:t>
      </w:r>
      <w:r>
        <w:rPr>
          <w:spacing w:val="-10"/>
        </w:rPr>
        <w:t> </w:t>
      </w:r>
      <w:r>
        <w:rPr/>
        <w:t>olması</w:t>
      </w:r>
      <w:r>
        <w:rPr>
          <w:spacing w:val="-11"/>
        </w:rPr>
        <w:t> </w:t>
      </w:r>
      <w:r>
        <w:rPr/>
        <w:t>nedeniyle</w:t>
      </w:r>
      <w:r>
        <w:rPr>
          <w:spacing w:val="-13"/>
        </w:rPr>
        <w:t> </w:t>
      </w:r>
      <w:r>
        <w:rPr/>
        <w:t>çalışmaya</w:t>
      </w:r>
      <w:r>
        <w:rPr>
          <w:spacing w:val="-11"/>
        </w:rPr>
        <w:t> </w:t>
      </w:r>
      <w:r>
        <w:rPr/>
        <w:t>katılan</w:t>
      </w:r>
      <w:r>
        <w:rPr>
          <w:spacing w:val="-12"/>
        </w:rPr>
        <w:t> </w:t>
      </w:r>
      <w:r>
        <w:rPr/>
        <w:t>personelin</w:t>
      </w:r>
      <w:r>
        <w:rPr>
          <w:spacing w:val="-14"/>
        </w:rPr>
        <w:t> </w:t>
      </w:r>
      <w:r>
        <w:rPr/>
        <w:t>koordinasyon</w:t>
      </w:r>
      <w:r>
        <w:rPr>
          <w:spacing w:val="-11"/>
        </w:rPr>
        <w:t> </w:t>
      </w:r>
      <w:r>
        <w:rPr/>
        <w:t>ile ilgili düşünceleri, kurumdaki görevine göre anlamlı farklılık göstermemektedir. Elde edilen veriler sonucuna göre çalışmanın dördüncü hipotezi</w:t>
      </w:r>
      <w:r>
        <w:rPr>
          <w:spacing w:val="-1"/>
        </w:rPr>
        <w:t> </w:t>
      </w:r>
      <w:r>
        <w:rPr/>
        <w:t>reddedilmiştir.</w:t>
      </w:r>
    </w:p>
    <w:p>
      <w:pPr>
        <w:pStyle w:val="BodyText"/>
        <w:spacing w:line="360" w:lineRule="auto"/>
        <w:ind w:left="1128" w:right="616" w:firstLine="708"/>
        <w:jc w:val="both"/>
      </w:pPr>
      <w:r>
        <w:rPr/>
        <w:t>H5: Gümüşhane 112’de çalışan personelin afete hazırlık düzeyi yüksek düzeydedir.</w:t>
      </w:r>
    </w:p>
    <w:p>
      <w:pPr>
        <w:pStyle w:val="BodyText"/>
        <w:spacing w:line="360" w:lineRule="auto"/>
        <w:ind w:left="1128" w:right="612" w:firstLine="708"/>
        <w:jc w:val="both"/>
      </w:pPr>
      <w:r>
        <w:rPr/>
        <w:t>Afete hazırlı düzeyi; düşük, orta ve yüksek olmak üzere üç aşamada değerlendirilecektir. Öncelikle bu hipotezi değerlendirmeden önce puan aralıklarını</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jc w:val="both"/>
      </w:pPr>
      <w:r>
        <w:rPr/>
        <w:t>belirlemek gerekir. Puan aralığını belirlemek için ankette verilen en yüksek puan (5) ile en düşük puan (1) çıkartılmalıdır. En yüksek (5) den en düşük (1) değer çıkarılıp üçe bölündüğünde elde edilen değer 1,33’tür. Bulunan bu değerden elde edilen sonuca göre afete</w:t>
      </w:r>
      <w:r>
        <w:rPr>
          <w:spacing w:val="-8"/>
        </w:rPr>
        <w:t> </w:t>
      </w:r>
      <w:r>
        <w:rPr/>
        <w:t>hazırlık</w:t>
      </w:r>
      <w:r>
        <w:rPr>
          <w:spacing w:val="-5"/>
        </w:rPr>
        <w:t> </w:t>
      </w:r>
      <w:r>
        <w:rPr/>
        <w:t>düzeyi</w:t>
      </w:r>
      <w:r>
        <w:rPr>
          <w:spacing w:val="-4"/>
        </w:rPr>
        <w:t> </w:t>
      </w:r>
      <w:r>
        <w:rPr/>
        <w:t>frekansı</w:t>
      </w:r>
      <w:r>
        <w:rPr>
          <w:spacing w:val="-6"/>
        </w:rPr>
        <w:t> </w:t>
      </w:r>
      <w:r>
        <w:rPr/>
        <w:t>değerlendirme</w:t>
      </w:r>
      <w:r>
        <w:rPr>
          <w:spacing w:val="-7"/>
        </w:rPr>
        <w:t> </w:t>
      </w:r>
      <w:r>
        <w:rPr/>
        <w:t>çizelgesi</w:t>
      </w:r>
      <w:r>
        <w:rPr>
          <w:spacing w:val="-7"/>
        </w:rPr>
        <w:t> </w:t>
      </w:r>
      <w:r>
        <w:rPr/>
        <w:t>1</w:t>
      </w:r>
      <w:r>
        <w:rPr>
          <w:spacing w:val="-3"/>
        </w:rPr>
        <w:t> </w:t>
      </w:r>
      <w:r>
        <w:rPr/>
        <w:t>ile</w:t>
      </w:r>
      <w:r>
        <w:rPr>
          <w:spacing w:val="-7"/>
        </w:rPr>
        <w:t> </w:t>
      </w:r>
      <w:r>
        <w:rPr/>
        <w:t>2,33</w:t>
      </w:r>
      <w:r>
        <w:rPr>
          <w:spacing w:val="-4"/>
        </w:rPr>
        <w:t> </w:t>
      </w:r>
      <w:r>
        <w:rPr/>
        <w:t>arası</w:t>
      </w:r>
      <w:r>
        <w:rPr>
          <w:spacing w:val="-6"/>
        </w:rPr>
        <w:t> </w:t>
      </w:r>
      <w:r>
        <w:rPr/>
        <w:t>düşük,</w:t>
      </w:r>
      <w:r>
        <w:rPr>
          <w:spacing w:val="-7"/>
        </w:rPr>
        <w:t> </w:t>
      </w:r>
      <w:r>
        <w:rPr/>
        <w:t>2,34</w:t>
      </w:r>
      <w:r>
        <w:rPr>
          <w:spacing w:val="-6"/>
        </w:rPr>
        <w:t> </w:t>
      </w:r>
      <w:r>
        <w:rPr/>
        <w:t>ile</w:t>
      </w:r>
      <w:r>
        <w:rPr>
          <w:spacing w:val="-7"/>
        </w:rPr>
        <w:t> </w:t>
      </w:r>
      <w:r>
        <w:rPr/>
        <w:t>3,36 arası orta, 3,67 ile 5 arası yüksek düzey olarak</w:t>
      </w:r>
      <w:r>
        <w:rPr>
          <w:spacing w:val="-1"/>
        </w:rPr>
        <w:t> </w:t>
      </w:r>
      <w:r>
        <w:rPr/>
        <w:t>belirlenmiştir.</w:t>
      </w:r>
    </w:p>
    <w:p>
      <w:pPr>
        <w:pStyle w:val="BodyText"/>
        <w:spacing w:line="275" w:lineRule="exact"/>
        <w:ind w:left="1836"/>
      </w:pPr>
      <w:r>
        <w:rPr/>
        <w:t>Araştırma grubundaki kişilerin afete hazırlık düzeyinin değerlendirilmesi 1 Tablo</w:t>
      </w:r>
    </w:p>
    <w:p>
      <w:pPr>
        <w:pStyle w:val="BodyText"/>
        <w:spacing w:before="139"/>
        <w:ind w:left="1128"/>
      </w:pPr>
      <w:r>
        <w:rPr/>
        <w:t>4. 20’de gösterilmiştir.</w:t>
      </w:r>
    </w:p>
    <w:p>
      <w:pPr>
        <w:pStyle w:val="BodyText"/>
        <w:rPr>
          <w:sz w:val="26"/>
        </w:rPr>
      </w:pPr>
    </w:p>
    <w:p>
      <w:pPr>
        <w:pStyle w:val="BodyText"/>
        <w:spacing w:before="2"/>
        <w:rPr>
          <w:sz w:val="26"/>
        </w:rPr>
      </w:pPr>
    </w:p>
    <w:p>
      <w:pPr>
        <w:pStyle w:val="Heading1"/>
        <w:spacing w:line="256" w:lineRule="auto"/>
        <w:ind w:left="4376" w:right="935" w:hanging="2915"/>
      </w:pPr>
      <w:r>
        <w:rPr/>
        <w:t>Tablo 4. 20. Gümüşhane 112’de Çalışan Personelin Afete Hazırlık Düzeyinin Değerlendirilmesi 1</w:t>
      </w:r>
    </w:p>
    <w:p>
      <w:pPr>
        <w:pStyle w:val="BodyText"/>
        <w:spacing w:before="6"/>
        <w:rPr>
          <w:b/>
          <w:sz w:val="14"/>
        </w:rPr>
      </w:pPr>
    </w:p>
    <w:tbl>
      <w:tblPr>
        <w:tblW w:w="0" w:type="auto"/>
        <w:jc w:val="left"/>
        <w:tblInd w:w="1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365"/>
        <w:gridCol w:w="4147"/>
      </w:tblGrid>
      <w:tr>
        <w:trPr>
          <w:trHeight w:val="251" w:hRule="atLeast"/>
        </w:trPr>
        <w:tc>
          <w:tcPr>
            <w:tcW w:w="4365" w:type="dxa"/>
            <w:tcBorders>
              <w:top w:val="single" w:sz="4" w:space="0" w:color="000000"/>
              <w:bottom w:val="single" w:sz="4" w:space="0" w:color="000000"/>
            </w:tcBorders>
          </w:tcPr>
          <w:p>
            <w:pPr>
              <w:pStyle w:val="TableParagraph"/>
              <w:spacing w:line="232" w:lineRule="exact"/>
              <w:ind w:left="1164" w:right="1526"/>
              <w:jc w:val="center"/>
              <w:rPr>
                <w:b/>
                <w:sz w:val="22"/>
              </w:rPr>
            </w:pPr>
            <w:r>
              <w:rPr>
                <w:b/>
                <w:sz w:val="22"/>
              </w:rPr>
              <w:t>Değer Aralığı</w:t>
            </w:r>
          </w:p>
        </w:tc>
        <w:tc>
          <w:tcPr>
            <w:tcW w:w="4147" w:type="dxa"/>
            <w:tcBorders>
              <w:top w:val="single" w:sz="4" w:space="0" w:color="000000"/>
              <w:bottom w:val="single" w:sz="4" w:space="0" w:color="000000"/>
            </w:tcBorders>
          </w:tcPr>
          <w:p>
            <w:pPr>
              <w:pStyle w:val="TableParagraph"/>
              <w:spacing w:line="232" w:lineRule="exact"/>
              <w:ind w:left="1530" w:right="1904"/>
              <w:jc w:val="center"/>
              <w:rPr>
                <w:b/>
                <w:sz w:val="22"/>
              </w:rPr>
            </w:pPr>
            <w:r>
              <w:rPr>
                <w:b/>
                <w:sz w:val="22"/>
              </w:rPr>
              <w:t>Düzey</w:t>
            </w:r>
          </w:p>
        </w:tc>
      </w:tr>
      <w:tr>
        <w:trPr>
          <w:trHeight w:val="1266" w:hRule="atLeast"/>
        </w:trPr>
        <w:tc>
          <w:tcPr>
            <w:tcW w:w="4365" w:type="dxa"/>
            <w:tcBorders>
              <w:top w:val="single" w:sz="4" w:space="0" w:color="000000"/>
              <w:bottom w:val="single" w:sz="4" w:space="0" w:color="000000"/>
            </w:tcBorders>
          </w:tcPr>
          <w:p>
            <w:pPr>
              <w:pStyle w:val="TableParagraph"/>
              <w:rPr>
                <w:b/>
                <w:sz w:val="24"/>
              </w:rPr>
            </w:pPr>
          </w:p>
          <w:p>
            <w:pPr>
              <w:pStyle w:val="TableParagraph"/>
              <w:rPr>
                <w:b/>
                <w:sz w:val="24"/>
              </w:rPr>
            </w:pPr>
          </w:p>
          <w:p>
            <w:pPr>
              <w:pStyle w:val="TableParagraph"/>
              <w:spacing w:before="202"/>
              <w:ind w:left="1163" w:right="1528"/>
              <w:jc w:val="center"/>
              <w:rPr>
                <w:sz w:val="22"/>
              </w:rPr>
            </w:pPr>
            <w:r>
              <w:rPr>
                <w:sz w:val="22"/>
              </w:rPr>
              <w:t>1 ile 2,33 Arası</w:t>
            </w:r>
          </w:p>
        </w:tc>
        <w:tc>
          <w:tcPr>
            <w:tcW w:w="4147" w:type="dxa"/>
            <w:tcBorders>
              <w:top w:val="single" w:sz="4" w:space="0" w:color="000000"/>
              <w:bottom w:val="single" w:sz="4" w:space="0" w:color="000000"/>
            </w:tcBorders>
          </w:tcPr>
          <w:p>
            <w:pPr>
              <w:pStyle w:val="TableParagraph"/>
              <w:rPr>
                <w:b/>
                <w:sz w:val="24"/>
              </w:rPr>
            </w:pPr>
          </w:p>
          <w:p>
            <w:pPr>
              <w:pStyle w:val="TableParagraph"/>
              <w:spacing w:before="209"/>
              <w:ind w:left="1530" w:right="1899"/>
              <w:jc w:val="center"/>
              <w:rPr>
                <w:sz w:val="22"/>
              </w:rPr>
            </w:pPr>
            <w:r>
              <w:rPr>
                <w:sz w:val="22"/>
              </w:rPr>
              <w:t>Düşük</w:t>
            </w:r>
          </w:p>
        </w:tc>
      </w:tr>
      <w:tr>
        <w:trPr>
          <w:trHeight w:val="981" w:hRule="atLeast"/>
        </w:trPr>
        <w:tc>
          <w:tcPr>
            <w:tcW w:w="4365" w:type="dxa"/>
            <w:tcBorders>
              <w:top w:val="single" w:sz="4" w:space="0" w:color="000000"/>
              <w:bottom w:val="single" w:sz="4" w:space="0" w:color="000000"/>
            </w:tcBorders>
          </w:tcPr>
          <w:p>
            <w:pPr>
              <w:pStyle w:val="TableParagraph"/>
              <w:spacing w:before="4"/>
              <w:rPr>
                <w:b/>
                <w:sz w:val="21"/>
              </w:rPr>
            </w:pPr>
          </w:p>
          <w:p>
            <w:pPr>
              <w:pStyle w:val="TableParagraph"/>
              <w:ind w:left="1164" w:right="1528"/>
              <w:jc w:val="center"/>
              <w:rPr>
                <w:sz w:val="22"/>
              </w:rPr>
            </w:pPr>
            <w:r>
              <w:rPr>
                <w:sz w:val="22"/>
              </w:rPr>
              <w:t>2,34 ile 3,66 Arası</w:t>
            </w:r>
          </w:p>
        </w:tc>
        <w:tc>
          <w:tcPr>
            <w:tcW w:w="4147" w:type="dxa"/>
            <w:tcBorders>
              <w:top w:val="single" w:sz="4" w:space="0" w:color="000000"/>
              <w:bottom w:val="single" w:sz="4" w:space="0" w:color="000000"/>
            </w:tcBorders>
          </w:tcPr>
          <w:p>
            <w:pPr>
              <w:pStyle w:val="TableParagraph"/>
              <w:rPr>
                <w:b/>
                <w:sz w:val="24"/>
              </w:rPr>
            </w:pPr>
          </w:p>
          <w:p>
            <w:pPr>
              <w:pStyle w:val="TableParagraph"/>
              <w:spacing w:before="207"/>
              <w:ind w:left="1530" w:right="1899"/>
              <w:jc w:val="center"/>
              <w:rPr>
                <w:sz w:val="22"/>
              </w:rPr>
            </w:pPr>
            <w:r>
              <w:rPr>
                <w:sz w:val="22"/>
              </w:rPr>
              <w:t>Orta</w:t>
            </w:r>
          </w:p>
        </w:tc>
      </w:tr>
      <w:tr>
        <w:trPr>
          <w:trHeight w:val="981" w:hRule="atLeast"/>
        </w:trPr>
        <w:tc>
          <w:tcPr>
            <w:tcW w:w="4365" w:type="dxa"/>
            <w:tcBorders>
              <w:top w:val="single" w:sz="4" w:space="0" w:color="000000"/>
              <w:bottom w:val="single" w:sz="4" w:space="0" w:color="000000"/>
            </w:tcBorders>
          </w:tcPr>
          <w:p>
            <w:pPr>
              <w:pStyle w:val="TableParagraph"/>
              <w:spacing w:before="4"/>
              <w:rPr>
                <w:b/>
                <w:sz w:val="21"/>
              </w:rPr>
            </w:pPr>
          </w:p>
          <w:p>
            <w:pPr>
              <w:pStyle w:val="TableParagraph"/>
              <w:ind w:left="1163" w:right="1528"/>
              <w:jc w:val="center"/>
              <w:rPr>
                <w:sz w:val="22"/>
              </w:rPr>
            </w:pPr>
            <w:r>
              <w:rPr>
                <w:sz w:val="22"/>
              </w:rPr>
              <w:t>3,67 ile 5 Arası</w:t>
            </w:r>
          </w:p>
        </w:tc>
        <w:tc>
          <w:tcPr>
            <w:tcW w:w="4147" w:type="dxa"/>
            <w:tcBorders>
              <w:top w:val="single" w:sz="4" w:space="0" w:color="000000"/>
              <w:bottom w:val="single" w:sz="4" w:space="0" w:color="000000"/>
            </w:tcBorders>
          </w:tcPr>
          <w:p>
            <w:pPr>
              <w:pStyle w:val="TableParagraph"/>
              <w:rPr>
                <w:b/>
                <w:sz w:val="24"/>
              </w:rPr>
            </w:pPr>
          </w:p>
          <w:p>
            <w:pPr>
              <w:pStyle w:val="TableParagraph"/>
              <w:spacing w:before="210"/>
              <w:ind w:left="1530" w:right="1904"/>
              <w:jc w:val="center"/>
              <w:rPr>
                <w:sz w:val="22"/>
              </w:rPr>
            </w:pPr>
            <w:r>
              <w:rPr>
                <w:sz w:val="22"/>
              </w:rPr>
              <w:t>Yüksek</w:t>
            </w:r>
          </w:p>
        </w:tc>
      </w:tr>
    </w:tbl>
    <w:p>
      <w:pPr>
        <w:pStyle w:val="BodyText"/>
        <w:rPr>
          <w:b/>
          <w:sz w:val="26"/>
        </w:rPr>
      </w:pPr>
    </w:p>
    <w:p>
      <w:pPr>
        <w:pStyle w:val="BodyText"/>
        <w:spacing w:line="360" w:lineRule="auto" w:before="153"/>
        <w:ind w:left="1128" w:right="613" w:firstLine="708"/>
      </w:pPr>
      <w:r>
        <w:rPr/>
        <w:t>Afete hazırlık düzeylerinin incelenmesi için personellerin bilgi sorularına verdikleri cevabın ortalamaları alınarak analiz edilmiştir.</w:t>
      </w:r>
    </w:p>
    <w:p>
      <w:pPr>
        <w:pStyle w:val="BodyText"/>
        <w:spacing w:before="1"/>
        <w:ind w:left="1836"/>
      </w:pPr>
      <w:r>
        <w:rPr/>
        <w:t>Araştırma grubundaki kişilerin afete hazırlık düzeyinin değerlendirilmesi 2 Tablo</w:t>
      </w:r>
    </w:p>
    <w:p>
      <w:pPr>
        <w:pStyle w:val="BodyText"/>
        <w:spacing w:before="136"/>
        <w:ind w:left="1128"/>
        <w:jc w:val="both"/>
      </w:pPr>
      <w:r>
        <w:rPr/>
        <w:t>4. 21’de gösterilmiştir.</w:t>
      </w:r>
    </w:p>
    <w:p>
      <w:pPr>
        <w:spacing w:after="0"/>
        <w:jc w:val="both"/>
        <w:sectPr>
          <w:pgSz w:w="11910" w:h="16840"/>
          <w:pgMar w:header="0" w:footer="976" w:top="1580" w:bottom="1240" w:left="1140" w:right="520"/>
        </w:sectPr>
      </w:pPr>
    </w:p>
    <w:p>
      <w:pPr>
        <w:pStyle w:val="Heading1"/>
        <w:spacing w:line="256" w:lineRule="auto" w:before="102"/>
        <w:ind w:left="4376" w:right="935" w:hanging="2915"/>
      </w:pPr>
      <w:r>
        <w:rPr/>
        <w:t>Tablo 4. 21. Gümüşhane 112’de Çalışan Personelin Afete Hazırlık Düzeyinin Değerlendirilmesi 2</w:t>
      </w:r>
    </w:p>
    <w:p>
      <w:pPr>
        <w:pStyle w:val="BodyText"/>
        <w:spacing w:before="10" w:after="1"/>
        <w:rPr>
          <w:b/>
          <w:sz w:val="14"/>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645"/>
        <w:gridCol w:w="2034"/>
        <w:gridCol w:w="1766"/>
        <w:gridCol w:w="583"/>
      </w:tblGrid>
      <w:tr>
        <w:trPr>
          <w:trHeight w:val="757" w:hRule="atLeast"/>
        </w:trPr>
        <w:tc>
          <w:tcPr>
            <w:tcW w:w="3645" w:type="dxa"/>
            <w:tcBorders>
              <w:top w:val="single" w:sz="4" w:space="0" w:color="000000"/>
              <w:bottom w:val="single" w:sz="4" w:space="0" w:color="000000"/>
            </w:tcBorders>
          </w:tcPr>
          <w:p>
            <w:pPr>
              <w:pStyle w:val="TableParagraph"/>
              <w:rPr>
                <w:sz w:val="20"/>
              </w:rPr>
            </w:pPr>
          </w:p>
        </w:tc>
        <w:tc>
          <w:tcPr>
            <w:tcW w:w="2034" w:type="dxa"/>
            <w:tcBorders>
              <w:top w:val="single" w:sz="4" w:space="0" w:color="000000"/>
              <w:bottom w:val="single" w:sz="4" w:space="0" w:color="000000"/>
            </w:tcBorders>
          </w:tcPr>
          <w:p>
            <w:pPr>
              <w:pStyle w:val="TableParagraph"/>
              <w:spacing w:line="251" w:lineRule="exact"/>
              <w:ind w:left="81"/>
              <w:jc w:val="center"/>
              <w:rPr>
                <w:b/>
                <w:sz w:val="22"/>
              </w:rPr>
            </w:pPr>
            <w:r>
              <w:rPr>
                <w:b/>
                <w:w w:val="100"/>
                <w:sz w:val="22"/>
              </w:rPr>
              <w:t>N</w:t>
            </w:r>
          </w:p>
        </w:tc>
        <w:tc>
          <w:tcPr>
            <w:tcW w:w="1766" w:type="dxa"/>
            <w:tcBorders>
              <w:top w:val="single" w:sz="4" w:space="0" w:color="000000"/>
              <w:bottom w:val="single" w:sz="4" w:space="0" w:color="000000"/>
            </w:tcBorders>
          </w:tcPr>
          <w:p>
            <w:pPr>
              <w:pStyle w:val="TableParagraph"/>
              <w:spacing w:line="247" w:lineRule="exact"/>
              <w:ind w:left="335"/>
              <w:rPr>
                <w:sz w:val="22"/>
              </w:rPr>
            </w:pPr>
            <w:r>
              <w:rPr>
                <w:sz w:val="22"/>
              </w:rPr>
              <w:t>Geçerli</w:t>
            </w:r>
          </w:p>
          <w:p>
            <w:pPr>
              <w:pStyle w:val="TableParagraph"/>
              <w:rPr>
                <w:b/>
                <w:sz w:val="22"/>
              </w:rPr>
            </w:pPr>
          </w:p>
          <w:p>
            <w:pPr>
              <w:pStyle w:val="TableParagraph"/>
              <w:spacing w:line="238" w:lineRule="exact"/>
              <w:ind w:left="302"/>
              <w:rPr>
                <w:sz w:val="22"/>
              </w:rPr>
            </w:pPr>
            <w:r>
              <w:rPr>
                <w:sz w:val="22"/>
              </w:rPr>
              <w:t>Kayıp veri</w:t>
            </w:r>
          </w:p>
        </w:tc>
        <w:tc>
          <w:tcPr>
            <w:tcW w:w="583" w:type="dxa"/>
            <w:tcBorders>
              <w:top w:val="single" w:sz="4" w:space="0" w:color="000000"/>
              <w:bottom w:val="single" w:sz="4" w:space="0" w:color="000000"/>
            </w:tcBorders>
          </w:tcPr>
          <w:p>
            <w:pPr>
              <w:pStyle w:val="TableParagraph"/>
              <w:spacing w:line="247" w:lineRule="exact"/>
              <w:ind w:left="42"/>
              <w:rPr>
                <w:sz w:val="22"/>
              </w:rPr>
            </w:pPr>
            <w:r>
              <w:rPr>
                <w:sz w:val="22"/>
              </w:rPr>
              <w:t>105</w:t>
            </w:r>
          </w:p>
          <w:p>
            <w:pPr>
              <w:pStyle w:val="TableParagraph"/>
              <w:rPr>
                <w:b/>
                <w:sz w:val="22"/>
              </w:rPr>
            </w:pPr>
          </w:p>
          <w:p>
            <w:pPr>
              <w:pStyle w:val="TableParagraph"/>
              <w:spacing w:line="238" w:lineRule="exact"/>
              <w:ind w:left="297"/>
              <w:rPr>
                <w:sz w:val="22"/>
              </w:rPr>
            </w:pPr>
            <w:r>
              <w:rPr>
                <w:w w:val="100"/>
                <w:sz w:val="22"/>
              </w:rPr>
              <w:t>0</w:t>
            </w:r>
          </w:p>
        </w:tc>
      </w:tr>
      <w:tr>
        <w:trPr>
          <w:trHeight w:val="863" w:hRule="atLeast"/>
        </w:trPr>
        <w:tc>
          <w:tcPr>
            <w:tcW w:w="3645" w:type="dxa"/>
            <w:tcBorders>
              <w:top w:val="single" w:sz="4" w:space="0" w:color="000000"/>
            </w:tcBorders>
          </w:tcPr>
          <w:p>
            <w:pPr>
              <w:pStyle w:val="TableParagraph"/>
              <w:rPr>
                <w:sz w:val="20"/>
              </w:rPr>
            </w:pPr>
          </w:p>
        </w:tc>
        <w:tc>
          <w:tcPr>
            <w:tcW w:w="2034" w:type="dxa"/>
            <w:tcBorders>
              <w:top w:val="single" w:sz="4" w:space="0" w:color="000000"/>
            </w:tcBorders>
          </w:tcPr>
          <w:p>
            <w:pPr>
              <w:pStyle w:val="TableParagraph"/>
              <w:rPr>
                <w:b/>
                <w:sz w:val="24"/>
              </w:rPr>
            </w:pPr>
          </w:p>
          <w:p>
            <w:pPr>
              <w:pStyle w:val="TableParagraph"/>
              <w:spacing w:before="209"/>
              <w:ind w:left="359" w:right="283"/>
              <w:jc w:val="center"/>
              <w:rPr>
                <w:sz w:val="22"/>
              </w:rPr>
            </w:pPr>
            <w:r>
              <w:rPr>
                <w:sz w:val="22"/>
              </w:rPr>
              <w:t>Ortalama</w:t>
            </w:r>
          </w:p>
        </w:tc>
        <w:tc>
          <w:tcPr>
            <w:tcW w:w="2349" w:type="dxa"/>
            <w:gridSpan w:val="2"/>
            <w:tcBorders>
              <w:top w:val="single" w:sz="4" w:space="0" w:color="000000"/>
            </w:tcBorders>
          </w:tcPr>
          <w:p>
            <w:pPr>
              <w:pStyle w:val="TableParagraph"/>
              <w:rPr>
                <w:b/>
                <w:sz w:val="24"/>
              </w:rPr>
            </w:pPr>
          </w:p>
          <w:p>
            <w:pPr>
              <w:pStyle w:val="TableParagraph"/>
              <w:spacing w:before="214"/>
              <w:ind w:left="1058"/>
              <w:rPr>
                <w:b/>
                <w:sz w:val="22"/>
              </w:rPr>
            </w:pPr>
            <w:r>
              <w:rPr>
                <w:b/>
                <w:sz w:val="22"/>
              </w:rPr>
              <w:t>3,0915</w:t>
            </w:r>
          </w:p>
        </w:tc>
      </w:tr>
      <w:tr>
        <w:trPr>
          <w:trHeight w:val="404" w:hRule="atLeast"/>
        </w:trPr>
        <w:tc>
          <w:tcPr>
            <w:tcW w:w="3645" w:type="dxa"/>
          </w:tcPr>
          <w:p>
            <w:pPr>
              <w:pStyle w:val="TableParagraph"/>
              <w:spacing w:line="237" w:lineRule="exact" w:before="147"/>
              <w:ind w:left="116"/>
              <w:rPr>
                <w:b/>
                <w:sz w:val="22"/>
              </w:rPr>
            </w:pPr>
            <w:r>
              <w:rPr>
                <w:b/>
                <w:sz w:val="22"/>
              </w:rPr>
              <w:t>Çalışan Personelin Afete Hazırlık</w:t>
            </w:r>
          </w:p>
        </w:tc>
        <w:tc>
          <w:tcPr>
            <w:tcW w:w="2034" w:type="dxa"/>
          </w:tcPr>
          <w:p>
            <w:pPr>
              <w:pStyle w:val="TableParagraph"/>
              <w:spacing w:before="111"/>
              <w:ind w:left="359" w:right="278"/>
              <w:jc w:val="center"/>
              <w:rPr>
                <w:sz w:val="22"/>
              </w:rPr>
            </w:pPr>
            <w:r>
              <w:rPr>
                <w:sz w:val="22"/>
              </w:rPr>
              <w:t>Medyan</w:t>
            </w:r>
          </w:p>
        </w:tc>
        <w:tc>
          <w:tcPr>
            <w:tcW w:w="2349" w:type="dxa"/>
            <w:gridSpan w:val="2"/>
          </w:tcPr>
          <w:p>
            <w:pPr>
              <w:pStyle w:val="TableParagraph"/>
              <w:spacing w:before="111"/>
              <w:ind w:left="1058"/>
              <w:rPr>
                <w:sz w:val="22"/>
              </w:rPr>
            </w:pPr>
            <w:r>
              <w:rPr>
                <w:sz w:val="22"/>
              </w:rPr>
              <w:t>3,0392</w:t>
            </w:r>
          </w:p>
        </w:tc>
      </w:tr>
      <w:tr>
        <w:trPr>
          <w:trHeight w:val="575" w:hRule="atLeast"/>
        </w:trPr>
        <w:tc>
          <w:tcPr>
            <w:tcW w:w="3645" w:type="dxa"/>
          </w:tcPr>
          <w:p>
            <w:pPr>
              <w:pStyle w:val="TableParagraph"/>
              <w:spacing w:line="248" w:lineRule="exact"/>
              <w:ind w:left="116"/>
              <w:rPr>
                <w:b/>
                <w:sz w:val="22"/>
              </w:rPr>
            </w:pPr>
            <w:r>
              <w:rPr>
                <w:b/>
                <w:sz w:val="22"/>
              </w:rPr>
              <w:t>Düzeyi</w:t>
            </w:r>
          </w:p>
        </w:tc>
        <w:tc>
          <w:tcPr>
            <w:tcW w:w="2034" w:type="dxa"/>
          </w:tcPr>
          <w:p>
            <w:pPr>
              <w:pStyle w:val="TableParagraph"/>
              <w:spacing w:before="199"/>
              <w:ind w:left="359" w:right="280"/>
              <w:jc w:val="center"/>
              <w:rPr>
                <w:sz w:val="22"/>
              </w:rPr>
            </w:pPr>
            <w:r>
              <w:rPr>
                <w:sz w:val="22"/>
              </w:rPr>
              <w:t>Mod</w:t>
            </w:r>
          </w:p>
        </w:tc>
        <w:tc>
          <w:tcPr>
            <w:tcW w:w="2349" w:type="dxa"/>
            <w:gridSpan w:val="2"/>
          </w:tcPr>
          <w:p>
            <w:pPr>
              <w:pStyle w:val="TableParagraph"/>
              <w:spacing w:before="199"/>
              <w:ind w:left="1149" w:right="774"/>
              <w:jc w:val="center"/>
              <w:rPr>
                <w:sz w:val="22"/>
              </w:rPr>
            </w:pPr>
            <w:r>
              <w:rPr>
                <w:sz w:val="22"/>
              </w:rPr>
              <w:t>3,00</w:t>
            </w:r>
          </w:p>
        </w:tc>
      </w:tr>
      <w:tr>
        <w:trPr>
          <w:trHeight w:val="612" w:hRule="atLeast"/>
        </w:trPr>
        <w:tc>
          <w:tcPr>
            <w:tcW w:w="3645" w:type="dxa"/>
            <w:tcBorders>
              <w:bottom w:val="single" w:sz="4" w:space="0" w:color="000000"/>
            </w:tcBorders>
          </w:tcPr>
          <w:p>
            <w:pPr>
              <w:pStyle w:val="TableParagraph"/>
              <w:rPr>
                <w:sz w:val="20"/>
              </w:rPr>
            </w:pPr>
          </w:p>
        </w:tc>
        <w:tc>
          <w:tcPr>
            <w:tcW w:w="2034" w:type="dxa"/>
            <w:tcBorders>
              <w:bottom w:val="single" w:sz="4" w:space="0" w:color="000000"/>
            </w:tcBorders>
          </w:tcPr>
          <w:p>
            <w:pPr>
              <w:pStyle w:val="TableParagraph"/>
              <w:spacing w:before="114"/>
              <w:ind w:left="359" w:right="284"/>
              <w:jc w:val="center"/>
              <w:rPr>
                <w:sz w:val="22"/>
              </w:rPr>
            </w:pPr>
            <w:r>
              <w:rPr>
                <w:sz w:val="22"/>
              </w:rPr>
              <w:t>Standart sapma</w:t>
            </w:r>
          </w:p>
        </w:tc>
        <w:tc>
          <w:tcPr>
            <w:tcW w:w="2349" w:type="dxa"/>
            <w:gridSpan w:val="2"/>
            <w:tcBorders>
              <w:bottom w:val="single" w:sz="4" w:space="0" w:color="000000"/>
            </w:tcBorders>
          </w:tcPr>
          <w:p>
            <w:pPr>
              <w:pStyle w:val="TableParagraph"/>
              <w:spacing w:before="114"/>
              <w:ind w:left="1003"/>
              <w:rPr>
                <w:sz w:val="22"/>
              </w:rPr>
            </w:pPr>
            <w:r>
              <w:rPr>
                <w:sz w:val="22"/>
              </w:rPr>
              <w:t>0,75073</w:t>
            </w:r>
          </w:p>
        </w:tc>
      </w:tr>
    </w:tbl>
    <w:p>
      <w:pPr>
        <w:pStyle w:val="BodyText"/>
        <w:spacing w:before="10"/>
        <w:rPr>
          <w:b/>
          <w:sz w:val="38"/>
        </w:rPr>
      </w:pPr>
    </w:p>
    <w:p>
      <w:pPr>
        <w:pStyle w:val="BodyText"/>
        <w:spacing w:line="360" w:lineRule="auto" w:before="1"/>
        <w:ind w:left="1128" w:right="612" w:firstLine="708"/>
        <w:jc w:val="both"/>
      </w:pPr>
      <w:r>
        <w:rPr/>
        <w:t>Beşinci</w:t>
      </w:r>
      <w:r>
        <w:rPr>
          <w:spacing w:val="-8"/>
        </w:rPr>
        <w:t> </w:t>
      </w:r>
      <w:r>
        <w:rPr/>
        <w:t>hipotez</w:t>
      </w:r>
      <w:r>
        <w:rPr>
          <w:spacing w:val="-7"/>
        </w:rPr>
        <w:t> </w:t>
      </w:r>
      <w:r>
        <w:rPr/>
        <w:t>için</w:t>
      </w:r>
      <w:r>
        <w:rPr>
          <w:spacing w:val="-6"/>
        </w:rPr>
        <w:t> </w:t>
      </w:r>
      <w:r>
        <w:rPr/>
        <w:t>yapılan</w:t>
      </w:r>
      <w:r>
        <w:rPr>
          <w:spacing w:val="-7"/>
        </w:rPr>
        <w:t> </w:t>
      </w:r>
      <w:r>
        <w:rPr/>
        <w:t>analiz</w:t>
      </w:r>
      <w:r>
        <w:rPr>
          <w:spacing w:val="-6"/>
        </w:rPr>
        <w:t> </w:t>
      </w:r>
      <w:r>
        <w:rPr/>
        <w:t>sonucu</w:t>
      </w:r>
      <w:r>
        <w:rPr>
          <w:spacing w:val="-7"/>
        </w:rPr>
        <w:t> </w:t>
      </w:r>
      <w:r>
        <w:rPr/>
        <w:t>çalışan</w:t>
      </w:r>
      <w:r>
        <w:rPr>
          <w:spacing w:val="-8"/>
        </w:rPr>
        <w:t> </w:t>
      </w:r>
      <w:r>
        <w:rPr/>
        <w:t>personelin</w:t>
      </w:r>
      <w:r>
        <w:rPr>
          <w:spacing w:val="-7"/>
        </w:rPr>
        <w:t> </w:t>
      </w:r>
      <w:r>
        <w:rPr/>
        <w:t>afete</w:t>
      </w:r>
      <w:r>
        <w:rPr>
          <w:spacing w:val="-9"/>
        </w:rPr>
        <w:t> </w:t>
      </w:r>
      <w:r>
        <w:rPr/>
        <w:t>hazırlık</w:t>
      </w:r>
      <w:r>
        <w:rPr>
          <w:spacing w:val="-9"/>
        </w:rPr>
        <w:t> </w:t>
      </w:r>
      <w:r>
        <w:rPr/>
        <w:t>düzeyi ortalaması 3,09±0,75 bulunmuştur. Afete hazırlık düzeyi değerlendirme çizelgesine</w:t>
      </w:r>
      <w:r>
        <w:rPr>
          <w:spacing w:val="-19"/>
        </w:rPr>
        <w:t> </w:t>
      </w:r>
      <w:r>
        <w:rPr/>
        <w:t>göre 3,0915 değeri orta düzeyde yer almaktadır. Yapılan analiz sonucuna göre çalışmaya katılan</w:t>
      </w:r>
      <w:r>
        <w:rPr>
          <w:spacing w:val="-12"/>
        </w:rPr>
        <w:t> </w:t>
      </w:r>
      <w:r>
        <w:rPr/>
        <w:t>personellerin</w:t>
      </w:r>
      <w:r>
        <w:rPr>
          <w:spacing w:val="-9"/>
        </w:rPr>
        <w:t> </w:t>
      </w:r>
      <w:r>
        <w:rPr/>
        <w:t>afete</w:t>
      </w:r>
      <w:r>
        <w:rPr>
          <w:spacing w:val="-11"/>
        </w:rPr>
        <w:t> </w:t>
      </w:r>
      <w:r>
        <w:rPr/>
        <w:t>hazırlık</w:t>
      </w:r>
      <w:r>
        <w:rPr>
          <w:spacing w:val="-11"/>
        </w:rPr>
        <w:t> </w:t>
      </w:r>
      <w:r>
        <w:rPr/>
        <w:t>düzeyi</w:t>
      </w:r>
      <w:r>
        <w:rPr>
          <w:spacing w:val="-11"/>
        </w:rPr>
        <w:t> </w:t>
      </w:r>
      <w:r>
        <w:rPr/>
        <w:t>orta</w:t>
      </w:r>
      <w:r>
        <w:rPr>
          <w:spacing w:val="-12"/>
        </w:rPr>
        <w:t> </w:t>
      </w:r>
      <w:r>
        <w:rPr/>
        <w:t>düzey</w:t>
      </w:r>
      <w:r>
        <w:rPr>
          <w:spacing w:val="-17"/>
        </w:rPr>
        <w:t> </w:t>
      </w:r>
      <w:r>
        <w:rPr/>
        <w:t>olarak</w:t>
      </w:r>
      <w:r>
        <w:rPr>
          <w:spacing w:val="-11"/>
        </w:rPr>
        <w:t> </w:t>
      </w:r>
      <w:r>
        <w:rPr/>
        <w:t>bulunmuştur.</w:t>
      </w:r>
      <w:r>
        <w:rPr>
          <w:spacing w:val="-11"/>
        </w:rPr>
        <w:t> </w:t>
      </w:r>
      <w:r>
        <w:rPr/>
        <w:t>Bu</w:t>
      </w:r>
      <w:r>
        <w:rPr>
          <w:spacing w:val="-11"/>
        </w:rPr>
        <w:t> </w:t>
      </w:r>
      <w:r>
        <w:rPr/>
        <w:t>sunucu</w:t>
      </w:r>
      <w:r>
        <w:rPr>
          <w:spacing w:val="-12"/>
        </w:rPr>
        <w:t> </w:t>
      </w:r>
      <w:r>
        <w:rPr/>
        <w:t>göre beşinci hipotez</w:t>
      </w:r>
      <w:r>
        <w:rPr>
          <w:spacing w:val="-2"/>
        </w:rPr>
        <w:t> </w:t>
      </w:r>
      <w:r>
        <w:rPr/>
        <w:t>reddedilmiştir.</w:t>
      </w:r>
    </w:p>
    <w:p>
      <w:pPr>
        <w:pStyle w:val="BodyText"/>
        <w:spacing w:line="275" w:lineRule="exact"/>
        <w:ind w:left="1836"/>
      </w:pPr>
      <w:r>
        <w:rPr/>
        <w:t>Araştırma grubundaki kişilerin afete hazırlık düzeyinin değerlendirilmesi 3 Tablo</w:t>
      </w:r>
    </w:p>
    <w:p>
      <w:pPr>
        <w:pStyle w:val="BodyText"/>
        <w:spacing w:before="139"/>
        <w:ind w:left="1128"/>
      </w:pPr>
      <w:r>
        <w:rPr/>
        <w:t>4. 22’de gösterilmiştir.</w:t>
      </w:r>
    </w:p>
    <w:p>
      <w:pPr>
        <w:pStyle w:val="BodyText"/>
        <w:rPr>
          <w:sz w:val="26"/>
        </w:rPr>
      </w:pPr>
    </w:p>
    <w:p>
      <w:pPr>
        <w:pStyle w:val="BodyText"/>
        <w:spacing w:before="5"/>
        <w:rPr>
          <w:sz w:val="22"/>
        </w:rPr>
      </w:pPr>
    </w:p>
    <w:p>
      <w:pPr>
        <w:pStyle w:val="Heading1"/>
        <w:spacing w:line="256" w:lineRule="auto"/>
        <w:ind w:left="4376" w:right="935" w:hanging="2915"/>
      </w:pPr>
      <w:r>
        <w:rPr/>
        <w:t>Tablo 4. 22. Gümüşhane 112’de Çalışan Personelin Afete Hazırlık Düzeyinin Değerlendirilmesi 3</w:t>
      </w:r>
    </w:p>
    <w:p>
      <w:pPr>
        <w:pStyle w:val="BodyText"/>
        <w:spacing w:before="5"/>
        <w:rPr>
          <w:b/>
          <w:sz w:val="14"/>
        </w:rPr>
      </w:pPr>
    </w:p>
    <w:tbl>
      <w:tblPr>
        <w:tblW w:w="0" w:type="auto"/>
        <w:jc w:val="left"/>
        <w:tblInd w:w="11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02"/>
        <w:gridCol w:w="408"/>
        <w:gridCol w:w="720"/>
        <w:gridCol w:w="352"/>
        <w:gridCol w:w="467"/>
        <w:gridCol w:w="768"/>
        <w:gridCol w:w="1111"/>
        <w:gridCol w:w="970"/>
        <w:gridCol w:w="1107"/>
        <w:gridCol w:w="1104"/>
        <w:gridCol w:w="1030"/>
      </w:tblGrid>
      <w:tr>
        <w:trPr>
          <w:trHeight w:val="1453" w:hRule="atLeast"/>
        </w:trPr>
        <w:tc>
          <w:tcPr>
            <w:tcW w:w="1210" w:type="dxa"/>
            <w:gridSpan w:val="2"/>
            <w:tcBorders>
              <w:top w:val="single" w:sz="4" w:space="0" w:color="000000"/>
              <w:bottom w:val="single" w:sz="4" w:space="0" w:color="000000"/>
            </w:tcBorders>
          </w:tcPr>
          <w:p>
            <w:pPr>
              <w:pStyle w:val="TableParagraph"/>
              <w:spacing w:line="237" w:lineRule="auto"/>
              <w:ind w:left="648" w:right="-10"/>
              <w:rPr>
                <w:b/>
                <w:sz w:val="16"/>
              </w:rPr>
            </w:pPr>
            <w:r>
              <w:rPr>
                <w:b/>
                <w:sz w:val="16"/>
              </w:rPr>
              <w:t>Afet Planları</w:t>
            </w:r>
          </w:p>
        </w:tc>
        <w:tc>
          <w:tcPr>
            <w:tcW w:w="1072" w:type="dxa"/>
            <w:gridSpan w:val="2"/>
            <w:tcBorders>
              <w:top w:val="single" w:sz="4" w:space="0" w:color="000000"/>
              <w:bottom w:val="single" w:sz="4" w:space="0" w:color="000000"/>
            </w:tcBorders>
          </w:tcPr>
          <w:p>
            <w:pPr>
              <w:pStyle w:val="TableParagraph"/>
              <w:ind w:left="278" w:right="6" w:firstLine="5"/>
              <w:jc w:val="center"/>
              <w:rPr>
                <w:b/>
                <w:sz w:val="16"/>
              </w:rPr>
            </w:pPr>
            <w:r>
              <w:rPr>
                <w:b/>
                <w:sz w:val="16"/>
              </w:rPr>
              <w:t>Afet Tatbikat ve Planları</w:t>
            </w:r>
          </w:p>
        </w:tc>
        <w:tc>
          <w:tcPr>
            <w:tcW w:w="1235" w:type="dxa"/>
            <w:gridSpan w:val="2"/>
            <w:tcBorders>
              <w:top w:val="single" w:sz="4" w:space="0" w:color="000000"/>
              <w:bottom w:val="single" w:sz="4" w:space="0" w:color="000000"/>
            </w:tcBorders>
          </w:tcPr>
          <w:p>
            <w:pPr>
              <w:pStyle w:val="TableParagraph"/>
              <w:ind w:left="92" w:right="111"/>
              <w:jc w:val="center"/>
              <w:rPr>
                <w:b/>
                <w:sz w:val="16"/>
              </w:rPr>
            </w:pPr>
            <w:r>
              <w:rPr>
                <w:b/>
                <w:sz w:val="16"/>
              </w:rPr>
              <w:t>KBRN Olaylar ve Tehlikeli Maddelere Müdahale</w:t>
            </w:r>
          </w:p>
        </w:tc>
        <w:tc>
          <w:tcPr>
            <w:tcW w:w="1111" w:type="dxa"/>
            <w:tcBorders>
              <w:top w:val="single" w:sz="4" w:space="0" w:color="000000"/>
              <w:bottom w:val="single" w:sz="4" w:space="0" w:color="000000"/>
            </w:tcBorders>
          </w:tcPr>
          <w:p>
            <w:pPr>
              <w:pStyle w:val="TableParagraph"/>
              <w:spacing w:line="181" w:lineRule="exact"/>
              <w:ind w:left="74"/>
              <w:rPr>
                <w:b/>
                <w:sz w:val="16"/>
              </w:rPr>
            </w:pPr>
            <w:r>
              <w:rPr>
                <w:b/>
                <w:sz w:val="16"/>
              </w:rPr>
              <w:t>Koordinasyon</w:t>
            </w:r>
          </w:p>
        </w:tc>
        <w:tc>
          <w:tcPr>
            <w:tcW w:w="970" w:type="dxa"/>
            <w:tcBorders>
              <w:top w:val="single" w:sz="4" w:space="0" w:color="000000"/>
              <w:bottom w:val="single" w:sz="4" w:space="0" w:color="000000"/>
            </w:tcBorders>
          </w:tcPr>
          <w:p>
            <w:pPr>
              <w:pStyle w:val="TableParagraph"/>
              <w:spacing w:line="237" w:lineRule="auto"/>
              <w:ind w:left="74" w:right="110" w:hanging="12"/>
              <w:rPr>
                <w:b/>
                <w:sz w:val="16"/>
              </w:rPr>
            </w:pPr>
            <w:r>
              <w:rPr>
                <w:b/>
                <w:sz w:val="16"/>
              </w:rPr>
              <w:t>Personel ve Yöneticiler</w:t>
            </w:r>
          </w:p>
        </w:tc>
        <w:tc>
          <w:tcPr>
            <w:tcW w:w="1107" w:type="dxa"/>
            <w:tcBorders>
              <w:top w:val="single" w:sz="4" w:space="0" w:color="000000"/>
              <w:bottom w:val="single" w:sz="4" w:space="0" w:color="000000"/>
            </w:tcBorders>
          </w:tcPr>
          <w:p>
            <w:pPr>
              <w:pStyle w:val="TableParagraph"/>
              <w:ind w:left="108" w:right="206"/>
              <w:jc w:val="center"/>
              <w:rPr>
                <w:b/>
                <w:sz w:val="16"/>
              </w:rPr>
            </w:pPr>
            <w:r>
              <w:rPr>
                <w:b/>
                <w:sz w:val="16"/>
              </w:rPr>
              <w:t>Liderlik ve Ekip Çalışması</w:t>
            </w:r>
          </w:p>
        </w:tc>
        <w:tc>
          <w:tcPr>
            <w:tcW w:w="1104" w:type="dxa"/>
            <w:tcBorders>
              <w:top w:val="single" w:sz="4" w:space="0" w:color="000000"/>
              <w:bottom w:val="single" w:sz="4" w:space="0" w:color="000000"/>
            </w:tcBorders>
          </w:tcPr>
          <w:p>
            <w:pPr>
              <w:pStyle w:val="TableParagraph"/>
              <w:ind w:left="91" w:right="241" w:hanging="1"/>
              <w:jc w:val="center"/>
              <w:rPr>
                <w:b/>
                <w:sz w:val="16"/>
              </w:rPr>
            </w:pPr>
            <w:r>
              <w:rPr>
                <w:b/>
                <w:sz w:val="16"/>
              </w:rPr>
              <w:t>Triaj ve Kayıtlar ve Patolojiler</w:t>
            </w:r>
          </w:p>
        </w:tc>
        <w:tc>
          <w:tcPr>
            <w:tcW w:w="1030" w:type="dxa"/>
            <w:tcBorders>
              <w:top w:val="single" w:sz="4" w:space="0" w:color="000000"/>
              <w:bottom w:val="single" w:sz="4" w:space="0" w:color="000000"/>
            </w:tcBorders>
          </w:tcPr>
          <w:p>
            <w:pPr>
              <w:pStyle w:val="TableParagraph"/>
              <w:ind w:left="91" w:right="282" w:hanging="1"/>
              <w:jc w:val="center"/>
              <w:rPr>
                <w:b/>
                <w:sz w:val="16"/>
              </w:rPr>
            </w:pPr>
            <w:r>
              <w:rPr>
                <w:b/>
                <w:sz w:val="16"/>
              </w:rPr>
              <w:t>Çevre Sağlığı, Ruh Sağlığı ve Toplum Sağlığı</w:t>
            </w:r>
          </w:p>
        </w:tc>
      </w:tr>
      <w:tr>
        <w:trPr>
          <w:trHeight w:val="1406" w:hRule="atLeast"/>
        </w:trPr>
        <w:tc>
          <w:tcPr>
            <w:tcW w:w="802" w:type="dxa"/>
            <w:tcBorders>
              <w:top w:val="single" w:sz="4" w:space="0" w:color="000000"/>
              <w:bottom w:val="single" w:sz="4" w:space="0" w:color="000000"/>
            </w:tcBorders>
          </w:tcPr>
          <w:p>
            <w:pPr>
              <w:pStyle w:val="TableParagraph"/>
              <w:rPr>
                <w:b/>
                <w:sz w:val="20"/>
              </w:rPr>
            </w:pPr>
          </w:p>
          <w:p>
            <w:pPr>
              <w:pStyle w:val="TableParagraph"/>
              <w:rPr>
                <w:b/>
                <w:sz w:val="20"/>
              </w:rPr>
            </w:pPr>
          </w:p>
          <w:p>
            <w:pPr>
              <w:pStyle w:val="TableParagraph"/>
              <w:spacing w:before="157"/>
              <w:ind w:left="360"/>
              <w:rPr>
                <w:sz w:val="18"/>
              </w:rPr>
            </w:pPr>
            <w:r>
              <w:rPr>
                <w:w w:val="99"/>
                <w:sz w:val="18"/>
              </w:rPr>
              <w:t>N</w:t>
            </w:r>
          </w:p>
        </w:tc>
        <w:tc>
          <w:tcPr>
            <w:tcW w:w="1128" w:type="dxa"/>
            <w:gridSpan w:val="2"/>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8"/>
              <w:rPr>
                <w:sz w:val="18"/>
              </w:rPr>
            </w:pPr>
            <w:r>
              <w:rPr>
                <w:sz w:val="18"/>
              </w:rPr>
              <w:t>Geçerli 105</w:t>
            </w:r>
          </w:p>
          <w:p>
            <w:pPr>
              <w:pStyle w:val="TableParagraph"/>
              <w:spacing w:before="3"/>
              <w:rPr>
                <w:b/>
                <w:sz w:val="20"/>
              </w:rPr>
            </w:pPr>
          </w:p>
          <w:p>
            <w:pPr>
              <w:pStyle w:val="TableParagraph"/>
              <w:tabs>
                <w:tab w:pos="659" w:val="left" w:leader="none"/>
              </w:tabs>
              <w:ind w:left="-8"/>
              <w:rPr>
                <w:sz w:val="18"/>
              </w:rPr>
            </w:pPr>
            <w:r>
              <w:rPr>
                <w:sz w:val="18"/>
              </w:rPr>
              <w:t>Kayıp</w:t>
              <w:tab/>
              <w:t>0</w:t>
            </w:r>
          </w:p>
        </w:tc>
        <w:tc>
          <w:tcPr>
            <w:tcW w:w="819" w:type="dxa"/>
            <w:gridSpan w:val="2"/>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163"/>
              <w:rPr>
                <w:sz w:val="18"/>
              </w:rPr>
            </w:pPr>
            <w:r>
              <w:rPr>
                <w:sz w:val="18"/>
              </w:rPr>
              <w:t>105</w:t>
            </w:r>
          </w:p>
          <w:p>
            <w:pPr>
              <w:pStyle w:val="TableParagraph"/>
              <w:spacing w:before="3"/>
              <w:rPr>
                <w:b/>
                <w:sz w:val="20"/>
              </w:rPr>
            </w:pPr>
          </w:p>
          <w:p>
            <w:pPr>
              <w:pStyle w:val="TableParagraph"/>
              <w:ind w:left="206"/>
              <w:rPr>
                <w:sz w:val="18"/>
              </w:rPr>
            </w:pPr>
            <w:r>
              <w:rPr>
                <w:sz w:val="18"/>
              </w:rPr>
              <w:t>0</w:t>
            </w:r>
          </w:p>
        </w:tc>
        <w:tc>
          <w:tcPr>
            <w:tcW w:w="768"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228" w:right="230"/>
              <w:jc w:val="center"/>
              <w:rPr>
                <w:sz w:val="18"/>
              </w:rPr>
            </w:pPr>
            <w:r>
              <w:rPr>
                <w:sz w:val="18"/>
              </w:rPr>
              <w:t>105</w:t>
            </w:r>
          </w:p>
          <w:p>
            <w:pPr>
              <w:pStyle w:val="TableParagraph"/>
              <w:spacing w:before="3"/>
              <w:rPr>
                <w:b/>
                <w:sz w:val="20"/>
              </w:rPr>
            </w:pPr>
          </w:p>
          <w:p>
            <w:pPr>
              <w:pStyle w:val="TableParagraph"/>
              <w:ind w:left="89"/>
              <w:jc w:val="center"/>
              <w:rPr>
                <w:sz w:val="18"/>
              </w:rPr>
            </w:pPr>
            <w:r>
              <w:rPr>
                <w:sz w:val="18"/>
              </w:rPr>
              <w:t>0</w:t>
            </w:r>
          </w:p>
        </w:tc>
        <w:tc>
          <w:tcPr>
            <w:tcW w:w="1111"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388" w:right="366"/>
              <w:jc w:val="center"/>
              <w:rPr>
                <w:sz w:val="18"/>
              </w:rPr>
            </w:pPr>
            <w:r>
              <w:rPr>
                <w:sz w:val="18"/>
              </w:rPr>
              <w:t>105</w:t>
            </w:r>
          </w:p>
          <w:p>
            <w:pPr>
              <w:pStyle w:val="TableParagraph"/>
              <w:spacing w:before="3"/>
              <w:rPr>
                <w:b/>
                <w:sz w:val="20"/>
              </w:rPr>
            </w:pPr>
          </w:p>
          <w:p>
            <w:pPr>
              <w:pStyle w:val="TableParagraph"/>
              <w:ind w:left="15"/>
              <w:jc w:val="center"/>
              <w:rPr>
                <w:sz w:val="18"/>
              </w:rPr>
            </w:pPr>
            <w:r>
              <w:rPr>
                <w:sz w:val="18"/>
              </w:rPr>
              <w:t>0</w:t>
            </w:r>
          </w:p>
        </w:tc>
        <w:tc>
          <w:tcPr>
            <w:tcW w:w="970"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530"/>
              <w:rPr>
                <w:sz w:val="18"/>
              </w:rPr>
            </w:pPr>
            <w:r>
              <w:rPr>
                <w:sz w:val="18"/>
              </w:rPr>
              <w:t>105</w:t>
            </w:r>
          </w:p>
          <w:p>
            <w:pPr>
              <w:pStyle w:val="TableParagraph"/>
              <w:spacing w:before="3"/>
              <w:rPr>
                <w:b/>
                <w:sz w:val="20"/>
              </w:rPr>
            </w:pPr>
          </w:p>
          <w:p>
            <w:pPr>
              <w:pStyle w:val="TableParagraph"/>
              <w:ind w:left="574"/>
              <w:rPr>
                <w:sz w:val="18"/>
              </w:rPr>
            </w:pPr>
            <w:r>
              <w:rPr>
                <w:sz w:val="18"/>
              </w:rPr>
              <w:t>0</w:t>
            </w:r>
          </w:p>
        </w:tc>
        <w:tc>
          <w:tcPr>
            <w:tcW w:w="1107"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400" w:right="206"/>
              <w:jc w:val="center"/>
              <w:rPr>
                <w:sz w:val="18"/>
              </w:rPr>
            </w:pPr>
            <w:r>
              <w:rPr>
                <w:sz w:val="18"/>
              </w:rPr>
              <w:t>105</w:t>
            </w:r>
          </w:p>
          <w:p>
            <w:pPr>
              <w:pStyle w:val="TableParagraph"/>
              <w:spacing w:before="3"/>
              <w:rPr>
                <w:b/>
                <w:sz w:val="20"/>
              </w:rPr>
            </w:pPr>
          </w:p>
          <w:p>
            <w:pPr>
              <w:pStyle w:val="TableParagraph"/>
              <w:ind w:left="10"/>
              <w:jc w:val="center"/>
              <w:rPr>
                <w:sz w:val="18"/>
              </w:rPr>
            </w:pPr>
            <w:r>
              <w:rPr>
                <w:sz w:val="18"/>
              </w:rPr>
              <w:t>0</w:t>
            </w:r>
          </w:p>
        </w:tc>
        <w:tc>
          <w:tcPr>
            <w:tcW w:w="1104"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left="515" w:right="279"/>
              <w:jc w:val="center"/>
              <w:rPr>
                <w:sz w:val="18"/>
              </w:rPr>
            </w:pPr>
            <w:r>
              <w:rPr>
                <w:sz w:val="18"/>
              </w:rPr>
              <w:t>105</w:t>
            </w:r>
          </w:p>
          <w:p>
            <w:pPr>
              <w:pStyle w:val="TableParagraph"/>
              <w:spacing w:before="3"/>
              <w:rPr>
                <w:b/>
                <w:sz w:val="20"/>
              </w:rPr>
            </w:pPr>
          </w:p>
          <w:p>
            <w:pPr>
              <w:pStyle w:val="TableParagraph"/>
              <w:ind w:left="142"/>
              <w:jc w:val="center"/>
              <w:rPr>
                <w:sz w:val="18"/>
              </w:rPr>
            </w:pPr>
            <w:r>
              <w:rPr>
                <w:sz w:val="18"/>
              </w:rPr>
              <w:t>0</w:t>
            </w:r>
          </w:p>
        </w:tc>
        <w:tc>
          <w:tcPr>
            <w:tcW w:w="1030" w:type="dxa"/>
            <w:tcBorders>
              <w:top w:val="single" w:sz="4" w:space="0" w:color="000000"/>
              <w:bottom w:val="single" w:sz="4" w:space="0" w:color="000000"/>
            </w:tcBorders>
          </w:tcPr>
          <w:p>
            <w:pPr>
              <w:pStyle w:val="TableParagraph"/>
              <w:rPr>
                <w:b/>
                <w:sz w:val="20"/>
              </w:rPr>
            </w:pPr>
          </w:p>
          <w:p>
            <w:pPr>
              <w:pStyle w:val="TableParagraph"/>
              <w:spacing w:before="8"/>
              <w:rPr>
                <w:b/>
                <w:sz w:val="17"/>
              </w:rPr>
            </w:pPr>
          </w:p>
          <w:p>
            <w:pPr>
              <w:pStyle w:val="TableParagraph"/>
              <w:ind w:right="233"/>
              <w:jc w:val="right"/>
              <w:rPr>
                <w:sz w:val="18"/>
              </w:rPr>
            </w:pPr>
            <w:r>
              <w:rPr>
                <w:sz w:val="18"/>
              </w:rPr>
              <w:t>105</w:t>
            </w:r>
          </w:p>
          <w:p>
            <w:pPr>
              <w:pStyle w:val="TableParagraph"/>
              <w:spacing w:before="3"/>
              <w:rPr>
                <w:b/>
                <w:sz w:val="20"/>
              </w:rPr>
            </w:pPr>
          </w:p>
          <w:p>
            <w:pPr>
              <w:pStyle w:val="TableParagraph"/>
              <w:ind w:right="191"/>
              <w:jc w:val="right"/>
              <w:rPr>
                <w:sz w:val="18"/>
              </w:rPr>
            </w:pPr>
            <w:r>
              <w:rPr>
                <w:sz w:val="18"/>
              </w:rPr>
              <w:t>0</w:t>
            </w:r>
          </w:p>
        </w:tc>
      </w:tr>
      <w:tr>
        <w:trPr>
          <w:trHeight w:val="436" w:hRule="atLeast"/>
        </w:trPr>
        <w:tc>
          <w:tcPr>
            <w:tcW w:w="802" w:type="dxa"/>
            <w:tcBorders>
              <w:top w:val="single" w:sz="4" w:space="0" w:color="000000"/>
              <w:bottom w:val="single" w:sz="4" w:space="0" w:color="000000"/>
            </w:tcBorders>
          </w:tcPr>
          <w:p>
            <w:pPr>
              <w:pStyle w:val="TableParagraph"/>
              <w:ind w:left="360" w:right="-28"/>
              <w:rPr>
                <w:sz w:val="18"/>
              </w:rPr>
            </w:pPr>
            <w:r>
              <w:rPr>
                <w:sz w:val="18"/>
              </w:rPr>
              <w:t>Ortala ma</w:t>
            </w:r>
          </w:p>
        </w:tc>
        <w:tc>
          <w:tcPr>
            <w:tcW w:w="408" w:type="dxa"/>
            <w:tcBorders>
              <w:top w:val="single" w:sz="4" w:space="0" w:color="000000"/>
              <w:bottom w:val="single" w:sz="4" w:space="0" w:color="000000"/>
            </w:tcBorders>
          </w:tcPr>
          <w:p>
            <w:pPr>
              <w:pStyle w:val="TableParagraph"/>
              <w:rPr>
                <w:sz w:val="20"/>
              </w:rPr>
            </w:pPr>
          </w:p>
        </w:tc>
        <w:tc>
          <w:tcPr>
            <w:tcW w:w="720" w:type="dxa"/>
            <w:tcBorders>
              <w:top w:val="single" w:sz="4" w:space="0" w:color="000000"/>
              <w:bottom w:val="single" w:sz="4" w:space="0" w:color="000000"/>
            </w:tcBorders>
          </w:tcPr>
          <w:p>
            <w:pPr>
              <w:pStyle w:val="TableParagraph"/>
              <w:spacing w:line="202" w:lineRule="exact"/>
              <w:ind w:right="21"/>
              <w:jc w:val="center"/>
              <w:rPr>
                <w:sz w:val="18"/>
              </w:rPr>
            </w:pPr>
            <w:r>
              <w:rPr>
                <w:sz w:val="18"/>
              </w:rPr>
              <w:t>2,9660</w:t>
            </w:r>
          </w:p>
        </w:tc>
        <w:tc>
          <w:tcPr>
            <w:tcW w:w="819" w:type="dxa"/>
            <w:gridSpan w:val="2"/>
            <w:tcBorders>
              <w:top w:val="single" w:sz="4" w:space="0" w:color="000000"/>
              <w:bottom w:val="single" w:sz="4" w:space="0" w:color="000000"/>
            </w:tcBorders>
          </w:tcPr>
          <w:p>
            <w:pPr>
              <w:pStyle w:val="TableParagraph"/>
              <w:spacing w:line="202" w:lineRule="exact"/>
              <w:ind w:left="216"/>
              <w:rPr>
                <w:sz w:val="18"/>
              </w:rPr>
            </w:pPr>
            <w:r>
              <w:rPr>
                <w:sz w:val="18"/>
              </w:rPr>
              <w:t>2,9444</w:t>
            </w:r>
          </w:p>
        </w:tc>
        <w:tc>
          <w:tcPr>
            <w:tcW w:w="768" w:type="dxa"/>
            <w:tcBorders>
              <w:top w:val="single" w:sz="4" w:space="0" w:color="000000"/>
              <w:bottom w:val="single" w:sz="4" w:space="0" w:color="000000"/>
            </w:tcBorders>
          </w:tcPr>
          <w:p>
            <w:pPr>
              <w:pStyle w:val="TableParagraph"/>
              <w:spacing w:line="202" w:lineRule="exact"/>
              <w:ind w:right="71"/>
              <w:jc w:val="right"/>
              <w:rPr>
                <w:sz w:val="18"/>
              </w:rPr>
            </w:pPr>
            <w:r>
              <w:rPr>
                <w:sz w:val="18"/>
              </w:rPr>
              <w:t>2,7921</w:t>
            </w:r>
          </w:p>
        </w:tc>
        <w:tc>
          <w:tcPr>
            <w:tcW w:w="1111" w:type="dxa"/>
            <w:tcBorders>
              <w:top w:val="single" w:sz="4" w:space="0" w:color="000000"/>
              <w:bottom w:val="single" w:sz="4" w:space="0" w:color="000000"/>
            </w:tcBorders>
          </w:tcPr>
          <w:p>
            <w:pPr>
              <w:pStyle w:val="TableParagraph"/>
              <w:spacing w:line="202" w:lineRule="exact"/>
              <w:ind w:left="335"/>
              <w:rPr>
                <w:sz w:val="18"/>
              </w:rPr>
            </w:pPr>
            <w:r>
              <w:rPr>
                <w:sz w:val="18"/>
              </w:rPr>
              <w:t>3,2912</w:t>
            </w:r>
          </w:p>
        </w:tc>
        <w:tc>
          <w:tcPr>
            <w:tcW w:w="970" w:type="dxa"/>
            <w:tcBorders>
              <w:top w:val="single" w:sz="4" w:space="0" w:color="000000"/>
              <w:bottom w:val="single" w:sz="4" w:space="0" w:color="000000"/>
            </w:tcBorders>
          </w:tcPr>
          <w:p>
            <w:pPr>
              <w:pStyle w:val="TableParagraph"/>
              <w:spacing w:line="202" w:lineRule="exact"/>
              <w:ind w:left="204"/>
              <w:rPr>
                <w:sz w:val="18"/>
              </w:rPr>
            </w:pPr>
            <w:r>
              <w:rPr>
                <w:sz w:val="18"/>
              </w:rPr>
              <w:t>3,0540</w:t>
            </w:r>
          </w:p>
        </w:tc>
        <w:tc>
          <w:tcPr>
            <w:tcW w:w="1107" w:type="dxa"/>
            <w:tcBorders>
              <w:top w:val="single" w:sz="4" w:space="0" w:color="000000"/>
              <w:bottom w:val="single" w:sz="4" w:space="0" w:color="000000"/>
            </w:tcBorders>
          </w:tcPr>
          <w:p>
            <w:pPr>
              <w:pStyle w:val="TableParagraph"/>
              <w:spacing w:line="202" w:lineRule="exact"/>
              <w:ind w:left="432"/>
              <w:rPr>
                <w:sz w:val="18"/>
              </w:rPr>
            </w:pPr>
            <w:r>
              <w:rPr>
                <w:sz w:val="18"/>
              </w:rPr>
              <w:t>3,2327</w:t>
            </w:r>
          </w:p>
        </w:tc>
        <w:tc>
          <w:tcPr>
            <w:tcW w:w="1104" w:type="dxa"/>
            <w:tcBorders>
              <w:top w:val="single" w:sz="4" w:space="0" w:color="000000"/>
              <w:bottom w:val="single" w:sz="4" w:space="0" w:color="000000"/>
            </w:tcBorders>
          </w:tcPr>
          <w:p>
            <w:pPr>
              <w:pStyle w:val="TableParagraph"/>
              <w:spacing w:line="202" w:lineRule="exact"/>
              <w:ind w:left="429"/>
              <w:rPr>
                <w:sz w:val="18"/>
              </w:rPr>
            </w:pPr>
            <w:r>
              <w:rPr>
                <w:sz w:val="18"/>
              </w:rPr>
              <w:t>3,3600</w:t>
            </w:r>
          </w:p>
        </w:tc>
        <w:tc>
          <w:tcPr>
            <w:tcW w:w="1030" w:type="dxa"/>
            <w:tcBorders>
              <w:top w:val="single" w:sz="4" w:space="0" w:color="000000"/>
              <w:bottom w:val="single" w:sz="4" w:space="0" w:color="000000"/>
            </w:tcBorders>
          </w:tcPr>
          <w:p>
            <w:pPr>
              <w:pStyle w:val="TableParagraph"/>
              <w:spacing w:line="202" w:lineRule="exact"/>
              <w:ind w:right="103"/>
              <w:jc w:val="right"/>
              <w:rPr>
                <w:sz w:val="18"/>
              </w:rPr>
            </w:pPr>
            <w:r>
              <w:rPr>
                <w:sz w:val="18"/>
              </w:rPr>
              <w:t>3,1333</w:t>
            </w:r>
          </w:p>
        </w:tc>
      </w:tr>
      <w:tr>
        <w:trPr>
          <w:trHeight w:val="438" w:hRule="atLeast"/>
        </w:trPr>
        <w:tc>
          <w:tcPr>
            <w:tcW w:w="1210" w:type="dxa"/>
            <w:gridSpan w:val="2"/>
            <w:tcBorders>
              <w:top w:val="single" w:sz="4" w:space="0" w:color="000000"/>
              <w:bottom w:val="single" w:sz="4" w:space="0" w:color="000000"/>
            </w:tcBorders>
          </w:tcPr>
          <w:p>
            <w:pPr>
              <w:pStyle w:val="TableParagraph"/>
              <w:spacing w:line="242" w:lineRule="auto"/>
              <w:ind w:left="360" w:right="330"/>
              <w:rPr>
                <w:sz w:val="18"/>
              </w:rPr>
            </w:pPr>
            <w:r>
              <w:rPr>
                <w:sz w:val="18"/>
              </w:rPr>
              <w:t>Medya n</w:t>
            </w:r>
          </w:p>
        </w:tc>
        <w:tc>
          <w:tcPr>
            <w:tcW w:w="720" w:type="dxa"/>
            <w:tcBorders>
              <w:top w:val="single" w:sz="4" w:space="0" w:color="000000"/>
              <w:bottom w:val="single" w:sz="4" w:space="0" w:color="000000"/>
            </w:tcBorders>
          </w:tcPr>
          <w:p>
            <w:pPr>
              <w:pStyle w:val="TableParagraph"/>
              <w:spacing w:line="202" w:lineRule="exact"/>
              <w:ind w:right="21"/>
              <w:jc w:val="center"/>
              <w:rPr>
                <w:sz w:val="18"/>
              </w:rPr>
            </w:pPr>
            <w:r>
              <w:rPr>
                <w:sz w:val="18"/>
              </w:rPr>
              <w:t>3,0000</w:t>
            </w:r>
          </w:p>
        </w:tc>
        <w:tc>
          <w:tcPr>
            <w:tcW w:w="819" w:type="dxa"/>
            <w:gridSpan w:val="2"/>
            <w:tcBorders>
              <w:top w:val="single" w:sz="4" w:space="0" w:color="000000"/>
              <w:bottom w:val="single" w:sz="4" w:space="0" w:color="000000"/>
            </w:tcBorders>
          </w:tcPr>
          <w:p>
            <w:pPr>
              <w:pStyle w:val="TableParagraph"/>
              <w:spacing w:line="202" w:lineRule="exact"/>
              <w:ind w:left="216"/>
              <w:rPr>
                <w:sz w:val="18"/>
              </w:rPr>
            </w:pPr>
            <w:r>
              <w:rPr>
                <w:sz w:val="18"/>
              </w:rPr>
              <w:t>2,8333</w:t>
            </w:r>
          </w:p>
        </w:tc>
        <w:tc>
          <w:tcPr>
            <w:tcW w:w="768" w:type="dxa"/>
            <w:tcBorders>
              <w:top w:val="single" w:sz="4" w:space="0" w:color="000000"/>
              <w:bottom w:val="single" w:sz="4" w:space="0" w:color="000000"/>
            </w:tcBorders>
          </w:tcPr>
          <w:p>
            <w:pPr>
              <w:pStyle w:val="TableParagraph"/>
              <w:spacing w:line="202" w:lineRule="exact"/>
              <w:ind w:right="71"/>
              <w:jc w:val="right"/>
              <w:rPr>
                <w:sz w:val="18"/>
              </w:rPr>
            </w:pPr>
            <w:r>
              <w:rPr>
                <w:sz w:val="18"/>
              </w:rPr>
              <w:t>2,8333</w:t>
            </w:r>
          </w:p>
        </w:tc>
        <w:tc>
          <w:tcPr>
            <w:tcW w:w="1111" w:type="dxa"/>
            <w:tcBorders>
              <w:top w:val="single" w:sz="4" w:space="0" w:color="000000"/>
              <w:bottom w:val="single" w:sz="4" w:space="0" w:color="000000"/>
            </w:tcBorders>
          </w:tcPr>
          <w:p>
            <w:pPr>
              <w:pStyle w:val="TableParagraph"/>
              <w:spacing w:line="202" w:lineRule="exact"/>
              <w:ind w:left="335"/>
              <w:rPr>
                <w:sz w:val="18"/>
              </w:rPr>
            </w:pPr>
            <w:r>
              <w:rPr>
                <w:sz w:val="18"/>
              </w:rPr>
              <w:t>3,2857</w:t>
            </w:r>
          </w:p>
        </w:tc>
        <w:tc>
          <w:tcPr>
            <w:tcW w:w="970" w:type="dxa"/>
            <w:tcBorders>
              <w:top w:val="single" w:sz="4" w:space="0" w:color="000000"/>
              <w:bottom w:val="single" w:sz="4" w:space="0" w:color="000000"/>
            </w:tcBorders>
          </w:tcPr>
          <w:p>
            <w:pPr>
              <w:pStyle w:val="TableParagraph"/>
              <w:spacing w:line="202" w:lineRule="exact"/>
              <w:ind w:left="204"/>
              <w:rPr>
                <w:sz w:val="18"/>
              </w:rPr>
            </w:pPr>
            <w:r>
              <w:rPr>
                <w:sz w:val="18"/>
              </w:rPr>
              <w:t>3,0000</w:t>
            </w:r>
          </w:p>
        </w:tc>
        <w:tc>
          <w:tcPr>
            <w:tcW w:w="1107" w:type="dxa"/>
            <w:tcBorders>
              <w:top w:val="single" w:sz="4" w:space="0" w:color="000000"/>
              <w:bottom w:val="single" w:sz="4" w:space="0" w:color="000000"/>
            </w:tcBorders>
          </w:tcPr>
          <w:p>
            <w:pPr>
              <w:pStyle w:val="TableParagraph"/>
              <w:spacing w:line="202" w:lineRule="exact"/>
              <w:ind w:left="432"/>
              <w:rPr>
                <w:sz w:val="18"/>
              </w:rPr>
            </w:pPr>
            <w:r>
              <w:rPr>
                <w:sz w:val="18"/>
              </w:rPr>
              <w:t>3,4286</w:t>
            </w:r>
          </w:p>
        </w:tc>
        <w:tc>
          <w:tcPr>
            <w:tcW w:w="1104" w:type="dxa"/>
            <w:tcBorders>
              <w:top w:val="single" w:sz="4" w:space="0" w:color="000000"/>
              <w:bottom w:val="single" w:sz="4" w:space="0" w:color="000000"/>
            </w:tcBorders>
          </w:tcPr>
          <w:p>
            <w:pPr>
              <w:pStyle w:val="TableParagraph"/>
              <w:spacing w:line="202" w:lineRule="exact"/>
              <w:ind w:left="429"/>
              <w:rPr>
                <w:sz w:val="18"/>
              </w:rPr>
            </w:pPr>
            <w:r>
              <w:rPr>
                <w:sz w:val="18"/>
              </w:rPr>
              <w:t>3,4000</w:t>
            </w:r>
          </w:p>
        </w:tc>
        <w:tc>
          <w:tcPr>
            <w:tcW w:w="1030" w:type="dxa"/>
            <w:tcBorders>
              <w:top w:val="single" w:sz="4" w:space="0" w:color="000000"/>
              <w:bottom w:val="single" w:sz="4" w:space="0" w:color="000000"/>
            </w:tcBorders>
          </w:tcPr>
          <w:p>
            <w:pPr>
              <w:pStyle w:val="TableParagraph"/>
              <w:spacing w:line="202" w:lineRule="exact"/>
              <w:ind w:right="103"/>
              <w:jc w:val="right"/>
              <w:rPr>
                <w:sz w:val="18"/>
              </w:rPr>
            </w:pPr>
            <w:r>
              <w:rPr>
                <w:sz w:val="18"/>
              </w:rPr>
              <w:t>3,0000</w:t>
            </w:r>
          </w:p>
        </w:tc>
      </w:tr>
      <w:tr>
        <w:trPr>
          <w:trHeight w:val="438" w:hRule="atLeast"/>
        </w:trPr>
        <w:tc>
          <w:tcPr>
            <w:tcW w:w="802" w:type="dxa"/>
            <w:tcBorders>
              <w:top w:val="single" w:sz="4" w:space="0" w:color="000000"/>
              <w:bottom w:val="single" w:sz="4" w:space="0" w:color="000000"/>
            </w:tcBorders>
          </w:tcPr>
          <w:p>
            <w:pPr>
              <w:pStyle w:val="TableParagraph"/>
              <w:spacing w:line="202" w:lineRule="exact"/>
              <w:ind w:left="360"/>
              <w:rPr>
                <w:sz w:val="18"/>
              </w:rPr>
            </w:pPr>
            <w:r>
              <w:rPr>
                <w:sz w:val="18"/>
              </w:rPr>
              <w:t>Mod</w:t>
            </w:r>
          </w:p>
        </w:tc>
        <w:tc>
          <w:tcPr>
            <w:tcW w:w="408" w:type="dxa"/>
            <w:tcBorders>
              <w:top w:val="single" w:sz="4" w:space="0" w:color="000000"/>
              <w:bottom w:val="single" w:sz="4" w:space="0" w:color="000000"/>
            </w:tcBorders>
          </w:tcPr>
          <w:p>
            <w:pPr>
              <w:pStyle w:val="TableParagraph"/>
              <w:rPr>
                <w:sz w:val="20"/>
              </w:rPr>
            </w:pPr>
          </w:p>
        </w:tc>
        <w:tc>
          <w:tcPr>
            <w:tcW w:w="720" w:type="dxa"/>
            <w:tcBorders>
              <w:top w:val="single" w:sz="4" w:space="0" w:color="000000"/>
              <w:bottom w:val="single" w:sz="4" w:space="0" w:color="000000"/>
            </w:tcBorders>
          </w:tcPr>
          <w:p>
            <w:pPr>
              <w:pStyle w:val="TableParagraph"/>
              <w:spacing w:line="202" w:lineRule="exact"/>
              <w:ind w:right="67"/>
              <w:jc w:val="center"/>
              <w:rPr>
                <w:sz w:val="18"/>
              </w:rPr>
            </w:pPr>
            <w:r>
              <w:rPr>
                <w:sz w:val="18"/>
              </w:rPr>
              <w:t>3,00</w:t>
            </w:r>
          </w:p>
        </w:tc>
        <w:tc>
          <w:tcPr>
            <w:tcW w:w="352" w:type="dxa"/>
            <w:tcBorders>
              <w:top w:val="single" w:sz="4" w:space="0" w:color="000000"/>
              <w:bottom w:val="single" w:sz="4" w:space="0" w:color="000000"/>
            </w:tcBorders>
          </w:tcPr>
          <w:p>
            <w:pPr>
              <w:pStyle w:val="TableParagraph"/>
              <w:rPr>
                <w:sz w:val="20"/>
              </w:rPr>
            </w:pPr>
          </w:p>
        </w:tc>
        <w:tc>
          <w:tcPr>
            <w:tcW w:w="467" w:type="dxa"/>
            <w:tcBorders>
              <w:top w:val="single" w:sz="4" w:space="0" w:color="000000"/>
              <w:bottom w:val="single" w:sz="4" w:space="0" w:color="000000"/>
            </w:tcBorders>
          </w:tcPr>
          <w:p>
            <w:pPr>
              <w:pStyle w:val="TableParagraph"/>
              <w:spacing w:line="202" w:lineRule="exact"/>
              <w:ind w:left="8"/>
              <w:rPr>
                <w:sz w:val="18"/>
              </w:rPr>
            </w:pPr>
            <w:r>
              <w:rPr>
                <w:sz w:val="18"/>
              </w:rPr>
              <w:t>2,17</w:t>
            </w:r>
          </w:p>
        </w:tc>
        <w:tc>
          <w:tcPr>
            <w:tcW w:w="768" w:type="dxa"/>
            <w:tcBorders>
              <w:top w:val="single" w:sz="4" w:space="0" w:color="000000"/>
              <w:bottom w:val="single" w:sz="4" w:space="0" w:color="000000"/>
            </w:tcBorders>
          </w:tcPr>
          <w:p>
            <w:pPr>
              <w:pStyle w:val="TableParagraph"/>
              <w:spacing w:line="202" w:lineRule="exact"/>
              <w:ind w:right="74"/>
              <w:jc w:val="right"/>
              <w:rPr>
                <w:sz w:val="18"/>
              </w:rPr>
            </w:pPr>
            <w:r>
              <w:rPr>
                <w:sz w:val="18"/>
              </w:rPr>
              <w:t>3,00</w:t>
            </w:r>
          </w:p>
        </w:tc>
        <w:tc>
          <w:tcPr>
            <w:tcW w:w="1111" w:type="dxa"/>
            <w:tcBorders>
              <w:top w:val="single" w:sz="4" w:space="0" w:color="000000"/>
              <w:bottom w:val="single" w:sz="4" w:space="0" w:color="000000"/>
            </w:tcBorders>
          </w:tcPr>
          <w:p>
            <w:pPr>
              <w:pStyle w:val="TableParagraph"/>
              <w:spacing w:line="202" w:lineRule="exact"/>
              <w:ind w:left="390" w:right="366"/>
              <w:jc w:val="center"/>
              <w:rPr>
                <w:sz w:val="18"/>
              </w:rPr>
            </w:pPr>
            <w:r>
              <w:rPr>
                <w:sz w:val="18"/>
              </w:rPr>
              <w:t>3,00</w:t>
            </w:r>
          </w:p>
        </w:tc>
        <w:tc>
          <w:tcPr>
            <w:tcW w:w="970" w:type="dxa"/>
            <w:tcBorders>
              <w:top w:val="single" w:sz="4" w:space="0" w:color="000000"/>
              <w:bottom w:val="single" w:sz="4" w:space="0" w:color="000000"/>
            </w:tcBorders>
          </w:tcPr>
          <w:p>
            <w:pPr>
              <w:pStyle w:val="TableParagraph"/>
              <w:spacing w:line="202" w:lineRule="exact"/>
              <w:ind w:left="204"/>
              <w:rPr>
                <w:sz w:val="18"/>
              </w:rPr>
            </w:pPr>
            <w:r>
              <w:rPr>
                <w:sz w:val="18"/>
              </w:rPr>
              <w:t>3,00</w:t>
            </w:r>
          </w:p>
        </w:tc>
        <w:tc>
          <w:tcPr>
            <w:tcW w:w="1107" w:type="dxa"/>
            <w:tcBorders>
              <w:top w:val="single" w:sz="4" w:space="0" w:color="000000"/>
              <w:bottom w:val="single" w:sz="4" w:space="0" w:color="000000"/>
            </w:tcBorders>
          </w:tcPr>
          <w:p>
            <w:pPr>
              <w:pStyle w:val="TableParagraph"/>
              <w:spacing w:line="202" w:lineRule="exact"/>
              <w:ind w:left="432"/>
              <w:rPr>
                <w:sz w:val="18"/>
              </w:rPr>
            </w:pPr>
            <w:r>
              <w:rPr>
                <w:sz w:val="18"/>
              </w:rPr>
              <w:t>3,43</w:t>
            </w:r>
          </w:p>
        </w:tc>
        <w:tc>
          <w:tcPr>
            <w:tcW w:w="1104" w:type="dxa"/>
            <w:tcBorders>
              <w:top w:val="single" w:sz="4" w:space="0" w:color="000000"/>
              <w:bottom w:val="single" w:sz="4" w:space="0" w:color="000000"/>
            </w:tcBorders>
          </w:tcPr>
          <w:p>
            <w:pPr>
              <w:pStyle w:val="TableParagraph"/>
              <w:spacing w:line="202" w:lineRule="exact"/>
              <w:ind w:left="429"/>
              <w:rPr>
                <w:sz w:val="18"/>
              </w:rPr>
            </w:pPr>
            <w:r>
              <w:rPr>
                <w:sz w:val="18"/>
              </w:rPr>
              <w:t>3,00</w:t>
            </w:r>
          </w:p>
        </w:tc>
        <w:tc>
          <w:tcPr>
            <w:tcW w:w="1030" w:type="dxa"/>
            <w:tcBorders>
              <w:top w:val="single" w:sz="4" w:space="0" w:color="000000"/>
              <w:bottom w:val="single" w:sz="4" w:space="0" w:color="000000"/>
            </w:tcBorders>
          </w:tcPr>
          <w:p>
            <w:pPr>
              <w:pStyle w:val="TableParagraph"/>
              <w:spacing w:line="202" w:lineRule="exact"/>
              <w:ind w:right="124"/>
              <w:jc w:val="right"/>
              <w:rPr>
                <w:sz w:val="18"/>
              </w:rPr>
            </w:pPr>
            <w:r>
              <w:rPr>
                <w:sz w:val="18"/>
              </w:rPr>
              <w:t>3,00</w:t>
            </w:r>
          </w:p>
        </w:tc>
      </w:tr>
      <w:tr>
        <w:trPr>
          <w:trHeight w:val="436" w:hRule="atLeast"/>
        </w:trPr>
        <w:tc>
          <w:tcPr>
            <w:tcW w:w="802" w:type="dxa"/>
            <w:tcBorders>
              <w:top w:val="single" w:sz="4" w:space="0" w:color="000000"/>
              <w:bottom w:val="single" w:sz="4" w:space="0" w:color="000000"/>
            </w:tcBorders>
          </w:tcPr>
          <w:p>
            <w:pPr>
              <w:pStyle w:val="TableParagraph"/>
              <w:ind w:left="360" w:right="12"/>
              <w:rPr>
                <w:sz w:val="18"/>
              </w:rPr>
            </w:pPr>
            <w:r>
              <w:rPr>
                <w:sz w:val="18"/>
              </w:rPr>
              <w:t>Std. Sapm</w:t>
            </w:r>
          </w:p>
        </w:tc>
        <w:tc>
          <w:tcPr>
            <w:tcW w:w="408" w:type="dxa"/>
            <w:tcBorders>
              <w:top w:val="single" w:sz="4" w:space="0" w:color="000000"/>
              <w:bottom w:val="single" w:sz="4" w:space="0" w:color="000000"/>
            </w:tcBorders>
          </w:tcPr>
          <w:p>
            <w:pPr>
              <w:pStyle w:val="TableParagraph"/>
              <w:spacing w:before="5"/>
              <w:rPr>
                <w:b/>
                <w:sz w:val="17"/>
              </w:rPr>
            </w:pPr>
          </w:p>
          <w:p>
            <w:pPr>
              <w:pStyle w:val="TableParagraph"/>
              <w:spacing w:before="1"/>
              <w:ind w:left="-35"/>
              <w:rPr>
                <w:sz w:val="18"/>
              </w:rPr>
            </w:pPr>
            <w:r>
              <w:rPr>
                <w:sz w:val="18"/>
              </w:rPr>
              <w:t>a</w:t>
            </w:r>
          </w:p>
        </w:tc>
        <w:tc>
          <w:tcPr>
            <w:tcW w:w="720" w:type="dxa"/>
            <w:tcBorders>
              <w:top w:val="single" w:sz="4" w:space="0" w:color="000000"/>
              <w:bottom w:val="single" w:sz="4" w:space="0" w:color="000000"/>
            </w:tcBorders>
          </w:tcPr>
          <w:p>
            <w:pPr>
              <w:pStyle w:val="TableParagraph"/>
              <w:spacing w:line="202" w:lineRule="exact"/>
              <w:ind w:right="113"/>
              <w:jc w:val="center"/>
              <w:rPr>
                <w:sz w:val="18"/>
              </w:rPr>
            </w:pPr>
            <w:r>
              <w:rPr>
                <w:sz w:val="18"/>
              </w:rPr>
              <w:t>0,91592</w:t>
            </w:r>
          </w:p>
        </w:tc>
        <w:tc>
          <w:tcPr>
            <w:tcW w:w="819" w:type="dxa"/>
            <w:gridSpan w:val="2"/>
            <w:tcBorders>
              <w:top w:val="single" w:sz="4" w:space="0" w:color="000000"/>
              <w:bottom w:val="single" w:sz="4" w:space="0" w:color="000000"/>
            </w:tcBorders>
          </w:tcPr>
          <w:p>
            <w:pPr>
              <w:pStyle w:val="TableParagraph"/>
              <w:spacing w:line="202" w:lineRule="exact"/>
              <w:ind w:left="125"/>
              <w:rPr>
                <w:sz w:val="18"/>
              </w:rPr>
            </w:pPr>
            <w:r>
              <w:rPr>
                <w:sz w:val="18"/>
              </w:rPr>
              <w:t>0,94921</w:t>
            </w:r>
          </w:p>
        </w:tc>
        <w:tc>
          <w:tcPr>
            <w:tcW w:w="768" w:type="dxa"/>
            <w:tcBorders>
              <w:top w:val="single" w:sz="4" w:space="0" w:color="000000"/>
              <w:bottom w:val="single" w:sz="4" w:space="0" w:color="000000"/>
            </w:tcBorders>
          </w:tcPr>
          <w:p>
            <w:pPr>
              <w:pStyle w:val="TableParagraph"/>
              <w:spacing w:line="202" w:lineRule="exact"/>
              <w:ind w:right="72"/>
              <w:jc w:val="right"/>
              <w:rPr>
                <w:sz w:val="18"/>
              </w:rPr>
            </w:pPr>
            <w:r>
              <w:rPr>
                <w:sz w:val="18"/>
              </w:rPr>
              <w:t>0,81936</w:t>
            </w:r>
          </w:p>
        </w:tc>
        <w:tc>
          <w:tcPr>
            <w:tcW w:w="1111" w:type="dxa"/>
            <w:tcBorders>
              <w:top w:val="single" w:sz="4" w:space="0" w:color="000000"/>
              <w:bottom w:val="single" w:sz="4" w:space="0" w:color="000000"/>
            </w:tcBorders>
          </w:tcPr>
          <w:p>
            <w:pPr>
              <w:pStyle w:val="TableParagraph"/>
              <w:spacing w:line="202" w:lineRule="exact"/>
              <w:ind w:left="196"/>
              <w:rPr>
                <w:sz w:val="18"/>
              </w:rPr>
            </w:pPr>
            <w:r>
              <w:rPr>
                <w:sz w:val="18"/>
              </w:rPr>
              <w:t>0,78495</w:t>
            </w:r>
          </w:p>
        </w:tc>
        <w:tc>
          <w:tcPr>
            <w:tcW w:w="970" w:type="dxa"/>
            <w:tcBorders>
              <w:top w:val="single" w:sz="4" w:space="0" w:color="000000"/>
              <w:bottom w:val="single" w:sz="4" w:space="0" w:color="000000"/>
            </w:tcBorders>
          </w:tcPr>
          <w:p>
            <w:pPr>
              <w:pStyle w:val="TableParagraph"/>
              <w:spacing w:line="202" w:lineRule="exact"/>
              <w:ind w:left="204"/>
              <w:rPr>
                <w:sz w:val="18"/>
              </w:rPr>
            </w:pPr>
            <w:r>
              <w:rPr>
                <w:sz w:val="18"/>
              </w:rPr>
              <w:t>0,89489</w:t>
            </w:r>
          </w:p>
        </w:tc>
        <w:tc>
          <w:tcPr>
            <w:tcW w:w="1107" w:type="dxa"/>
            <w:tcBorders>
              <w:top w:val="single" w:sz="4" w:space="0" w:color="000000"/>
              <w:bottom w:val="single" w:sz="4" w:space="0" w:color="000000"/>
            </w:tcBorders>
          </w:tcPr>
          <w:p>
            <w:pPr>
              <w:pStyle w:val="TableParagraph"/>
              <w:spacing w:line="202" w:lineRule="exact"/>
              <w:ind w:left="432"/>
              <w:rPr>
                <w:sz w:val="18"/>
              </w:rPr>
            </w:pPr>
            <w:r>
              <w:rPr>
                <w:sz w:val="18"/>
              </w:rPr>
              <w:t>0,78077</w:t>
            </w:r>
          </w:p>
        </w:tc>
        <w:tc>
          <w:tcPr>
            <w:tcW w:w="1104" w:type="dxa"/>
            <w:tcBorders>
              <w:top w:val="single" w:sz="4" w:space="0" w:color="000000"/>
              <w:bottom w:val="single" w:sz="4" w:space="0" w:color="000000"/>
            </w:tcBorders>
          </w:tcPr>
          <w:p>
            <w:pPr>
              <w:pStyle w:val="TableParagraph"/>
              <w:spacing w:line="202" w:lineRule="exact"/>
              <w:ind w:left="429"/>
              <w:rPr>
                <w:sz w:val="18"/>
              </w:rPr>
            </w:pPr>
            <w:r>
              <w:rPr>
                <w:sz w:val="18"/>
              </w:rPr>
              <w:t>0,92129</w:t>
            </w:r>
          </w:p>
        </w:tc>
        <w:tc>
          <w:tcPr>
            <w:tcW w:w="1030" w:type="dxa"/>
            <w:tcBorders>
              <w:top w:val="single" w:sz="4" w:space="0" w:color="000000"/>
              <w:bottom w:val="single" w:sz="4" w:space="0" w:color="000000"/>
            </w:tcBorders>
          </w:tcPr>
          <w:p>
            <w:pPr>
              <w:pStyle w:val="TableParagraph"/>
              <w:spacing w:line="202" w:lineRule="exact"/>
              <w:ind w:right="103"/>
              <w:jc w:val="right"/>
              <w:rPr>
                <w:sz w:val="18"/>
              </w:rPr>
            </w:pPr>
            <w:r>
              <w:rPr>
                <w:sz w:val="18"/>
              </w:rPr>
              <w:t>1,02965</w:t>
            </w:r>
          </w:p>
        </w:tc>
      </w:tr>
    </w:tbl>
    <w:p>
      <w:pPr>
        <w:spacing w:after="0" w:line="202" w:lineRule="exact"/>
        <w:jc w:val="right"/>
        <w:rPr>
          <w:sz w:val="18"/>
        </w:rPr>
        <w:sectPr>
          <w:pgSz w:w="11910" w:h="16840"/>
          <w:pgMar w:header="0" w:footer="976" w:top="1580" w:bottom="1240" w:left="1140" w:right="520"/>
        </w:sectPr>
      </w:pPr>
    </w:p>
    <w:p>
      <w:pPr>
        <w:pStyle w:val="BodyText"/>
        <w:rPr>
          <w:b/>
          <w:sz w:val="20"/>
        </w:rPr>
      </w:pPr>
    </w:p>
    <w:p>
      <w:pPr>
        <w:pStyle w:val="BodyText"/>
        <w:spacing w:before="6"/>
        <w:rPr>
          <w:b/>
          <w:sz w:val="16"/>
        </w:rPr>
      </w:pPr>
    </w:p>
    <w:p>
      <w:pPr>
        <w:pStyle w:val="BodyText"/>
        <w:spacing w:line="360" w:lineRule="auto" w:before="90"/>
        <w:ind w:left="1128" w:right="612" w:firstLine="708"/>
        <w:jc w:val="both"/>
      </w:pPr>
      <w:r>
        <w:rPr/>
        <w:t>Anket sekiz faktöre ayrılmış olup tabloda görüldüğü üzere faktörlerin frekans analizine bakılmıştır. Afete hazırlık düzeyi frekans değerlendirme çizelgesine göre faktörlerin ortalamalarının orta düzeyde olduğu saptanmıştır.</w:t>
      </w:r>
    </w:p>
    <w:p>
      <w:pPr>
        <w:pStyle w:val="BodyText"/>
        <w:spacing w:line="360" w:lineRule="auto" w:before="2"/>
        <w:ind w:left="1128" w:right="613" w:firstLine="708"/>
        <w:jc w:val="right"/>
      </w:pPr>
      <w:r>
        <w:rPr/>
        <w:t>H6: Gümüşhane 112’de çalışan personelin KBRN olaylarına</w:t>
      </w:r>
      <w:r>
        <w:rPr>
          <w:spacing w:val="-8"/>
        </w:rPr>
        <w:t> </w:t>
      </w:r>
      <w:r>
        <w:rPr/>
        <w:t>ve</w:t>
      </w:r>
      <w:r>
        <w:rPr>
          <w:spacing w:val="43"/>
        </w:rPr>
        <w:t> </w:t>
      </w:r>
      <w:r>
        <w:rPr/>
        <w:t>tehlikeli maddelere</w:t>
      </w:r>
      <w:r>
        <w:rPr>
          <w:spacing w:val="-13"/>
        </w:rPr>
        <w:t> </w:t>
      </w:r>
      <w:r>
        <w:rPr/>
        <w:t>müdahale</w:t>
      </w:r>
      <w:r>
        <w:rPr>
          <w:spacing w:val="-14"/>
        </w:rPr>
        <w:t> </w:t>
      </w:r>
      <w:r>
        <w:rPr/>
        <w:t>ile</w:t>
      </w:r>
      <w:r>
        <w:rPr>
          <w:spacing w:val="-14"/>
        </w:rPr>
        <w:t> </w:t>
      </w:r>
      <w:r>
        <w:rPr/>
        <w:t>ilgili</w:t>
      </w:r>
      <w:r>
        <w:rPr>
          <w:spacing w:val="-13"/>
        </w:rPr>
        <w:t> </w:t>
      </w:r>
      <w:r>
        <w:rPr/>
        <w:t>düşünceleri,</w:t>
      </w:r>
      <w:r>
        <w:rPr>
          <w:spacing w:val="-13"/>
        </w:rPr>
        <w:t> </w:t>
      </w:r>
      <w:r>
        <w:rPr/>
        <w:t>cinsiyete</w:t>
      </w:r>
      <w:r>
        <w:rPr>
          <w:spacing w:val="-11"/>
        </w:rPr>
        <w:t> </w:t>
      </w:r>
      <w:r>
        <w:rPr/>
        <w:t>göre</w:t>
      </w:r>
      <w:r>
        <w:rPr>
          <w:spacing w:val="-13"/>
        </w:rPr>
        <w:t> </w:t>
      </w:r>
      <w:r>
        <w:rPr/>
        <w:t>anlamlı</w:t>
      </w:r>
      <w:r>
        <w:rPr>
          <w:spacing w:val="-13"/>
        </w:rPr>
        <w:t> </w:t>
      </w:r>
      <w:r>
        <w:rPr/>
        <w:t>farklılık</w:t>
      </w:r>
      <w:r>
        <w:rPr>
          <w:spacing w:val="-14"/>
        </w:rPr>
        <w:t> </w:t>
      </w:r>
      <w:r>
        <w:rPr/>
        <w:t>göstermektedir.</w:t>
      </w:r>
    </w:p>
    <w:p>
      <w:pPr>
        <w:pStyle w:val="BodyText"/>
        <w:spacing w:line="360" w:lineRule="auto"/>
        <w:ind w:left="1128" w:right="614" w:firstLine="708"/>
        <w:jc w:val="both"/>
      </w:pPr>
      <w:r>
        <w:rPr/>
        <w:t>Araştırma</w:t>
      </w:r>
      <w:r>
        <w:rPr>
          <w:spacing w:val="-13"/>
        </w:rPr>
        <w:t> </w:t>
      </w:r>
      <w:r>
        <w:rPr/>
        <w:t>grubundaki</w:t>
      </w:r>
      <w:r>
        <w:rPr>
          <w:spacing w:val="-14"/>
        </w:rPr>
        <w:t> </w:t>
      </w:r>
      <w:r>
        <w:rPr/>
        <w:t>kişilerin</w:t>
      </w:r>
      <w:r>
        <w:rPr>
          <w:spacing w:val="-12"/>
        </w:rPr>
        <w:t> </w:t>
      </w:r>
      <w:r>
        <w:rPr/>
        <w:t>KBRN</w:t>
      </w:r>
      <w:r>
        <w:rPr>
          <w:spacing w:val="-15"/>
        </w:rPr>
        <w:t> </w:t>
      </w:r>
      <w:r>
        <w:rPr/>
        <w:t>olaylarına</w:t>
      </w:r>
      <w:r>
        <w:rPr>
          <w:spacing w:val="-16"/>
        </w:rPr>
        <w:t> </w:t>
      </w:r>
      <w:r>
        <w:rPr/>
        <w:t>ve</w:t>
      </w:r>
      <w:r>
        <w:rPr>
          <w:spacing w:val="-15"/>
        </w:rPr>
        <w:t> </w:t>
      </w:r>
      <w:r>
        <w:rPr/>
        <w:t>tehlikeli</w:t>
      </w:r>
      <w:r>
        <w:rPr>
          <w:spacing w:val="-14"/>
        </w:rPr>
        <w:t> </w:t>
      </w:r>
      <w:r>
        <w:rPr/>
        <w:t>maddelere</w:t>
      </w:r>
      <w:r>
        <w:rPr>
          <w:spacing w:val="-15"/>
        </w:rPr>
        <w:t> </w:t>
      </w:r>
      <w:r>
        <w:rPr/>
        <w:t>müdahale ile ilgili düşüncelerinin cinsiyete göre karşılaştırılması Tablo 4. 23’de</w:t>
      </w:r>
      <w:r>
        <w:rPr>
          <w:spacing w:val="-7"/>
        </w:rPr>
        <w:t> </w:t>
      </w:r>
      <w:r>
        <w:rPr/>
        <w:t>gösterilmiştir.</w:t>
      </w:r>
    </w:p>
    <w:p>
      <w:pPr>
        <w:pStyle w:val="BodyText"/>
        <w:spacing w:before="4"/>
        <w:rPr>
          <w:sz w:val="36"/>
        </w:rPr>
      </w:pPr>
    </w:p>
    <w:p>
      <w:pPr>
        <w:pStyle w:val="Heading1"/>
        <w:spacing w:line="259" w:lineRule="auto"/>
        <w:ind w:left="1349" w:right="659" w:hanging="166"/>
      </w:pPr>
      <w:r>
        <w:rPr/>
        <w:t>Tablo 4. 23. Gümüşhane 112’de Çalışan Personelin KBRN Olaylarına ve Tehlikeli Maddelere Müdahale İle İlgili Düşüncelerinin Cinsiyete Göre Karşılaştırılması</w:t>
      </w:r>
    </w:p>
    <w:p>
      <w:pPr>
        <w:pStyle w:val="BodyText"/>
        <w:spacing w:before="3" w:after="1"/>
        <w:rPr>
          <w:b/>
          <w:sz w:val="26"/>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293"/>
        <w:gridCol w:w="779"/>
        <w:gridCol w:w="641"/>
        <w:gridCol w:w="1058"/>
        <w:gridCol w:w="734"/>
        <w:gridCol w:w="1165"/>
        <w:gridCol w:w="1153"/>
        <w:gridCol w:w="750"/>
        <w:gridCol w:w="909"/>
      </w:tblGrid>
      <w:tr>
        <w:trPr>
          <w:trHeight w:val="882" w:hRule="atLeast"/>
        </w:trPr>
        <w:tc>
          <w:tcPr>
            <w:tcW w:w="2713" w:type="dxa"/>
            <w:gridSpan w:val="3"/>
            <w:tcBorders>
              <w:top w:val="single" w:sz="4" w:space="0" w:color="000000"/>
            </w:tcBorders>
          </w:tcPr>
          <w:p>
            <w:pPr>
              <w:pStyle w:val="TableParagraph"/>
              <w:spacing w:before="1"/>
              <w:ind w:left="1336" w:right="406" w:hanging="156"/>
              <w:rPr>
                <w:b/>
                <w:sz w:val="22"/>
              </w:rPr>
            </w:pPr>
            <w:r>
              <w:rPr>
                <w:b/>
                <w:sz w:val="22"/>
              </w:rPr>
              <w:t>Levene’ nin Varyans</w:t>
            </w:r>
          </w:p>
          <w:p>
            <w:pPr>
              <w:pStyle w:val="TableParagraph"/>
              <w:tabs>
                <w:tab w:pos="1147" w:val="left" w:leader="none"/>
                <w:tab w:pos="2722" w:val="left" w:leader="none"/>
              </w:tabs>
              <w:spacing w:line="251" w:lineRule="exact"/>
              <w:ind w:right="-15"/>
              <w:rPr>
                <w:b/>
                <w:sz w:val="22"/>
              </w:rPr>
            </w:pPr>
            <w:r>
              <w:rPr>
                <w:w w:val="100"/>
                <w:sz w:val="22"/>
                <w:u w:val="single"/>
              </w:rPr>
              <w:t> </w:t>
            </w:r>
            <w:r>
              <w:rPr>
                <w:sz w:val="22"/>
                <w:u w:val="single"/>
              </w:rPr>
              <w:tab/>
            </w:r>
            <w:r>
              <w:rPr>
                <w:b/>
                <w:sz w:val="22"/>
                <w:u w:val="single"/>
              </w:rPr>
              <w:t>Eşitliği</w:t>
            </w:r>
            <w:r>
              <w:rPr>
                <w:b/>
                <w:spacing w:val="-7"/>
                <w:sz w:val="22"/>
                <w:u w:val="single"/>
              </w:rPr>
              <w:t> </w:t>
            </w:r>
            <w:r>
              <w:rPr>
                <w:b/>
                <w:sz w:val="22"/>
                <w:u w:val="single"/>
              </w:rPr>
              <w:t>Testi</w:t>
              <w:tab/>
            </w:r>
          </w:p>
        </w:tc>
        <w:tc>
          <w:tcPr>
            <w:tcW w:w="1058" w:type="dxa"/>
            <w:tcBorders>
              <w:top w:val="single" w:sz="4" w:space="0" w:color="000000"/>
            </w:tcBorders>
          </w:tcPr>
          <w:p>
            <w:pPr>
              <w:pStyle w:val="TableParagraph"/>
              <w:spacing w:before="1"/>
              <w:ind w:left="198" w:right="338" w:hanging="60"/>
              <w:rPr>
                <w:b/>
                <w:sz w:val="22"/>
              </w:rPr>
            </w:pPr>
            <w:r>
              <w:rPr>
                <w:b/>
                <w:sz w:val="22"/>
              </w:rPr>
              <w:t>Afetle İlgili</w:t>
            </w:r>
          </w:p>
          <w:p>
            <w:pPr>
              <w:pStyle w:val="TableParagraph"/>
              <w:tabs>
                <w:tab w:pos="5676" w:val="left" w:leader="none"/>
              </w:tabs>
              <w:spacing w:line="251" w:lineRule="exact"/>
              <w:ind w:left="9" w:right="-4623"/>
              <w:rPr>
                <w:b/>
                <w:sz w:val="22"/>
              </w:rPr>
            </w:pPr>
            <w:r>
              <w:rPr>
                <w:b/>
                <w:sz w:val="22"/>
                <w:u w:val="single"/>
              </w:rPr>
              <w:t>Tatbikat</w:t>
              <w:tab/>
            </w:r>
          </w:p>
        </w:tc>
        <w:tc>
          <w:tcPr>
            <w:tcW w:w="734" w:type="dxa"/>
            <w:tcBorders>
              <w:top w:val="single" w:sz="4" w:space="0" w:color="000000"/>
            </w:tcBorders>
          </w:tcPr>
          <w:p>
            <w:pPr>
              <w:pStyle w:val="TableParagraph"/>
              <w:spacing w:before="1"/>
              <w:ind w:left="91"/>
              <w:rPr>
                <w:b/>
                <w:sz w:val="22"/>
              </w:rPr>
            </w:pPr>
            <w:r>
              <w:rPr>
                <w:b/>
                <w:sz w:val="22"/>
              </w:rPr>
              <w:t>Sayı</w:t>
            </w:r>
          </w:p>
        </w:tc>
        <w:tc>
          <w:tcPr>
            <w:tcW w:w="1165" w:type="dxa"/>
            <w:tcBorders>
              <w:top w:val="single" w:sz="4" w:space="0" w:color="000000"/>
            </w:tcBorders>
          </w:tcPr>
          <w:p>
            <w:pPr>
              <w:pStyle w:val="TableParagraph"/>
              <w:spacing w:before="1"/>
              <w:ind w:left="29"/>
              <w:rPr>
                <w:b/>
                <w:sz w:val="22"/>
              </w:rPr>
            </w:pPr>
            <w:r>
              <w:rPr>
                <w:b/>
                <w:sz w:val="22"/>
              </w:rPr>
              <w:t>Ortalama</w:t>
            </w:r>
          </w:p>
        </w:tc>
        <w:tc>
          <w:tcPr>
            <w:tcW w:w="1153" w:type="dxa"/>
            <w:tcBorders>
              <w:top w:val="single" w:sz="4" w:space="0" w:color="000000"/>
            </w:tcBorders>
          </w:tcPr>
          <w:p>
            <w:pPr>
              <w:pStyle w:val="TableParagraph"/>
              <w:spacing w:before="1"/>
              <w:ind w:left="129" w:right="264" w:hanging="92"/>
              <w:rPr>
                <w:b/>
                <w:sz w:val="22"/>
              </w:rPr>
            </w:pPr>
            <w:r>
              <w:rPr>
                <w:b/>
                <w:sz w:val="22"/>
              </w:rPr>
              <w:t>Standart Sapma</w:t>
            </w:r>
          </w:p>
        </w:tc>
        <w:tc>
          <w:tcPr>
            <w:tcW w:w="750" w:type="dxa"/>
            <w:tcBorders>
              <w:top w:val="single" w:sz="4" w:space="0" w:color="000000"/>
            </w:tcBorders>
          </w:tcPr>
          <w:p>
            <w:pPr>
              <w:pStyle w:val="TableParagraph"/>
              <w:spacing w:before="1"/>
              <w:ind w:left="129"/>
              <w:rPr>
                <w:b/>
                <w:sz w:val="22"/>
              </w:rPr>
            </w:pPr>
            <w:r>
              <w:rPr>
                <w:b/>
                <w:w w:val="100"/>
                <w:sz w:val="22"/>
              </w:rPr>
              <w:t>t</w:t>
            </w:r>
          </w:p>
        </w:tc>
        <w:tc>
          <w:tcPr>
            <w:tcW w:w="909" w:type="dxa"/>
            <w:tcBorders>
              <w:top w:val="single" w:sz="4" w:space="0" w:color="000000"/>
            </w:tcBorders>
          </w:tcPr>
          <w:p>
            <w:pPr>
              <w:pStyle w:val="TableParagraph"/>
              <w:spacing w:before="1"/>
              <w:ind w:left="84"/>
              <w:rPr>
                <w:b/>
                <w:sz w:val="22"/>
              </w:rPr>
            </w:pPr>
            <w:r>
              <w:rPr>
                <w:b/>
                <w:w w:val="100"/>
                <w:sz w:val="22"/>
              </w:rPr>
              <w:t>p</w:t>
            </w:r>
          </w:p>
        </w:tc>
      </w:tr>
      <w:tr>
        <w:trPr>
          <w:trHeight w:val="644" w:hRule="atLeast"/>
        </w:trPr>
        <w:tc>
          <w:tcPr>
            <w:tcW w:w="1293" w:type="dxa"/>
            <w:vMerge w:val="restart"/>
          </w:tcPr>
          <w:p>
            <w:pPr>
              <w:pStyle w:val="TableParagraph"/>
              <w:spacing w:line="252" w:lineRule="exact" w:before="116"/>
              <w:ind w:left="321"/>
              <w:rPr>
                <w:b/>
                <w:sz w:val="22"/>
              </w:rPr>
            </w:pPr>
            <w:r>
              <w:rPr>
                <w:b/>
                <w:sz w:val="22"/>
              </w:rPr>
              <w:t>KBRN</w:t>
            </w:r>
          </w:p>
          <w:p>
            <w:pPr>
              <w:pStyle w:val="TableParagraph"/>
              <w:ind w:left="131" w:right="142" w:hanging="3"/>
              <w:jc w:val="center"/>
              <w:rPr>
                <w:b/>
                <w:sz w:val="22"/>
              </w:rPr>
            </w:pPr>
            <w:r>
              <w:rPr>
                <w:b/>
                <w:sz w:val="22"/>
              </w:rPr>
              <w:t>Olaylarla ve    Tehlikeli </w:t>
            </w:r>
            <w:r>
              <w:rPr>
                <w:b/>
                <w:spacing w:val="-1"/>
                <w:sz w:val="22"/>
              </w:rPr>
              <w:t>Maddelere</w:t>
            </w:r>
          </w:p>
          <w:p>
            <w:pPr>
              <w:pStyle w:val="TableParagraph"/>
              <w:tabs>
                <w:tab w:pos="8389" w:val="left" w:leader="none"/>
              </w:tabs>
              <w:spacing w:line="233" w:lineRule="exact"/>
              <w:ind w:left="-15" w:right="-7100"/>
              <w:rPr>
                <w:b/>
                <w:sz w:val="22"/>
              </w:rPr>
            </w:pPr>
            <w:r>
              <w:rPr>
                <w:w w:val="100"/>
                <w:sz w:val="22"/>
                <w:u w:val="single"/>
              </w:rPr>
              <w:t> </w:t>
            </w:r>
            <w:r>
              <w:rPr>
                <w:sz w:val="22"/>
                <w:u w:val="single"/>
              </w:rPr>
              <w:t> </w:t>
            </w:r>
            <w:r>
              <w:rPr>
                <w:spacing w:val="12"/>
                <w:sz w:val="22"/>
                <w:u w:val="single"/>
              </w:rPr>
              <w:t> </w:t>
            </w:r>
            <w:r>
              <w:rPr>
                <w:b/>
                <w:sz w:val="22"/>
                <w:u w:val="single"/>
              </w:rPr>
              <w:t>Müdahale</w:t>
              <w:tab/>
            </w:r>
          </w:p>
        </w:tc>
        <w:tc>
          <w:tcPr>
            <w:tcW w:w="779" w:type="dxa"/>
          </w:tcPr>
          <w:p>
            <w:pPr>
              <w:pStyle w:val="TableParagraph"/>
              <w:spacing w:before="8"/>
              <w:rPr>
                <w:b/>
                <w:sz w:val="33"/>
              </w:rPr>
            </w:pPr>
          </w:p>
          <w:p>
            <w:pPr>
              <w:pStyle w:val="TableParagraph"/>
              <w:spacing w:line="237" w:lineRule="exact"/>
              <w:ind w:left="187"/>
              <w:rPr>
                <w:sz w:val="22"/>
              </w:rPr>
            </w:pPr>
            <w:r>
              <w:rPr>
                <w:w w:val="100"/>
                <w:sz w:val="22"/>
              </w:rPr>
              <w:t>F</w:t>
            </w:r>
          </w:p>
        </w:tc>
        <w:tc>
          <w:tcPr>
            <w:tcW w:w="641" w:type="dxa"/>
          </w:tcPr>
          <w:p>
            <w:pPr>
              <w:pStyle w:val="TableParagraph"/>
              <w:spacing w:before="8"/>
              <w:rPr>
                <w:b/>
                <w:sz w:val="33"/>
              </w:rPr>
            </w:pPr>
          </w:p>
          <w:p>
            <w:pPr>
              <w:pStyle w:val="TableParagraph"/>
              <w:spacing w:line="237" w:lineRule="exact"/>
              <w:ind w:right="101"/>
              <w:jc w:val="right"/>
              <w:rPr>
                <w:b/>
                <w:sz w:val="22"/>
              </w:rPr>
            </w:pPr>
            <w:r>
              <w:rPr>
                <w:b/>
                <w:w w:val="100"/>
                <w:sz w:val="22"/>
              </w:rPr>
              <w:t>p</w:t>
            </w:r>
          </w:p>
        </w:tc>
        <w:tc>
          <w:tcPr>
            <w:tcW w:w="1058" w:type="dxa"/>
          </w:tcPr>
          <w:p>
            <w:pPr>
              <w:pStyle w:val="TableParagraph"/>
              <w:spacing w:before="8"/>
              <w:rPr>
                <w:b/>
                <w:sz w:val="33"/>
              </w:rPr>
            </w:pPr>
          </w:p>
          <w:p>
            <w:pPr>
              <w:pStyle w:val="TableParagraph"/>
              <w:spacing w:line="237" w:lineRule="exact"/>
              <w:ind w:right="87"/>
              <w:jc w:val="right"/>
              <w:rPr>
                <w:sz w:val="22"/>
              </w:rPr>
            </w:pPr>
            <w:r>
              <w:rPr>
                <w:sz w:val="22"/>
              </w:rPr>
              <w:t>Kadın</w:t>
            </w:r>
          </w:p>
        </w:tc>
        <w:tc>
          <w:tcPr>
            <w:tcW w:w="734" w:type="dxa"/>
          </w:tcPr>
          <w:p>
            <w:pPr>
              <w:pStyle w:val="TableParagraph"/>
              <w:spacing w:before="8"/>
              <w:rPr>
                <w:b/>
                <w:sz w:val="33"/>
              </w:rPr>
            </w:pPr>
          </w:p>
          <w:p>
            <w:pPr>
              <w:pStyle w:val="TableParagraph"/>
              <w:spacing w:line="237" w:lineRule="exact"/>
              <w:ind w:right="27"/>
              <w:jc w:val="right"/>
              <w:rPr>
                <w:sz w:val="22"/>
              </w:rPr>
            </w:pPr>
            <w:r>
              <w:rPr>
                <w:sz w:val="22"/>
              </w:rPr>
              <w:t>50</w:t>
            </w:r>
          </w:p>
        </w:tc>
        <w:tc>
          <w:tcPr>
            <w:tcW w:w="1165" w:type="dxa"/>
          </w:tcPr>
          <w:p>
            <w:pPr>
              <w:pStyle w:val="TableParagraph"/>
              <w:spacing w:before="8"/>
              <w:rPr>
                <w:b/>
                <w:sz w:val="33"/>
              </w:rPr>
            </w:pPr>
          </w:p>
          <w:p>
            <w:pPr>
              <w:pStyle w:val="TableParagraph"/>
              <w:spacing w:line="237" w:lineRule="exact"/>
              <w:ind w:right="34"/>
              <w:jc w:val="right"/>
              <w:rPr>
                <w:sz w:val="22"/>
              </w:rPr>
            </w:pPr>
            <w:r>
              <w:rPr>
                <w:sz w:val="22"/>
              </w:rPr>
              <w:t>2,8267</w:t>
            </w:r>
          </w:p>
        </w:tc>
        <w:tc>
          <w:tcPr>
            <w:tcW w:w="1153" w:type="dxa"/>
          </w:tcPr>
          <w:p>
            <w:pPr>
              <w:pStyle w:val="TableParagraph"/>
              <w:spacing w:before="8"/>
              <w:rPr>
                <w:b/>
                <w:sz w:val="33"/>
              </w:rPr>
            </w:pPr>
          </w:p>
          <w:p>
            <w:pPr>
              <w:pStyle w:val="TableParagraph"/>
              <w:spacing w:line="237" w:lineRule="exact"/>
              <w:ind w:right="125"/>
              <w:jc w:val="right"/>
              <w:rPr>
                <w:sz w:val="22"/>
              </w:rPr>
            </w:pPr>
            <w:r>
              <w:rPr>
                <w:sz w:val="22"/>
              </w:rPr>
              <w:t>0,77880</w:t>
            </w:r>
          </w:p>
        </w:tc>
        <w:tc>
          <w:tcPr>
            <w:tcW w:w="750" w:type="dxa"/>
          </w:tcPr>
          <w:p>
            <w:pPr>
              <w:pStyle w:val="TableParagraph"/>
              <w:rPr>
                <w:sz w:val="22"/>
              </w:rPr>
            </w:pPr>
          </w:p>
        </w:tc>
        <w:tc>
          <w:tcPr>
            <w:tcW w:w="909" w:type="dxa"/>
          </w:tcPr>
          <w:p>
            <w:pPr>
              <w:pStyle w:val="TableParagraph"/>
              <w:rPr>
                <w:sz w:val="22"/>
              </w:rPr>
            </w:pPr>
          </w:p>
        </w:tc>
      </w:tr>
      <w:tr>
        <w:trPr>
          <w:trHeight w:val="255" w:hRule="atLeast"/>
        </w:trPr>
        <w:tc>
          <w:tcPr>
            <w:tcW w:w="1293" w:type="dxa"/>
            <w:vMerge/>
            <w:tcBorders>
              <w:top w:val="nil"/>
            </w:tcBorders>
          </w:tcPr>
          <w:p>
            <w:pPr>
              <w:rPr>
                <w:sz w:val="2"/>
                <w:szCs w:val="2"/>
              </w:rPr>
            </w:pPr>
          </w:p>
        </w:tc>
        <w:tc>
          <w:tcPr>
            <w:tcW w:w="779" w:type="dxa"/>
          </w:tcPr>
          <w:p>
            <w:pPr>
              <w:pStyle w:val="TableParagraph"/>
              <w:rPr>
                <w:sz w:val="18"/>
              </w:rPr>
            </w:pPr>
          </w:p>
        </w:tc>
        <w:tc>
          <w:tcPr>
            <w:tcW w:w="641" w:type="dxa"/>
          </w:tcPr>
          <w:p>
            <w:pPr>
              <w:pStyle w:val="TableParagraph"/>
              <w:rPr>
                <w:sz w:val="18"/>
              </w:rPr>
            </w:pPr>
          </w:p>
        </w:tc>
        <w:tc>
          <w:tcPr>
            <w:tcW w:w="1058" w:type="dxa"/>
          </w:tcPr>
          <w:p>
            <w:pPr>
              <w:pStyle w:val="TableParagraph"/>
              <w:rPr>
                <w:sz w:val="18"/>
              </w:rPr>
            </w:pPr>
          </w:p>
        </w:tc>
        <w:tc>
          <w:tcPr>
            <w:tcW w:w="734" w:type="dxa"/>
          </w:tcPr>
          <w:p>
            <w:pPr>
              <w:pStyle w:val="TableParagraph"/>
              <w:rPr>
                <w:sz w:val="18"/>
              </w:rPr>
            </w:pPr>
          </w:p>
        </w:tc>
        <w:tc>
          <w:tcPr>
            <w:tcW w:w="1165" w:type="dxa"/>
          </w:tcPr>
          <w:p>
            <w:pPr>
              <w:pStyle w:val="TableParagraph"/>
              <w:rPr>
                <w:sz w:val="18"/>
              </w:rPr>
            </w:pPr>
          </w:p>
        </w:tc>
        <w:tc>
          <w:tcPr>
            <w:tcW w:w="1153" w:type="dxa"/>
          </w:tcPr>
          <w:p>
            <w:pPr>
              <w:pStyle w:val="TableParagraph"/>
              <w:rPr>
                <w:sz w:val="18"/>
              </w:rPr>
            </w:pPr>
          </w:p>
        </w:tc>
        <w:tc>
          <w:tcPr>
            <w:tcW w:w="750" w:type="dxa"/>
          </w:tcPr>
          <w:p>
            <w:pPr>
              <w:pStyle w:val="TableParagraph"/>
              <w:spacing w:line="236" w:lineRule="exact"/>
              <w:ind w:left="172"/>
              <w:rPr>
                <w:sz w:val="22"/>
              </w:rPr>
            </w:pPr>
            <w:r>
              <w:rPr>
                <w:sz w:val="22"/>
              </w:rPr>
              <w:t>0,411</w:t>
            </w:r>
          </w:p>
        </w:tc>
        <w:tc>
          <w:tcPr>
            <w:tcW w:w="909" w:type="dxa"/>
          </w:tcPr>
          <w:p>
            <w:pPr>
              <w:pStyle w:val="TableParagraph"/>
              <w:spacing w:line="236" w:lineRule="exact"/>
              <w:ind w:left="214"/>
              <w:rPr>
                <w:b/>
                <w:sz w:val="22"/>
              </w:rPr>
            </w:pPr>
            <w:r>
              <w:rPr>
                <w:b/>
                <w:sz w:val="22"/>
              </w:rPr>
              <w:t>0,682</w:t>
            </w:r>
          </w:p>
        </w:tc>
      </w:tr>
      <w:tr>
        <w:trPr>
          <w:trHeight w:val="734" w:hRule="atLeast"/>
        </w:trPr>
        <w:tc>
          <w:tcPr>
            <w:tcW w:w="1293" w:type="dxa"/>
            <w:vMerge/>
            <w:tcBorders>
              <w:top w:val="nil"/>
            </w:tcBorders>
          </w:tcPr>
          <w:p>
            <w:pPr>
              <w:rPr>
                <w:sz w:val="2"/>
                <w:szCs w:val="2"/>
              </w:rPr>
            </w:pPr>
          </w:p>
        </w:tc>
        <w:tc>
          <w:tcPr>
            <w:tcW w:w="779" w:type="dxa"/>
          </w:tcPr>
          <w:p>
            <w:pPr>
              <w:pStyle w:val="TableParagraph"/>
              <w:spacing w:line="247" w:lineRule="exact"/>
              <w:ind w:left="144"/>
              <w:rPr>
                <w:sz w:val="22"/>
              </w:rPr>
            </w:pPr>
            <w:r>
              <w:rPr>
                <w:sz w:val="22"/>
              </w:rPr>
              <w:t>0,168</w:t>
            </w:r>
          </w:p>
        </w:tc>
        <w:tc>
          <w:tcPr>
            <w:tcW w:w="641" w:type="dxa"/>
          </w:tcPr>
          <w:p>
            <w:pPr>
              <w:pStyle w:val="TableParagraph"/>
              <w:spacing w:line="247" w:lineRule="exact"/>
              <w:ind w:right="5"/>
              <w:jc w:val="right"/>
              <w:rPr>
                <w:b/>
                <w:sz w:val="22"/>
              </w:rPr>
            </w:pPr>
            <w:r>
              <w:rPr>
                <w:b/>
                <w:sz w:val="22"/>
              </w:rPr>
              <w:t>0,682</w:t>
            </w:r>
          </w:p>
        </w:tc>
        <w:tc>
          <w:tcPr>
            <w:tcW w:w="1058" w:type="dxa"/>
          </w:tcPr>
          <w:p>
            <w:pPr>
              <w:pStyle w:val="TableParagraph"/>
              <w:spacing w:line="247" w:lineRule="exact"/>
              <w:ind w:right="96"/>
              <w:jc w:val="right"/>
              <w:rPr>
                <w:sz w:val="22"/>
              </w:rPr>
            </w:pPr>
            <w:r>
              <w:rPr>
                <w:sz w:val="22"/>
              </w:rPr>
              <w:t>Erkek</w:t>
            </w:r>
          </w:p>
        </w:tc>
        <w:tc>
          <w:tcPr>
            <w:tcW w:w="734" w:type="dxa"/>
          </w:tcPr>
          <w:p>
            <w:pPr>
              <w:pStyle w:val="TableParagraph"/>
              <w:spacing w:line="247" w:lineRule="exact"/>
              <w:ind w:right="27"/>
              <w:jc w:val="right"/>
              <w:rPr>
                <w:sz w:val="22"/>
              </w:rPr>
            </w:pPr>
            <w:r>
              <w:rPr>
                <w:sz w:val="22"/>
              </w:rPr>
              <w:t>55</w:t>
            </w:r>
          </w:p>
        </w:tc>
        <w:tc>
          <w:tcPr>
            <w:tcW w:w="1165" w:type="dxa"/>
          </w:tcPr>
          <w:p>
            <w:pPr>
              <w:pStyle w:val="TableParagraph"/>
              <w:spacing w:line="247" w:lineRule="exact"/>
              <w:ind w:right="34"/>
              <w:jc w:val="right"/>
              <w:rPr>
                <w:sz w:val="22"/>
              </w:rPr>
            </w:pPr>
            <w:r>
              <w:rPr>
                <w:sz w:val="22"/>
              </w:rPr>
              <w:t>2,7606</w:t>
            </w:r>
          </w:p>
        </w:tc>
        <w:tc>
          <w:tcPr>
            <w:tcW w:w="1153" w:type="dxa"/>
          </w:tcPr>
          <w:p>
            <w:pPr>
              <w:pStyle w:val="TableParagraph"/>
              <w:spacing w:line="247" w:lineRule="exact"/>
              <w:ind w:right="125"/>
              <w:jc w:val="right"/>
              <w:rPr>
                <w:sz w:val="22"/>
              </w:rPr>
            </w:pPr>
            <w:r>
              <w:rPr>
                <w:sz w:val="22"/>
              </w:rPr>
              <w:t>0,86052</w:t>
            </w:r>
          </w:p>
        </w:tc>
        <w:tc>
          <w:tcPr>
            <w:tcW w:w="750" w:type="dxa"/>
          </w:tcPr>
          <w:p>
            <w:pPr>
              <w:pStyle w:val="TableParagraph"/>
              <w:rPr>
                <w:sz w:val="22"/>
              </w:rPr>
            </w:pPr>
          </w:p>
        </w:tc>
        <w:tc>
          <w:tcPr>
            <w:tcW w:w="909" w:type="dxa"/>
          </w:tcPr>
          <w:p>
            <w:pPr>
              <w:pStyle w:val="TableParagraph"/>
              <w:rPr>
                <w:sz w:val="22"/>
              </w:rPr>
            </w:pPr>
          </w:p>
        </w:tc>
      </w:tr>
    </w:tbl>
    <w:p>
      <w:pPr>
        <w:pStyle w:val="BodyText"/>
        <w:rPr>
          <w:b/>
          <w:sz w:val="26"/>
        </w:rPr>
      </w:pPr>
    </w:p>
    <w:p>
      <w:pPr>
        <w:pStyle w:val="BodyText"/>
        <w:spacing w:line="360" w:lineRule="auto" w:before="176"/>
        <w:ind w:left="1128" w:right="609" w:firstLine="708"/>
        <w:jc w:val="both"/>
      </w:pPr>
      <w:r>
        <w:rPr/>
        <w:t>Altıncı hipotezde parametrik T testi uygulanmıştır. Levene testi sonucunda p değeri 0,682 çıkmış ve varyansların homojen olarak dağıldığı saptanmıştır. %95 güven aralığında anlamlılık değeri 0,05’ten büyük olması nedeniyle çalışmaya katılan sağlık personelin KBRN olaylarına ve tehlikeli maddelere müdahale ile ilgili düşünceleri, cinsiyete göre anlamlı farklılık göstermemektedir. Elde edilen veriler sonucunda altıncı hipotez reddedilmiştir.</w:t>
      </w:r>
    </w:p>
    <w:p>
      <w:pPr>
        <w:pStyle w:val="BodyText"/>
        <w:spacing w:line="360" w:lineRule="auto"/>
        <w:ind w:left="1073" w:right="614" w:firstLine="708"/>
        <w:jc w:val="right"/>
      </w:pPr>
      <w:r>
        <w:rPr/>
        <w:t>H7: Gümüşhane 112’de çalışan personelin KBRN olaylarına ve tehlikeli maddelere müdahale ile ilgili düşünceleri, mesleğe göre anlamlı farklılık göstermektedir.</w:t>
      </w:r>
    </w:p>
    <w:p>
      <w:pPr>
        <w:pStyle w:val="BodyText"/>
        <w:spacing w:line="360" w:lineRule="auto" w:before="1"/>
        <w:ind w:left="1128" w:right="614" w:firstLine="708"/>
        <w:jc w:val="both"/>
      </w:pPr>
      <w:r>
        <w:rPr/>
        <w:t>Araştırma</w:t>
      </w:r>
      <w:r>
        <w:rPr>
          <w:spacing w:val="-13"/>
        </w:rPr>
        <w:t> </w:t>
      </w:r>
      <w:r>
        <w:rPr/>
        <w:t>grubundaki</w:t>
      </w:r>
      <w:r>
        <w:rPr>
          <w:spacing w:val="-14"/>
        </w:rPr>
        <w:t> </w:t>
      </w:r>
      <w:r>
        <w:rPr/>
        <w:t>kişilerin</w:t>
      </w:r>
      <w:r>
        <w:rPr>
          <w:spacing w:val="-12"/>
        </w:rPr>
        <w:t> </w:t>
      </w:r>
      <w:r>
        <w:rPr/>
        <w:t>KBRN</w:t>
      </w:r>
      <w:r>
        <w:rPr>
          <w:spacing w:val="-15"/>
        </w:rPr>
        <w:t> </w:t>
      </w:r>
      <w:r>
        <w:rPr/>
        <w:t>olaylarına</w:t>
      </w:r>
      <w:r>
        <w:rPr>
          <w:spacing w:val="-16"/>
        </w:rPr>
        <w:t> </w:t>
      </w:r>
      <w:r>
        <w:rPr/>
        <w:t>ve</w:t>
      </w:r>
      <w:r>
        <w:rPr>
          <w:spacing w:val="-15"/>
        </w:rPr>
        <w:t> </w:t>
      </w:r>
      <w:r>
        <w:rPr/>
        <w:t>tehlikeli</w:t>
      </w:r>
      <w:r>
        <w:rPr>
          <w:spacing w:val="-14"/>
        </w:rPr>
        <w:t> </w:t>
      </w:r>
      <w:r>
        <w:rPr/>
        <w:t>maddelere</w:t>
      </w:r>
      <w:r>
        <w:rPr>
          <w:spacing w:val="-15"/>
        </w:rPr>
        <w:t> </w:t>
      </w:r>
      <w:r>
        <w:rPr/>
        <w:t>müdahale ile ilgili düşüncelerinin mesleğe göre karşılaştırılması Tablo 4. 24’de</w:t>
      </w:r>
      <w:r>
        <w:rPr>
          <w:spacing w:val="-8"/>
        </w:rPr>
        <w:t> </w:t>
      </w:r>
      <w:r>
        <w:rPr/>
        <w:t>gösterilmiştir.</w:t>
      </w:r>
    </w:p>
    <w:p>
      <w:pPr>
        <w:spacing w:after="0" w:line="360" w:lineRule="auto"/>
        <w:jc w:val="both"/>
        <w:sectPr>
          <w:pgSz w:w="11910" w:h="16840"/>
          <w:pgMar w:header="0" w:footer="976" w:top="1580" w:bottom="1240" w:left="1140" w:right="520"/>
        </w:sectPr>
      </w:pPr>
    </w:p>
    <w:p>
      <w:pPr>
        <w:pStyle w:val="Heading1"/>
        <w:spacing w:line="256" w:lineRule="auto" w:before="102"/>
        <w:ind w:left="1120" w:right="612"/>
        <w:jc w:val="center"/>
      </w:pPr>
      <w:r>
        <w:rPr/>
        <w:t>Tablo 4. 24. Gümüşhane 112’de Çalışan Personelin KBRN Olaylarına ve Tehlikeli Maddelere Müdahale İle İlgili Düşüncelerinin Mesleğe Göre Karşılaştırılması (Levene Testi)</w:t>
      </w:r>
    </w:p>
    <w:p>
      <w:pPr>
        <w:pStyle w:val="BodyText"/>
        <w:spacing w:before="8"/>
        <w:rPr>
          <w:b/>
          <w:sz w:val="14"/>
        </w:rPr>
      </w:pPr>
    </w:p>
    <w:tbl>
      <w:tblPr>
        <w:tblW w:w="0" w:type="auto"/>
        <w:jc w:val="left"/>
        <w:tblInd w:w="11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812"/>
        <w:gridCol w:w="2635"/>
        <w:gridCol w:w="2058"/>
      </w:tblGrid>
      <w:tr>
        <w:trPr>
          <w:trHeight w:val="671" w:hRule="atLeast"/>
        </w:trPr>
        <w:tc>
          <w:tcPr>
            <w:tcW w:w="3812" w:type="dxa"/>
            <w:tcBorders>
              <w:top w:val="single" w:sz="4" w:space="0" w:color="000000"/>
              <w:bottom w:val="single" w:sz="4" w:space="0" w:color="000000"/>
            </w:tcBorders>
          </w:tcPr>
          <w:p>
            <w:pPr>
              <w:pStyle w:val="TableParagraph"/>
              <w:rPr>
                <w:sz w:val="22"/>
              </w:rPr>
            </w:pPr>
          </w:p>
        </w:tc>
        <w:tc>
          <w:tcPr>
            <w:tcW w:w="2635" w:type="dxa"/>
            <w:tcBorders>
              <w:top w:val="single" w:sz="4" w:space="0" w:color="000000"/>
              <w:bottom w:val="single" w:sz="4" w:space="0" w:color="000000"/>
            </w:tcBorders>
          </w:tcPr>
          <w:p>
            <w:pPr>
              <w:pStyle w:val="TableParagraph"/>
              <w:spacing w:line="251" w:lineRule="exact"/>
              <w:ind w:left="182"/>
              <w:rPr>
                <w:b/>
                <w:sz w:val="22"/>
              </w:rPr>
            </w:pPr>
            <w:r>
              <w:rPr>
                <w:b/>
                <w:sz w:val="22"/>
              </w:rPr>
              <w:t>Levene istatistiği</w:t>
            </w:r>
          </w:p>
        </w:tc>
        <w:tc>
          <w:tcPr>
            <w:tcW w:w="2058" w:type="dxa"/>
            <w:tcBorders>
              <w:top w:val="single" w:sz="4" w:space="0" w:color="000000"/>
              <w:bottom w:val="single" w:sz="4" w:space="0" w:color="000000"/>
            </w:tcBorders>
          </w:tcPr>
          <w:p>
            <w:pPr>
              <w:pStyle w:val="TableParagraph"/>
              <w:spacing w:line="251" w:lineRule="exact"/>
              <w:ind w:right="68"/>
              <w:jc w:val="center"/>
              <w:rPr>
                <w:b/>
                <w:sz w:val="22"/>
              </w:rPr>
            </w:pPr>
            <w:r>
              <w:rPr>
                <w:b/>
                <w:w w:val="100"/>
                <w:sz w:val="22"/>
              </w:rPr>
              <w:t>p</w:t>
            </w:r>
          </w:p>
        </w:tc>
      </w:tr>
      <w:tr>
        <w:trPr>
          <w:trHeight w:val="757" w:hRule="atLeast"/>
        </w:trPr>
        <w:tc>
          <w:tcPr>
            <w:tcW w:w="3812" w:type="dxa"/>
            <w:tcBorders>
              <w:top w:val="single" w:sz="4" w:space="0" w:color="000000"/>
            </w:tcBorders>
          </w:tcPr>
          <w:p>
            <w:pPr>
              <w:pStyle w:val="TableParagraph"/>
              <w:spacing w:before="3"/>
              <w:rPr>
                <w:b/>
                <w:sz w:val="22"/>
              </w:rPr>
            </w:pPr>
          </w:p>
          <w:p>
            <w:pPr>
              <w:pStyle w:val="TableParagraph"/>
              <w:spacing w:line="252" w:lineRule="exact"/>
              <w:ind w:left="583" w:right="833" w:hanging="356"/>
              <w:rPr>
                <w:b/>
                <w:sz w:val="22"/>
              </w:rPr>
            </w:pPr>
            <w:r>
              <w:rPr>
                <w:b/>
                <w:sz w:val="22"/>
              </w:rPr>
              <w:t>KBRN Olaylarla ve Tehlikeli Maddelere Müdahale</w:t>
            </w:r>
          </w:p>
        </w:tc>
        <w:tc>
          <w:tcPr>
            <w:tcW w:w="2635" w:type="dxa"/>
            <w:tcBorders>
              <w:top w:val="single" w:sz="4" w:space="0" w:color="000000"/>
            </w:tcBorders>
          </w:tcPr>
          <w:p>
            <w:pPr>
              <w:pStyle w:val="TableParagraph"/>
              <w:rPr>
                <w:b/>
                <w:sz w:val="24"/>
              </w:rPr>
            </w:pPr>
          </w:p>
          <w:p>
            <w:pPr>
              <w:pStyle w:val="TableParagraph"/>
              <w:spacing w:line="252" w:lineRule="exact" w:before="209"/>
              <w:ind w:left="849"/>
              <w:rPr>
                <w:sz w:val="22"/>
              </w:rPr>
            </w:pPr>
            <w:r>
              <w:rPr>
                <w:sz w:val="22"/>
              </w:rPr>
              <w:t>0,832</w:t>
            </w:r>
          </w:p>
        </w:tc>
        <w:tc>
          <w:tcPr>
            <w:tcW w:w="2058" w:type="dxa"/>
            <w:tcBorders>
              <w:top w:val="single" w:sz="4" w:space="0" w:color="000000"/>
            </w:tcBorders>
          </w:tcPr>
          <w:p>
            <w:pPr>
              <w:pStyle w:val="TableParagraph"/>
              <w:rPr>
                <w:b/>
                <w:sz w:val="24"/>
              </w:rPr>
            </w:pPr>
          </w:p>
          <w:p>
            <w:pPr>
              <w:pStyle w:val="TableParagraph"/>
              <w:spacing w:line="248" w:lineRule="exact" w:before="214"/>
              <w:ind w:left="850" w:right="672"/>
              <w:jc w:val="center"/>
              <w:rPr>
                <w:b/>
                <w:sz w:val="22"/>
              </w:rPr>
            </w:pPr>
            <w:r>
              <w:rPr>
                <w:b/>
                <w:sz w:val="22"/>
              </w:rPr>
              <w:t>0,508</w:t>
            </w:r>
          </w:p>
        </w:tc>
      </w:tr>
    </w:tbl>
    <w:p>
      <w:pPr>
        <w:pStyle w:val="BodyText"/>
        <w:rPr>
          <w:b/>
          <w:sz w:val="20"/>
        </w:rPr>
      </w:pPr>
    </w:p>
    <w:p>
      <w:pPr>
        <w:pStyle w:val="BodyText"/>
        <w:spacing w:before="7"/>
        <w:rPr>
          <w:b/>
          <w:sz w:val="20"/>
        </w:rPr>
      </w:pPr>
      <w:r>
        <w:rPr/>
        <w:pict>
          <v:group style="position:absolute;margin-left:112.699997pt;margin-top:13.83293pt;width:425.95pt;height:.5pt;mso-position-horizontal-relative:page;mso-position-vertical-relative:paragraph;z-index:-592;mso-wrap-distance-left:0;mso-wrap-distance-right:0" coordorigin="2254,277" coordsize="8519,10">
            <v:line style="position:absolute" from="2254,281" to="5461,281" stroked="true" strokeweight=".48pt" strokecolor="#000000">
              <v:stroke dashstyle="solid"/>
            </v:line>
            <v:rect style="position:absolute;left:5446;top:276;width:10;height:10" filled="true" fillcolor="#000000" stroked="false">
              <v:fill type="solid"/>
            </v:rect>
            <v:line style="position:absolute" from="5456,281" to="8644,281" stroked="true" strokeweight=".48pt" strokecolor="#000000">
              <v:stroke dashstyle="solid"/>
            </v:line>
            <v:rect style="position:absolute;left:8629;top:276;width:10;height:10" filled="true" fillcolor="#000000" stroked="false">
              <v:fill type="solid"/>
            </v:rect>
            <v:line style="position:absolute" from="8639,281" to="10773,281" stroked="true" strokeweight=".48pt" strokecolor="#000000">
              <v:stroke dashstyle="solid"/>
            </v:line>
            <w10:wrap type="topAndBottom"/>
          </v:group>
        </w:pict>
      </w:r>
    </w:p>
    <w:p>
      <w:pPr>
        <w:pStyle w:val="BodyText"/>
        <w:spacing w:before="10"/>
        <w:rPr>
          <w:b/>
          <w:sz w:val="36"/>
        </w:rPr>
      </w:pPr>
    </w:p>
    <w:p>
      <w:pPr>
        <w:pStyle w:val="BodyText"/>
        <w:spacing w:line="360" w:lineRule="auto"/>
        <w:ind w:left="1128" w:right="615" w:firstLine="708"/>
        <w:jc w:val="both"/>
      </w:pPr>
      <w:r>
        <w:rPr/>
        <w:t>Çalışmanın</w:t>
      </w:r>
      <w:r>
        <w:rPr>
          <w:spacing w:val="-9"/>
        </w:rPr>
        <w:t> </w:t>
      </w:r>
      <w:r>
        <w:rPr/>
        <w:t>yedinci</w:t>
      </w:r>
      <w:r>
        <w:rPr>
          <w:spacing w:val="-13"/>
        </w:rPr>
        <w:t> </w:t>
      </w:r>
      <w:r>
        <w:rPr/>
        <w:t>hipotezi</w:t>
      </w:r>
      <w:r>
        <w:rPr>
          <w:spacing w:val="-11"/>
        </w:rPr>
        <w:t> </w:t>
      </w:r>
      <w:r>
        <w:rPr/>
        <w:t>Tek</w:t>
      </w:r>
      <w:r>
        <w:rPr>
          <w:spacing w:val="-13"/>
        </w:rPr>
        <w:t> </w:t>
      </w:r>
      <w:r>
        <w:rPr/>
        <w:t>Yönlü</w:t>
      </w:r>
      <w:r>
        <w:rPr>
          <w:spacing w:val="-13"/>
        </w:rPr>
        <w:t> </w:t>
      </w:r>
      <w:r>
        <w:rPr/>
        <w:t>Anova</w:t>
      </w:r>
      <w:r>
        <w:rPr>
          <w:spacing w:val="-11"/>
        </w:rPr>
        <w:t> </w:t>
      </w:r>
      <w:r>
        <w:rPr/>
        <w:t>Testine</w:t>
      </w:r>
      <w:r>
        <w:rPr>
          <w:spacing w:val="-14"/>
        </w:rPr>
        <w:t> </w:t>
      </w:r>
      <w:r>
        <w:rPr/>
        <w:t>tabi</w:t>
      </w:r>
      <w:r>
        <w:rPr>
          <w:spacing w:val="-12"/>
        </w:rPr>
        <w:t> </w:t>
      </w:r>
      <w:r>
        <w:rPr/>
        <w:t>tutulmuştur.</w:t>
      </w:r>
      <w:r>
        <w:rPr>
          <w:spacing w:val="-11"/>
        </w:rPr>
        <w:t> </w:t>
      </w:r>
      <w:r>
        <w:rPr/>
        <w:t>İlk</w:t>
      </w:r>
      <w:r>
        <w:rPr>
          <w:spacing w:val="-10"/>
        </w:rPr>
        <w:t> </w:t>
      </w:r>
      <w:r>
        <w:rPr/>
        <w:t>olarak levene testindeki p değeri 0,508 çıkmış olup gurupların homojen dağıldığı gözlenmektedir.</w:t>
      </w:r>
    </w:p>
    <w:p>
      <w:pPr>
        <w:pStyle w:val="BodyText"/>
        <w:spacing w:line="360" w:lineRule="auto"/>
        <w:ind w:left="1128" w:right="613"/>
      </w:pPr>
      <w:r>
        <w:rPr/>
        <w:t>Araştırma grubundaki kişilerin KBRN olaylarına ve tehlikeli maddelere müdahale ile ilgili düşüncelerinin mesleğe göre karşılaştırılması Tablo 4. 25’de gösterilmiştir.</w:t>
      </w:r>
    </w:p>
    <w:p>
      <w:pPr>
        <w:pStyle w:val="BodyText"/>
        <w:rPr>
          <w:sz w:val="26"/>
        </w:rPr>
      </w:pPr>
    </w:p>
    <w:p>
      <w:pPr>
        <w:pStyle w:val="Heading1"/>
        <w:spacing w:line="256" w:lineRule="auto" w:before="163"/>
        <w:ind w:left="1120" w:right="612"/>
        <w:jc w:val="center"/>
      </w:pPr>
      <w:r>
        <w:rPr/>
        <w:t>Tablo 4. 25. Gümüşhane 112’de Çalışan Personelin KBRN Olaylarına ve Tehlikeli Maddelere Müdahale İle İlgili Düşüncelerinin Mesleğe Göre Karşılaştırılması (Anova Testi)</w:t>
      </w:r>
    </w:p>
    <w:p>
      <w:pPr>
        <w:pStyle w:val="BodyText"/>
        <w:spacing w:before="1"/>
        <w:rPr>
          <w:b/>
          <w:sz w:val="15"/>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432"/>
        <w:gridCol w:w="1879"/>
        <w:gridCol w:w="1143"/>
        <w:gridCol w:w="1414"/>
        <w:gridCol w:w="838"/>
        <w:gridCol w:w="803"/>
      </w:tblGrid>
      <w:tr>
        <w:trPr>
          <w:trHeight w:val="698" w:hRule="atLeast"/>
        </w:trPr>
        <w:tc>
          <w:tcPr>
            <w:tcW w:w="2432" w:type="dxa"/>
            <w:tcBorders>
              <w:top w:val="single" w:sz="4" w:space="0" w:color="000000"/>
              <w:bottom w:val="single" w:sz="4" w:space="0" w:color="000000"/>
            </w:tcBorders>
          </w:tcPr>
          <w:p>
            <w:pPr>
              <w:pStyle w:val="TableParagraph"/>
              <w:rPr>
                <w:sz w:val="22"/>
              </w:rPr>
            </w:pPr>
          </w:p>
        </w:tc>
        <w:tc>
          <w:tcPr>
            <w:tcW w:w="1879" w:type="dxa"/>
            <w:tcBorders>
              <w:top w:val="single" w:sz="4" w:space="0" w:color="000000"/>
              <w:bottom w:val="single" w:sz="4" w:space="0" w:color="000000"/>
            </w:tcBorders>
          </w:tcPr>
          <w:p>
            <w:pPr>
              <w:pStyle w:val="TableParagraph"/>
              <w:rPr>
                <w:sz w:val="22"/>
              </w:rPr>
            </w:pPr>
          </w:p>
        </w:tc>
        <w:tc>
          <w:tcPr>
            <w:tcW w:w="1143" w:type="dxa"/>
            <w:tcBorders>
              <w:top w:val="single" w:sz="4" w:space="0" w:color="000000"/>
              <w:bottom w:val="single" w:sz="4" w:space="0" w:color="000000"/>
            </w:tcBorders>
          </w:tcPr>
          <w:p>
            <w:pPr>
              <w:pStyle w:val="TableParagraph"/>
              <w:ind w:left="191" w:right="137"/>
              <w:rPr>
                <w:b/>
                <w:sz w:val="22"/>
              </w:rPr>
            </w:pPr>
            <w:r>
              <w:rPr>
                <w:b/>
                <w:sz w:val="22"/>
              </w:rPr>
              <w:t>Kareler Toplamı</w:t>
            </w:r>
          </w:p>
        </w:tc>
        <w:tc>
          <w:tcPr>
            <w:tcW w:w="1414" w:type="dxa"/>
            <w:tcBorders>
              <w:top w:val="single" w:sz="4" w:space="0" w:color="000000"/>
              <w:bottom w:val="single" w:sz="4" w:space="0" w:color="000000"/>
            </w:tcBorders>
          </w:tcPr>
          <w:p>
            <w:pPr>
              <w:pStyle w:val="TableParagraph"/>
              <w:ind w:left="160" w:right="170"/>
              <w:rPr>
                <w:b/>
                <w:sz w:val="22"/>
              </w:rPr>
            </w:pPr>
            <w:r>
              <w:rPr>
                <w:b/>
                <w:sz w:val="22"/>
              </w:rPr>
              <w:t>Kareler Ortalaması</w:t>
            </w:r>
          </w:p>
        </w:tc>
        <w:tc>
          <w:tcPr>
            <w:tcW w:w="838" w:type="dxa"/>
            <w:tcBorders>
              <w:top w:val="single" w:sz="4" w:space="0" w:color="000000"/>
              <w:bottom w:val="single" w:sz="4" w:space="0" w:color="000000"/>
            </w:tcBorders>
          </w:tcPr>
          <w:p>
            <w:pPr>
              <w:pStyle w:val="TableParagraph"/>
              <w:spacing w:line="252" w:lineRule="exact"/>
              <w:ind w:left="196"/>
              <w:rPr>
                <w:b/>
                <w:sz w:val="22"/>
              </w:rPr>
            </w:pPr>
            <w:r>
              <w:rPr>
                <w:b/>
                <w:w w:val="100"/>
                <w:sz w:val="22"/>
              </w:rPr>
              <w:t>F</w:t>
            </w:r>
          </w:p>
        </w:tc>
        <w:tc>
          <w:tcPr>
            <w:tcW w:w="803" w:type="dxa"/>
            <w:tcBorders>
              <w:top w:val="single" w:sz="4" w:space="0" w:color="000000"/>
              <w:bottom w:val="single" w:sz="4" w:space="0" w:color="000000"/>
            </w:tcBorders>
          </w:tcPr>
          <w:p>
            <w:pPr>
              <w:pStyle w:val="TableParagraph"/>
              <w:spacing w:line="252" w:lineRule="exact"/>
              <w:ind w:left="138"/>
              <w:rPr>
                <w:b/>
                <w:sz w:val="22"/>
              </w:rPr>
            </w:pPr>
            <w:r>
              <w:rPr>
                <w:b/>
                <w:w w:val="100"/>
                <w:sz w:val="22"/>
              </w:rPr>
              <w:t>p</w:t>
            </w:r>
          </w:p>
        </w:tc>
      </w:tr>
      <w:tr>
        <w:trPr>
          <w:trHeight w:val="275" w:hRule="atLeast"/>
        </w:trPr>
        <w:tc>
          <w:tcPr>
            <w:tcW w:w="2432" w:type="dxa"/>
            <w:tcBorders>
              <w:top w:val="single" w:sz="4" w:space="0" w:color="000000"/>
            </w:tcBorders>
          </w:tcPr>
          <w:p>
            <w:pPr>
              <w:pStyle w:val="TableParagraph"/>
              <w:rPr>
                <w:sz w:val="20"/>
              </w:rPr>
            </w:pPr>
          </w:p>
        </w:tc>
        <w:tc>
          <w:tcPr>
            <w:tcW w:w="1879" w:type="dxa"/>
            <w:tcBorders>
              <w:top w:val="single" w:sz="4" w:space="0" w:color="000000"/>
            </w:tcBorders>
          </w:tcPr>
          <w:p>
            <w:pPr>
              <w:pStyle w:val="TableParagraph"/>
              <w:spacing w:line="251" w:lineRule="exact"/>
              <w:ind w:left="210"/>
              <w:rPr>
                <w:b/>
                <w:sz w:val="22"/>
              </w:rPr>
            </w:pPr>
            <w:r>
              <w:rPr>
                <w:b/>
                <w:sz w:val="22"/>
              </w:rPr>
              <w:t>Gruplar</w:t>
            </w:r>
          </w:p>
        </w:tc>
        <w:tc>
          <w:tcPr>
            <w:tcW w:w="1143" w:type="dxa"/>
            <w:tcBorders>
              <w:top w:val="single" w:sz="4" w:space="0" w:color="000000"/>
            </w:tcBorders>
          </w:tcPr>
          <w:p>
            <w:pPr>
              <w:pStyle w:val="TableParagraph"/>
              <w:spacing w:line="247" w:lineRule="exact"/>
              <w:ind w:right="202"/>
              <w:jc w:val="right"/>
              <w:rPr>
                <w:sz w:val="22"/>
              </w:rPr>
            </w:pPr>
            <w:r>
              <w:rPr>
                <w:sz w:val="22"/>
              </w:rPr>
              <w:t>1,123</w:t>
            </w:r>
          </w:p>
        </w:tc>
        <w:tc>
          <w:tcPr>
            <w:tcW w:w="1414" w:type="dxa"/>
            <w:tcBorders>
              <w:top w:val="single" w:sz="4" w:space="0" w:color="000000"/>
            </w:tcBorders>
          </w:tcPr>
          <w:p>
            <w:pPr>
              <w:pStyle w:val="TableParagraph"/>
              <w:spacing w:line="247" w:lineRule="exact"/>
              <w:ind w:left="391" w:right="488"/>
              <w:jc w:val="center"/>
              <w:rPr>
                <w:sz w:val="22"/>
              </w:rPr>
            </w:pPr>
            <w:r>
              <w:rPr>
                <w:sz w:val="22"/>
              </w:rPr>
              <w:t>0,225</w:t>
            </w:r>
          </w:p>
        </w:tc>
        <w:tc>
          <w:tcPr>
            <w:tcW w:w="838" w:type="dxa"/>
            <w:tcBorders>
              <w:top w:val="single" w:sz="4" w:space="0" w:color="000000"/>
            </w:tcBorders>
          </w:tcPr>
          <w:p>
            <w:pPr>
              <w:pStyle w:val="TableParagraph"/>
              <w:rPr>
                <w:sz w:val="20"/>
              </w:rPr>
            </w:pPr>
          </w:p>
        </w:tc>
        <w:tc>
          <w:tcPr>
            <w:tcW w:w="803" w:type="dxa"/>
            <w:tcBorders>
              <w:top w:val="single" w:sz="4" w:space="0" w:color="000000"/>
            </w:tcBorders>
          </w:tcPr>
          <w:p>
            <w:pPr>
              <w:pStyle w:val="TableParagraph"/>
              <w:rPr>
                <w:sz w:val="20"/>
              </w:rPr>
            </w:pPr>
          </w:p>
        </w:tc>
      </w:tr>
      <w:tr>
        <w:trPr>
          <w:trHeight w:val="1124" w:hRule="atLeast"/>
        </w:trPr>
        <w:tc>
          <w:tcPr>
            <w:tcW w:w="2432" w:type="dxa"/>
          </w:tcPr>
          <w:p>
            <w:pPr>
              <w:pStyle w:val="TableParagraph"/>
              <w:spacing w:before="10"/>
              <w:rPr>
                <w:b/>
                <w:sz w:val="19"/>
              </w:rPr>
            </w:pPr>
          </w:p>
          <w:p>
            <w:pPr>
              <w:pStyle w:val="TableParagraph"/>
              <w:ind w:left="321" w:right="207" w:hanging="3"/>
              <w:jc w:val="center"/>
              <w:rPr>
                <w:b/>
                <w:sz w:val="22"/>
              </w:rPr>
            </w:pPr>
            <w:r>
              <w:rPr>
                <w:b/>
                <w:sz w:val="22"/>
              </w:rPr>
              <w:t>KBRN Olaylarla ve Tehlikeli Maddelere Müdahale</w:t>
            </w:r>
          </w:p>
        </w:tc>
        <w:tc>
          <w:tcPr>
            <w:tcW w:w="1879" w:type="dxa"/>
          </w:tcPr>
          <w:p>
            <w:pPr>
              <w:pStyle w:val="TableParagraph"/>
              <w:spacing w:before="15"/>
              <w:ind w:left="210"/>
              <w:rPr>
                <w:b/>
                <w:sz w:val="22"/>
              </w:rPr>
            </w:pPr>
            <w:r>
              <w:rPr>
                <w:b/>
                <w:sz w:val="22"/>
              </w:rPr>
              <w:t>Arasında</w:t>
            </w:r>
          </w:p>
          <w:p>
            <w:pPr>
              <w:pStyle w:val="TableParagraph"/>
              <w:spacing w:before="7"/>
              <w:rPr>
                <w:b/>
                <w:sz w:val="20"/>
              </w:rPr>
            </w:pPr>
          </w:p>
          <w:p>
            <w:pPr>
              <w:pStyle w:val="TableParagraph"/>
              <w:spacing w:line="276" w:lineRule="auto"/>
              <w:ind w:left="210" w:right="720"/>
              <w:rPr>
                <w:b/>
                <w:sz w:val="22"/>
              </w:rPr>
            </w:pPr>
            <w:r>
              <w:rPr>
                <w:b/>
                <w:sz w:val="22"/>
              </w:rPr>
              <w:t>Gruplar İçerisinde</w:t>
            </w:r>
          </w:p>
        </w:tc>
        <w:tc>
          <w:tcPr>
            <w:tcW w:w="1143" w:type="dxa"/>
          </w:tcPr>
          <w:p>
            <w:pPr>
              <w:pStyle w:val="TableParagraph"/>
              <w:rPr>
                <w:b/>
                <w:sz w:val="24"/>
              </w:rPr>
            </w:pPr>
          </w:p>
          <w:p>
            <w:pPr>
              <w:pStyle w:val="TableParagraph"/>
              <w:rPr>
                <w:b/>
                <w:sz w:val="24"/>
              </w:rPr>
            </w:pPr>
          </w:p>
          <w:p>
            <w:pPr>
              <w:pStyle w:val="TableParagraph"/>
              <w:spacing w:before="147"/>
              <w:ind w:right="202"/>
              <w:jc w:val="right"/>
              <w:rPr>
                <w:sz w:val="22"/>
              </w:rPr>
            </w:pPr>
            <w:r>
              <w:rPr>
                <w:sz w:val="22"/>
              </w:rPr>
              <w:t>68,698</w:t>
            </w:r>
          </w:p>
        </w:tc>
        <w:tc>
          <w:tcPr>
            <w:tcW w:w="1414" w:type="dxa"/>
          </w:tcPr>
          <w:p>
            <w:pPr>
              <w:pStyle w:val="TableParagraph"/>
              <w:rPr>
                <w:b/>
                <w:sz w:val="24"/>
              </w:rPr>
            </w:pPr>
          </w:p>
          <w:p>
            <w:pPr>
              <w:pStyle w:val="TableParagraph"/>
              <w:rPr>
                <w:b/>
                <w:sz w:val="24"/>
              </w:rPr>
            </w:pPr>
          </w:p>
          <w:p>
            <w:pPr>
              <w:pStyle w:val="TableParagraph"/>
              <w:spacing w:before="147"/>
              <w:ind w:left="391" w:right="488"/>
              <w:jc w:val="center"/>
              <w:rPr>
                <w:sz w:val="22"/>
              </w:rPr>
            </w:pPr>
            <w:r>
              <w:rPr>
                <w:sz w:val="22"/>
              </w:rPr>
              <w:t>0,694</w:t>
            </w:r>
          </w:p>
        </w:tc>
        <w:tc>
          <w:tcPr>
            <w:tcW w:w="838" w:type="dxa"/>
          </w:tcPr>
          <w:p>
            <w:pPr>
              <w:pStyle w:val="TableParagraph"/>
              <w:spacing w:before="210"/>
              <w:ind w:left="210"/>
              <w:rPr>
                <w:sz w:val="22"/>
              </w:rPr>
            </w:pPr>
            <w:r>
              <w:rPr>
                <w:sz w:val="22"/>
              </w:rPr>
              <w:t>0,324</w:t>
            </w:r>
          </w:p>
        </w:tc>
        <w:tc>
          <w:tcPr>
            <w:tcW w:w="803" w:type="dxa"/>
          </w:tcPr>
          <w:p>
            <w:pPr>
              <w:pStyle w:val="TableParagraph"/>
              <w:spacing w:before="214"/>
              <w:ind w:left="205"/>
              <w:rPr>
                <w:b/>
                <w:sz w:val="22"/>
              </w:rPr>
            </w:pPr>
            <w:r>
              <w:rPr>
                <w:b/>
                <w:sz w:val="22"/>
              </w:rPr>
              <w:t>0,898</w:t>
            </w:r>
          </w:p>
        </w:tc>
      </w:tr>
      <w:tr>
        <w:trPr>
          <w:trHeight w:val="656" w:hRule="atLeast"/>
        </w:trPr>
        <w:tc>
          <w:tcPr>
            <w:tcW w:w="2432" w:type="dxa"/>
            <w:tcBorders>
              <w:bottom w:val="single" w:sz="4" w:space="0" w:color="000000"/>
            </w:tcBorders>
          </w:tcPr>
          <w:p>
            <w:pPr>
              <w:pStyle w:val="TableParagraph"/>
              <w:rPr>
                <w:sz w:val="22"/>
              </w:rPr>
            </w:pPr>
          </w:p>
        </w:tc>
        <w:tc>
          <w:tcPr>
            <w:tcW w:w="1879" w:type="dxa"/>
            <w:tcBorders>
              <w:bottom w:val="single" w:sz="4" w:space="0" w:color="000000"/>
            </w:tcBorders>
          </w:tcPr>
          <w:p>
            <w:pPr>
              <w:pStyle w:val="TableParagraph"/>
              <w:spacing w:before="163"/>
              <w:ind w:left="210"/>
              <w:rPr>
                <w:b/>
                <w:sz w:val="22"/>
              </w:rPr>
            </w:pPr>
            <w:r>
              <w:rPr>
                <w:b/>
                <w:sz w:val="22"/>
              </w:rPr>
              <w:t>Genel Toplam</w:t>
            </w:r>
          </w:p>
        </w:tc>
        <w:tc>
          <w:tcPr>
            <w:tcW w:w="1143" w:type="dxa"/>
            <w:tcBorders>
              <w:bottom w:val="single" w:sz="4" w:space="0" w:color="000000"/>
            </w:tcBorders>
          </w:tcPr>
          <w:p>
            <w:pPr>
              <w:pStyle w:val="TableParagraph"/>
              <w:spacing w:before="67"/>
              <w:ind w:right="202"/>
              <w:jc w:val="right"/>
              <w:rPr>
                <w:sz w:val="22"/>
              </w:rPr>
            </w:pPr>
            <w:r>
              <w:rPr>
                <w:sz w:val="22"/>
              </w:rPr>
              <w:t>68,821</w:t>
            </w:r>
          </w:p>
        </w:tc>
        <w:tc>
          <w:tcPr>
            <w:tcW w:w="1414" w:type="dxa"/>
            <w:tcBorders>
              <w:bottom w:val="single" w:sz="4" w:space="0" w:color="000000"/>
            </w:tcBorders>
          </w:tcPr>
          <w:p>
            <w:pPr>
              <w:pStyle w:val="TableParagraph"/>
              <w:rPr>
                <w:sz w:val="22"/>
              </w:rPr>
            </w:pPr>
          </w:p>
        </w:tc>
        <w:tc>
          <w:tcPr>
            <w:tcW w:w="838" w:type="dxa"/>
            <w:tcBorders>
              <w:bottom w:val="single" w:sz="4" w:space="0" w:color="000000"/>
            </w:tcBorders>
          </w:tcPr>
          <w:p>
            <w:pPr>
              <w:pStyle w:val="TableParagraph"/>
              <w:rPr>
                <w:sz w:val="22"/>
              </w:rPr>
            </w:pPr>
          </w:p>
        </w:tc>
        <w:tc>
          <w:tcPr>
            <w:tcW w:w="803" w:type="dxa"/>
            <w:tcBorders>
              <w:bottom w:val="single" w:sz="4" w:space="0" w:color="000000"/>
            </w:tcBorders>
          </w:tcPr>
          <w:p>
            <w:pPr>
              <w:pStyle w:val="TableParagraph"/>
              <w:rPr>
                <w:sz w:val="22"/>
              </w:rPr>
            </w:pPr>
          </w:p>
        </w:tc>
      </w:tr>
    </w:tbl>
    <w:p>
      <w:pPr>
        <w:pStyle w:val="BodyText"/>
        <w:spacing w:before="8"/>
        <w:rPr>
          <w:b/>
          <w:sz w:val="38"/>
        </w:rPr>
      </w:pPr>
    </w:p>
    <w:p>
      <w:pPr>
        <w:pStyle w:val="BodyText"/>
        <w:spacing w:line="360" w:lineRule="auto"/>
        <w:ind w:left="1128" w:right="610" w:firstLine="708"/>
        <w:jc w:val="both"/>
      </w:pPr>
      <w:r>
        <w:rPr/>
        <w:t>Tek Yönlü Anova testinin sonucunda ortaya çıkan verilere göre varyanslar arasında anlamlı farklılık gözlenmemektedir. Nedeni ise p değerinin 0,05’den büyük çıkmasıdır. Tabloya göre p değer 0,898’dir. Çalışmaya katılan personelin KBRN olaylarına ve tehlikeli maddelere müdahale ile ilgili düşünceleri, mesleğe göre anlamlı farklılık göstermemektedir. Sonuç olarak elde edilen verilere göre çalışmanın yedinci hipotezi reddedilmiştir.</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firstLine="708"/>
        <w:jc w:val="both"/>
      </w:pPr>
      <w:r>
        <w:rPr/>
        <w:t>H8: Gümüşhane 112’de çalışan personelin personel ve yöneticiler hakkında düşünceler ile liderlik, ekip yönetimi, çalışma yönetimi ve stres altında çalışma arasında anlamlı bir ilişki vardır.</w:t>
      </w:r>
    </w:p>
    <w:p>
      <w:pPr>
        <w:pStyle w:val="BodyText"/>
        <w:spacing w:line="360" w:lineRule="auto"/>
        <w:ind w:left="1128" w:right="614" w:firstLine="708"/>
        <w:jc w:val="both"/>
      </w:pPr>
      <w:r>
        <w:rPr/>
        <w:t>Araştırma grubundaki kişilerin personel ve yöneticiler hakkında düşünceleri ile liderlik, ekip yönetimi, çalışma yönetimi ve stres altında çalışmasına göre karşılaştırılması Tablo 4. 26’da gösterilmiştir.</w:t>
      </w:r>
    </w:p>
    <w:p>
      <w:pPr>
        <w:pStyle w:val="BodyText"/>
        <w:rPr>
          <w:sz w:val="26"/>
        </w:rPr>
      </w:pPr>
    </w:p>
    <w:p>
      <w:pPr>
        <w:pStyle w:val="Heading1"/>
        <w:spacing w:line="259" w:lineRule="auto" w:before="162"/>
        <w:ind w:left="1397" w:right="886" w:firstLine="6"/>
        <w:jc w:val="center"/>
      </w:pPr>
      <w:r>
        <w:rPr/>
        <w:t>Tablo 4. 26. Gümüşhane 112’de Çalışan Personelin Personel ve Yöneticiler Hakkında Düşünceleri ile Liderlik, Ekip Yönetimi, Çalışma Yönetimi ve Stres Altında Çalışmasına Göre Karşılaştırılması</w:t>
      </w:r>
    </w:p>
    <w:p>
      <w:pPr>
        <w:pStyle w:val="BodyText"/>
        <w:spacing w:before="4"/>
        <w:rPr>
          <w:b/>
          <w:sz w:val="14"/>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721"/>
        <w:gridCol w:w="2080"/>
        <w:gridCol w:w="1541"/>
        <w:gridCol w:w="2171"/>
      </w:tblGrid>
      <w:tr>
        <w:trPr>
          <w:trHeight w:val="1770" w:hRule="atLeast"/>
        </w:trPr>
        <w:tc>
          <w:tcPr>
            <w:tcW w:w="2721" w:type="dxa"/>
            <w:tcBorders>
              <w:top w:val="single" w:sz="4" w:space="0" w:color="000000"/>
            </w:tcBorders>
          </w:tcPr>
          <w:p>
            <w:pPr>
              <w:pStyle w:val="TableParagraph"/>
              <w:rPr>
                <w:sz w:val="22"/>
              </w:rPr>
            </w:pPr>
          </w:p>
        </w:tc>
        <w:tc>
          <w:tcPr>
            <w:tcW w:w="2080" w:type="dxa"/>
            <w:tcBorders>
              <w:top w:val="single" w:sz="4" w:space="0" w:color="000000"/>
            </w:tcBorders>
          </w:tcPr>
          <w:p>
            <w:pPr>
              <w:pStyle w:val="TableParagraph"/>
              <w:rPr>
                <w:sz w:val="22"/>
              </w:rPr>
            </w:pPr>
          </w:p>
        </w:tc>
        <w:tc>
          <w:tcPr>
            <w:tcW w:w="1541" w:type="dxa"/>
            <w:tcBorders>
              <w:top w:val="single" w:sz="4" w:space="0" w:color="000000"/>
            </w:tcBorders>
          </w:tcPr>
          <w:p>
            <w:pPr>
              <w:pStyle w:val="TableParagraph"/>
              <w:spacing w:before="11"/>
              <w:rPr>
                <w:b/>
                <w:sz w:val="21"/>
              </w:rPr>
            </w:pPr>
          </w:p>
          <w:p>
            <w:pPr>
              <w:pStyle w:val="TableParagraph"/>
              <w:ind w:left="100" w:right="174"/>
              <w:rPr>
                <w:b/>
                <w:sz w:val="22"/>
              </w:rPr>
            </w:pPr>
            <w:r>
              <w:rPr>
                <w:b/>
                <w:sz w:val="22"/>
              </w:rPr>
              <w:t>Personel ve Yöneticiler Puan Ortalamaları</w:t>
            </w:r>
          </w:p>
        </w:tc>
        <w:tc>
          <w:tcPr>
            <w:tcW w:w="2171" w:type="dxa"/>
            <w:tcBorders>
              <w:top w:val="single" w:sz="4" w:space="0" w:color="000000"/>
            </w:tcBorders>
          </w:tcPr>
          <w:p>
            <w:pPr>
              <w:pStyle w:val="TableParagraph"/>
              <w:spacing w:before="11"/>
              <w:rPr>
                <w:b/>
                <w:sz w:val="21"/>
              </w:rPr>
            </w:pPr>
          </w:p>
          <w:p>
            <w:pPr>
              <w:pStyle w:val="TableParagraph"/>
              <w:ind w:left="196" w:right="279" w:hanging="1"/>
              <w:jc w:val="center"/>
              <w:rPr>
                <w:b/>
                <w:sz w:val="22"/>
              </w:rPr>
            </w:pPr>
            <w:r>
              <w:rPr>
                <w:b/>
                <w:sz w:val="22"/>
              </w:rPr>
              <w:t>Liderlik Ekip Yönetimi Çalışma Yönetimi ve Stres Yönetimi Puan</w:t>
            </w:r>
          </w:p>
          <w:p>
            <w:pPr>
              <w:pStyle w:val="TableParagraph"/>
              <w:tabs>
                <w:tab w:pos="419" w:val="left" w:leader="none"/>
                <w:tab w:pos="2171" w:val="left" w:leader="none"/>
              </w:tabs>
              <w:spacing w:before="1"/>
              <w:ind w:left="-6333" w:right="-15"/>
              <w:rPr>
                <w:b/>
                <w:sz w:val="22"/>
              </w:rPr>
            </w:pPr>
            <w:r>
              <w:rPr>
                <w:b/>
                <w:w w:val="100"/>
                <w:sz w:val="22"/>
                <w:u w:val="single"/>
              </w:rPr>
              <w:t> </w:t>
            </w:r>
            <w:r>
              <w:rPr>
                <w:b/>
                <w:sz w:val="22"/>
                <w:u w:val="single"/>
              </w:rPr>
              <w:tab/>
              <w:t>Ortalamaları</w:t>
              <w:tab/>
            </w:r>
          </w:p>
        </w:tc>
      </w:tr>
      <w:tr>
        <w:trPr>
          <w:trHeight w:val="505" w:hRule="atLeast"/>
        </w:trPr>
        <w:tc>
          <w:tcPr>
            <w:tcW w:w="2721" w:type="dxa"/>
          </w:tcPr>
          <w:p>
            <w:pPr>
              <w:pStyle w:val="TableParagraph"/>
              <w:rPr>
                <w:sz w:val="22"/>
              </w:rPr>
            </w:pPr>
          </w:p>
        </w:tc>
        <w:tc>
          <w:tcPr>
            <w:tcW w:w="2080" w:type="dxa"/>
            <w:vMerge w:val="restart"/>
            <w:tcBorders>
              <w:bottom w:val="single" w:sz="4" w:space="0" w:color="000000"/>
            </w:tcBorders>
          </w:tcPr>
          <w:p>
            <w:pPr>
              <w:pStyle w:val="TableParagraph"/>
              <w:spacing w:before="6"/>
              <w:rPr>
                <w:b/>
                <w:sz w:val="21"/>
              </w:rPr>
            </w:pPr>
          </w:p>
          <w:p>
            <w:pPr>
              <w:pStyle w:val="TableParagraph"/>
              <w:spacing w:line="276" w:lineRule="auto" w:before="1"/>
              <w:ind w:left="283" w:right="328" w:firstLine="343"/>
              <w:rPr>
                <w:b/>
                <w:sz w:val="22"/>
              </w:rPr>
            </w:pPr>
            <w:r>
              <w:rPr>
                <w:b/>
                <w:sz w:val="22"/>
              </w:rPr>
              <w:t>Pearson korelasyonu (r)</w:t>
            </w:r>
          </w:p>
          <w:p>
            <w:pPr>
              <w:pStyle w:val="TableParagraph"/>
              <w:spacing w:before="198"/>
              <w:ind w:left="175"/>
              <w:jc w:val="center"/>
              <w:rPr>
                <w:b/>
                <w:sz w:val="22"/>
              </w:rPr>
            </w:pPr>
            <w:r>
              <w:rPr>
                <w:b/>
                <w:w w:val="100"/>
                <w:sz w:val="22"/>
              </w:rPr>
              <w:t>p</w:t>
            </w:r>
          </w:p>
          <w:p>
            <w:pPr>
              <w:pStyle w:val="TableParagraph"/>
              <w:rPr>
                <w:b/>
                <w:sz w:val="24"/>
              </w:rPr>
            </w:pPr>
          </w:p>
          <w:p>
            <w:pPr>
              <w:pStyle w:val="TableParagraph"/>
              <w:rPr>
                <w:b/>
                <w:sz w:val="22"/>
              </w:rPr>
            </w:pPr>
          </w:p>
          <w:p>
            <w:pPr>
              <w:pStyle w:val="TableParagraph"/>
              <w:spacing w:before="1"/>
              <w:ind w:left="139"/>
              <w:jc w:val="center"/>
              <w:rPr>
                <w:b/>
                <w:sz w:val="22"/>
              </w:rPr>
            </w:pPr>
            <w:r>
              <w:rPr>
                <w:b/>
                <w:w w:val="100"/>
                <w:sz w:val="22"/>
              </w:rPr>
              <w:t>N</w:t>
            </w:r>
          </w:p>
        </w:tc>
        <w:tc>
          <w:tcPr>
            <w:tcW w:w="1541" w:type="dxa"/>
          </w:tcPr>
          <w:p>
            <w:pPr>
              <w:pStyle w:val="TableParagraph"/>
              <w:spacing w:before="2"/>
              <w:rPr>
                <w:b/>
                <w:sz w:val="21"/>
              </w:rPr>
            </w:pPr>
          </w:p>
          <w:p>
            <w:pPr>
              <w:pStyle w:val="TableParagraph"/>
              <w:spacing w:line="241" w:lineRule="exact"/>
              <w:ind w:left="157"/>
              <w:jc w:val="center"/>
              <w:rPr>
                <w:sz w:val="22"/>
              </w:rPr>
            </w:pPr>
            <w:r>
              <w:rPr>
                <w:w w:val="100"/>
                <w:sz w:val="22"/>
              </w:rPr>
              <w:t>1</w:t>
            </w:r>
          </w:p>
        </w:tc>
        <w:tc>
          <w:tcPr>
            <w:tcW w:w="2171" w:type="dxa"/>
          </w:tcPr>
          <w:p>
            <w:pPr>
              <w:pStyle w:val="TableParagraph"/>
              <w:spacing w:before="2"/>
              <w:rPr>
                <w:b/>
                <w:sz w:val="21"/>
              </w:rPr>
            </w:pPr>
          </w:p>
          <w:p>
            <w:pPr>
              <w:pStyle w:val="TableParagraph"/>
              <w:spacing w:line="241" w:lineRule="exact"/>
              <w:ind w:right="640"/>
              <w:jc w:val="right"/>
              <w:rPr>
                <w:sz w:val="22"/>
              </w:rPr>
            </w:pPr>
            <w:r>
              <w:rPr>
                <w:sz w:val="22"/>
              </w:rPr>
              <w:t>0,729**</w:t>
            </w:r>
          </w:p>
        </w:tc>
      </w:tr>
      <w:tr>
        <w:trPr>
          <w:trHeight w:val="252" w:hRule="atLeast"/>
        </w:trPr>
        <w:tc>
          <w:tcPr>
            <w:tcW w:w="2721" w:type="dxa"/>
          </w:tcPr>
          <w:p>
            <w:pPr>
              <w:pStyle w:val="TableParagraph"/>
              <w:spacing w:line="233" w:lineRule="exact"/>
              <w:ind w:left="218" w:right="261"/>
              <w:jc w:val="center"/>
              <w:rPr>
                <w:b/>
                <w:sz w:val="22"/>
              </w:rPr>
            </w:pPr>
            <w:r>
              <w:rPr>
                <w:b/>
                <w:sz w:val="22"/>
              </w:rPr>
              <w:t>Personel ve Yöneticiler</w:t>
            </w:r>
          </w:p>
        </w:tc>
        <w:tc>
          <w:tcPr>
            <w:tcW w:w="2080" w:type="dxa"/>
            <w:vMerge/>
            <w:tcBorders>
              <w:top w:val="nil"/>
              <w:bottom w:val="single" w:sz="4" w:space="0" w:color="000000"/>
            </w:tcBorders>
          </w:tcPr>
          <w:p>
            <w:pPr>
              <w:rPr>
                <w:sz w:val="2"/>
                <w:szCs w:val="2"/>
              </w:rPr>
            </w:pPr>
          </w:p>
        </w:tc>
        <w:tc>
          <w:tcPr>
            <w:tcW w:w="1541" w:type="dxa"/>
          </w:tcPr>
          <w:p>
            <w:pPr>
              <w:pStyle w:val="TableParagraph"/>
              <w:rPr>
                <w:sz w:val="18"/>
              </w:rPr>
            </w:pPr>
          </w:p>
        </w:tc>
        <w:tc>
          <w:tcPr>
            <w:tcW w:w="2171" w:type="dxa"/>
          </w:tcPr>
          <w:p>
            <w:pPr>
              <w:pStyle w:val="TableParagraph"/>
              <w:rPr>
                <w:sz w:val="18"/>
              </w:rPr>
            </w:pPr>
          </w:p>
        </w:tc>
      </w:tr>
      <w:tr>
        <w:trPr>
          <w:trHeight w:val="345" w:hRule="atLeast"/>
        </w:trPr>
        <w:tc>
          <w:tcPr>
            <w:tcW w:w="2721" w:type="dxa"/>
          </w:tcPr>
          <w:p>
            <w:pPr>
              <w:pStyle w:val="TableParagraph"/>
              <w:spacing w:line="244" w:lineRule="exact"/>
              <w:ind w:left="218" w:right="258"/>
              <w:jc w:val="center"/>
              <w:rPr>
                <w:b/>
                <w:sz w:val="22"/>
              </w:rPr>
            </w:pPr>
            <w:r>
              <w:rPr>
                <w:b/>
                <w:sz w:val="22"/>
              </w:rPr>
              <w:t>Puan Ortalamaları</w:t>
            </w:r>
          </w:p>
        </w:tc>
        <w:tc>
          <w:tcPr>
            <w:tcW w:w="2080" w:type="dxa"/>
            <w:vMerge/>
            <w:tcBorders>
              <w:top w:val="nil"/>
              <w:bottom w:val="single" w:sz="4" w:space="0" w:color="000000"/>
            </w:tcBorders>
          </w:tcPr>
          <w:p>
            <w:pPr>
              <w:rPr>
                <w:sz w:val="2"/>
                <w:szCs w:val="2"/>
              </w:rPr>
            </w:pPr>
          </w:p>
        </w:tc>
        <w:tc>
          <w:tcPr>
            <w:tcW w:w="1541" w:type="dxa"/>
          </w:tcPr>
          <w:p>
            <w:pPr>
              <w:pStyle w:val="TableParagraph"/>
              <w:rPr>
                <w:sz w:val="22"/>
              </w:rPr>
            </w:pPr>
          </w:p>
        </w:tc>
        <w:tc>
          <w:tcPr>
            <w:tcW w:w="2171" w:type="dxa"/>
          </w:tcPr>
          <w:p>
            <w:pPr>
              <w:pStyle w:val="TableParagraph"/>
              <w:rPr>
                <w:sz w:val="22"/>
              </w:rPr>
            </w:pPr>
          </w:p>
        </w:tc>
      </w:tr>
      <w:tr>
        <w:trPr>
          <w:trHeight w:val="462" w:hRule="atLeast"/>
        </w:trPr>
        <w:tc>
          <w:tcPr>
            <w:tcW w:w="2721" w:type="dxa"/>
          </w:tcPr>
          <w:p>
            <w:pPr>
              <w:pStyle w:val="TableParagraph"/>
              <w:rPr>
                <w:sz w:val="22"/>
              </w:rPr>
            </w:pPr>
          </w:p>
        </w:tc>
        <w:tc>
          <w:tcPr>
            <w:tcW w:w="2080" w:type="dxa"/>
            <w:vMerge/>
            <w:tcBorders>
              <w:top w:val="nil"/>
              <w:bottom w:val="single" w:sz="4" w:space="0" w:color="000000"/>
            </w:tcBorders>
          </w:tcPr>
          <w:p>
            <w:pPr>
              <w:rPr>
                <w:sz w:val="2"/>
                <w:szCs w:val="2"/>
              </w:rPr>
            </w:pPr>
          </w:p>
        </w:tc>
        <w:tc>
          <w:tcPr>
            <w:tcW w:w="1541" w:type="dxa"/>
          </w:tcPr>
          <w:p>
            <w:pPr>
              <w:pStyle w:val="TableParagraph"/>
              <w:rPr>
                <w:sz w:val="22"/>
              </w:rPr>
            </w:pPr>
          </w:p>
        </w:tc>
        <w:tc>
          <w:tcPr>
            <w:tcW w:w="2171" w:type="dxa"/>
          </w:tcPr>
          <w:p>
            <w:pPr>
              <w:pStyle w:val="TableParagraph"/>
              <w:spacing w:before="92"/>
              <w:ind w:right="603"/>
              <w:jc w:val="right"/>
              <w:rPr>
                <w:sz w:val="22"/>
              </w:rPr>
            </w:pPr>
            <w:r>
              <w:rPr>
                <w:sz w:val="22"/>
              </w:rPr>
              <w:t>0,0001</w:t>
            </w:r>
          </w:p>
        </w:tc>
      </w:tr>
      <w:tr>
        <w:trPr>
          <w:trHeight w:val="1305" w:hRule="atLeast"/>
        </w:trPr>
        <w:tc>
          <w:tcPr>
            <w:tcW w:w="2721" w:type="dxa"/>
            <w:tcBorders>
              <w:bottom w:val="single" w:sz="4" w:space="0" w:color="000000"/>
            </w:tcBorders>
          </w:tcPr>
          <w:p>
            <w:pPr>
              <w:pStyle w:val="TableParagraph"/>
              <w:rPr>
                <w:sz w:val="22"/>
              </w:rPr>
            </w:pPr>
          </w:p>
        </w:tc>
        <w:tc>
          <w:tcPr>
            <w:tcW w:w="2080" w:type="dxa"/>
            <w:vMerge/>
            <w:tcBorders>
              <w:top w:val="nil"/>
              <w:bottom w:val="single" w:sz="4" w:space="0" w:color="000000"/>
            </w:tcBorders>
          </w:tcPr>
          <w:p>
            <w:pPr>
              <w:rPr>
                <w:sz w:val="2"/>
                <w:szCs w:val="2"/>
              </w:rPr>
            </w:pPr>
          </w:p>
        </w:tc>
        <w:tc>
          <w:tcPr>
            <w:tcW w:w="1541" w:type="dxa"/>
            <w:tcBorders>
              <w:bottom w:val="single" w:sz="4" w:space="0" w:color="000000"/>
            </w:tcBorders>
          </w:tcPr>
          <w:p>
            <w:pPr>
              <w:pStyle w:val="TableParagraph"/>
              <w:spacing w:before="109"/>
              <w:ind w:left="983"/>
              <w:rPr>
                <w:sz w:val="22"/>
              </w:rPr>
            </w:pPr>
            <w:r>
              <w:rPr>
                <w:sz w:val="22"/>
              </w:rPr>
              <w:t>105</w:t>
            </w:r>
          </w:p>
        </w:tc>
        <w:tc>
          <w:tcPr>
            <w:tcW w:w="2171" w:type="dxa"/>
            <w:tcBorders>
              <w:bottom w:val="single" w:sz="4" w:space="0" w:color="000000"/>
            </w:tcBorders>
          </w:tcPr>
          <w:p>
            <w:pPr>
              <w:pStyle w:val="TableParagraph"/>
              <w:spacing w:before="109"/>
              <w:ind w:left="940" w:right="861"/>
              <w:jc w:val="center"/>
              <w:rPr>
                <w:sz w:val="22"/>
              </w:rPr>
            </w:pPr>
            <w:r>
              <w:rPr>
                <w:sz w:val="22"/>
              </w:rPr>
              <w:t>105</w:t>
            </w:r>
          </w:p>
        </w:tc>
      </w:tr>
      <w:tr>
        <w:trPr>
          <w:trHeight w:val="874" w:hRule="atLeast"/>
        </w:trPr>
        <w:tc>
          <w:tcPr>
            <w:tcW w:w="2721" w:type="dxa"/>
            <w:tcBorders>
              <w:top w:val="single" w:sz="4" w:space="0" w:color="000000"/>
            </w:tcBorders>
          </w:tcPr>
          <w:p>
            <w:pPr>
              <w:pStyle w:val="TableParagraph"/>
              <w:rPr>
                <w:sz w:val="22"/>
              </w:rPr>
            </w:pPr>
          </w:p>
        </w:tc>
        <w:tc>
          <w:tcPr>
            <w:tcW w:w="2080" w:type="dxa"/>
            <w:vMerge w:val="restart"/>
            <w:tcBorders>
              <w:top w:val="single" w:sz="4" w:space="0" w:color="000000"/>
              <w:bottom w:val="single" w:sz="4" w:space="0" w:color="000000"/>
            </w:tcBorders>
          </w:tcPr>
          <w:p>
            <w:pPr>
              <w:pStyle w:val="TableParagraph"/>
              <w:rPr>
                <w:b/>
                <w:sz w:val="24"/>
              </w:rPr>
            </w:pPr>
          </w:p>
          <w:p>
            <w:pPr>
              <w:pStyle w:val="TableParagraph"/>
              <w:spacing w:line="276" w:lineRule="auto" w:before="214"/>
              <w:ind w:left="283" w:right="328" w:firstLine="343"/>
              <w:rPr>
                <w:b/>
                <w:sz w:val="22"/>
              </w:rPr>
            </w:pPr>
            <w:r>
              <w:rPr>
                <w:b/>
                <w:sz w:val="22"/>
              </w:rPr>
              <w:t>Pearson korelasyonu (r)</w:t>
            </w:r>
          </w:p>
          <w:p>
            <w:pPr>
              <w:pStyle w:val="TableParagraph"/>
              <w:spacing w:line="465" w:lineRule="auto" w:before="198"/>
              <w:ind w:left="1030" w:right="888" w:firstLine="35"/>
              <w:jc w:val="center"/>
              <w:rPr>
                <w:b/>
                <w:sz w:val="22"/>
              </w:rPr>
            </w:pPr>
            <w:r>
              <w:rPr>
                <w:b/>
                <w:sz w:val="22"/>
              </w:rPr>
              <w:t>p N</w:t>
            </w:r>
          </w:p>
        </w:tc>
        <w:tc>
          <w:tcPr>
            <w:tcW w:w="1541" w:type="dxa"/>
            <w:tcBorders>
              <w:top w:val="single" w:sz="4" w:space="0" w:color="000000"/>
            </w:tcBorders>
          </w:tcPr>
          <w:p>
            <w:pPr>
              <w:pStyle w:val="TableParagraph"/>
              <w:rPr>
                <w:b/>
                <w:sz w:val="24"/>
              </w:rPr>
            </w:pPr>
          </w:p>
          <w:p>
            <w:pPr>
              <w:pStyle w:val="TableParagraph"/>
              <w:spacing w:before="209"/>
              <w:ind w:left="491"/>
              <w:rPr>
                <w:sz w:val="22"/>
              </w:rPr>
            </w:pPr>
            <w:r>
              <w:rPr>
                <w:sz w:val="22"/>
              </w:rPr>
              <w:t>0,729**</w:t>
            </w:r>
          </w:p>
        </w:tc>
        <w:tc>
          <w:tcPr>
            <w:tcW w:w="2171" w:type="dxa"/>
            <w:tcBorders>
              <w:top w:val="single" w:sz="4" w:space="0" w:color="000000"/>
            </w:tcBorders>
          </w:tcPr>
          <w:p>
            <w:pPr>
              <w:pStyle w:val="TableParagraph"/>
              <w:rPr>
                <w:b/>
                <w:sz w:val="24"/>
              </w:rPr>
            </w:pPr>
          </w:p>
          <w:p>
            <w:pPr>
              <w:pStyle w:val="TableParagraph"/>
              <w:spacing w:before="209"/>
              <w:ind w:left="166"/>
              <w:jc w:val="center"/>
              <w:rPr>
                <w:sz w:val="22"/>
              </w:rPr>
            </w:pPr>
            <w:r>
              <w:rPr>
                <w:w w:val="100"/>
                <w:sz w:val="22"/>
              </w:rPr>
              <w:t>1</w:t>
            </w:r>
          </w:p>
        </w:tc>
      </w:tr>
      <w:tr>
        <w:trPr>
          <w:trHeight w:val="378" w:hRule="atLeast"/>
        </w:trPr>
        <w:tc>
          <w:tcPr>
            <w:tcW w:w="2721" w:type="dxa"/>
          </w:tcPr>
          <w:p>
            <w:pPr>
              <w:pStyle w:val="TableParagraph"/>
              <w:spacing w:line="232" w:lineRule="exact" w:before="127"/>
              <w:ind w:left="218" w:right="261"/>
              <w:jc w:val="center"/>
              <w:rPr>
                <w:b/>
                <w:sz w:val="22"/>
              </w:rPr>
            </w:pPr>
            <w:r>
              <w:rPr>
                <w:b/>
                <w:sz w:val="22"/>
              </w:rPr>
              <w:t>Liderlik Ekip Yönetimi</w:t>
            </w:r>
          </w:p>
        </w:tc>
        <w:tc>
          <w:tcPr>
            <w:tcW w:w="2080" w:type="dxa"/>
            <w:vMerge/>
            <w:tcBorders>
              <w:top w:val="nil"/>
              <w:bottom w:val="single" w:sz="4" w:space="0" w:color="000000"/>
            </w:tcBorders>
          </w:tcPr>
          <w:p>
            <w:pPr>
              <w:rPr>
                <w:sz w:val="2"/>
                <w:szCs w:val="2"/>
              </w:rPr>
            </w:pPr>
          </w:p>
        </w:tc>
        <w:tc>
          <w:tcPr>
            <w:tcW w:w="1541" w:type="dxa"/>
          </w:tcPr>
          <w:p>
            <w:pPr>
              <w:pStyle w:val="TableParagraph"/>
              <w:rPr>
                <w:sz w:val="22"/>
              </w:rPr>
            </w:pPr>
          </w:p>
        </w:tc>
        <w:tc>
          <w:tcPr>
            <w:tcW w:w="2171" w:type="dxa"/>
          </w:tcPr>
          <w:p>
            <w:pPr>
              <w:pStyle w:val="TableParagraph"/>
              <w:rPr>
                <w:sz w:val="22"/>
              </w:rPr>
            </w:pPr>
          </w:p>
        </w:tc>
      </w:tr>
      <w:tr>
        <w:trPr>
          <w:trHeight w:val="496" w:hRule="atLeast"/>
        </w:trPr>
        <w:tc>
          <w:tcPr>
            <w:tcW w:w="2721" w:type="dxa"/>
          </w:tcPr>
          <w:p>
            <w:pPr>
              <w:pStyle w:val="TableParagraph"/>
              <w:spacing w:line="243" w:lineRule="exact"/>
              <w:ind w:left="359"/>
              <w:rPr>
                <w:b/>
                <w:sz w:val="22"/>
              </w:rPr>
            </w:pPr>
            <w:r>
              <w:rPr>
                <w:b/>
                <w:sz w:val="22"/>
              </w:rPr>
              <w:t>Çalışma Yönetimi</w:t>
            </w:r>
            <w:r>
              <w:rPr>
                <w:b/>
                <w:spacing w:val="-7"/>
                <w:sz w:val="22"/>
              </w:rPr>
              <w:t> </w:t>
            </w:r>
            <w:r>
              <w:rPr>
                <w:b/>
                <w:sz w:val="22"/>
              </w:rPr>
              <w:t>ve</w:t>
            </w:r>
          </w:p>
          <w:p>
            <w:pPr>
              <w:pStyle w:val="TableParagraph"/>
              <w:spacing w:line="232" w:lineRule="exact" w:before="1"/>
              <w:ind w:left="364"/>
              <w:rPr>
                <w:b/>
                <w:sz w:val="22"/>
              </w:rPr>
            </w:pPr>
            <w:r>
              <w:rPr>
                <w:b/>
                <w:sz w:val="22"/>
              </w:rPr>
              <w:t>Stres Yönetimi</w:t>
            </w:r>
            <w:r>
              <w:rPr>
                <w:b/>
                <w:spacing w:val="-8"/>
                <w:sz w:val="22"/>
              </w:rPr>
              <w:t> </w:t>
            </w:r>
            <w:r>
              <w:rPr>
                <w:b/>
                <w:sz w:val="22"/>
              </w:rPr>
              <w:t>Puan</w:t>
            </w:r>
          </w:p>
        </w:tc>
        <w:tc>
          <w:tcPr>
            <w:tcW w:w="2080" w:type="dxa"/>
            <w:vMerge/>
            <w:tcBorders>
              <w:top w:val="nil"/>
              <w:bottom w:val="single" w:sz="4" w:space="0" w:color="000000"/>
            </w:tcBorders>
          </w:tcPr>
          <w:p>
            <w:pPr>
              <w:rPr>
                <w:sz w:val="2"/>
                <w:szCs w:val="2"/>
              </w:rPr>
            </w:pPr>
          </w:p>
        </w:tc>
        <w:tc>
          <w:tcPr>
            <w:tcW w:w="1541" w:type="dxa"/>
          </w:tcPr>
          <w:p>
            <w:pPr>
              <w:pStyle w:val="TableParagraph"/>
              <w:spacing w:before="194"/>
              <w:ind w:left="349"/>
              <w:rPr>
                <w:sz w:val="22"/>
              </w:rPr>
            </w:pPr>
            <w:r>
              <w:rPr>
                <w:sz w:val="22"/>
              </w:rPr>
              <w:t>0,0001</w:t>
            </w:r>
          </w:p>
        </w:tc>
        <w:tc>
          <w:tcPr>
            <w:tcW w:w="2171" w:type="dxa"/>
          </w:tcPr>
          <w:p>
            <w:pPr>
              <w:pStyle w:val="TableParagraph"/>
              <w:rPr>
                <w:sz w:val="22"/>
              </w:rPr>
            </w:pPr>
          </w:p>
        </w:tc>
      </w:tr>
      <w:tr>
        <w:trPr>
          <w:trHeight w:val="675" w:hRule="atLeast"/>
        </w:trPr>
        <w:tc>
          <w:tcPr>
            <w:tcW w:w="2721" w:type="dxa"/>
            <w:tcBorders>
              <w:bottom w:val="single" w:sz="4" w:space="0" w:color="000000"/>
            </w:tcBorders>
          </w:tcPr>
          <w:p>
            <w:pPr>
              <w:pStyle w:val="TableParagraph"/>
              <w:spacing w:line="243" w:lineRule="exact"/>
              <w:ind w:left="218" w:right="261"/>
              <w:jc w:val="center"/>
              <w:rPr>
                <w:b/>
                <w:sz w:val="22"/>
              </w:rPr>
            </w:pPr>
            <w:r>
              <w:rPr>
                <w:b/>
                <w:sz w:val="22"/>
              </w:rPr>
              <w:t>Ortalamaları</w:t>
            </w:r>
          </w:p>
        </w:tc>
        <w:tc>
          <w:tcPr>
            <w:tcW w:w="2080" w:type="dxa"/>
            <w:vMerge/>
            <w:tcBorders>
              <w:top w:val="nil"/>
              <w:bottom w:val="single" w:sz="4" w:space="0" w:color="000000"/>
            </w:tcBorders>
          </w:tcPr>
          <w:p>
            <w:pPr>
              <w:rPr>
                <w:sz w:val="2"/>
                <w:szCs w:val="2"/>
              </w:rPr>
            </w:pPr>
          </w:p>
        </w:tc>
        <w:tc>
          <w:tcPr>
            <w:tcW w:w="1541" w:type="dxa"/>
            <w:tcBorders>
              <w:bottom w:val="single" w:sz="4" w:space="0" w:color="000000"/>
            </w:tcBorders>
          </w:tcPr>
          <w:p>
            <w:pPr>
              <w:pStyle w:val="TableParagraph"/>
              <w:spacing w:before="178"/>
              <w:ind w:left="431"/>
              <w:rPr>
                <w:sz w:val="22"/>
              </w:rPr>
            </w:pPr>
            <w:r>
              <w:rPr>
                <w:sz w:val="22"/>
              </w:rPr>
              <w:t>105</w:t>
            </w:r>
          </w:p>
        </w:tc>
        <w:tc>
          <w:tcPr>
            <w:tcW w:w="2171" w:type="dxa"/>
            <w:tcBorders>
              <w:bottom w:val="single" w:sz="4" w:space="0" w:color="000000"/>
            </w:tcBorders>
          </w:tcPr>
          <w:p>
            <w:pPr>
              <w:pStyle w:val="TableParagraph"/>
              <w:spacing w:before="178"/>
              <w:ind w:right="603"/>
              <w:jc w:val="right"/>
              <w:rPr>
                <w:sz w:val="22"/>
              </w:rPr>
            </w:pPr>
            <w:r>
              <w:rPr>
                <w:sz w:val="22"/>
              </w:rPr>
              <w:t>105</w:t>
            </w:r>
          </w:p>
        </w:tc>
      </w:tr>
    </w:tbl>
    <w:p>
      <w:pPr>
        <w:pStyle w:val="BodyText"/>
        <w:ind w:left="1128"/>
      </w:pPr>
      <w:r>
        <w:rPr/>
        <w:t>** : Korelasyon 0,01 düzeyinde anlamlı ilişki vardır.</w:t>
      </w:r>
    </w:p>
    <w:p>
      <w:pPr>
        <w:pStyle w:val="BodyText"/>
        <w:spacing w:before="185"/>
        <w:ind w:left="1836"/>
      </w:pPr>
      <w:r>
        <w:rPr/>
        <w:t>Sekizinci hipotezde basit doğrusal korelasyon analizi kullanılmıştır.</w:t>
      </w:r>
    </w:p>
    <w:p>
      <w:pPr>
        <w:pStyle w:val="BodyText"/>
        <w:spacing w:line="360" w:lineRule="auto" w:before="136"/>
        <w:ind w:left="1128" w:right="612" w:firstLine="708"/>
        <w:jc w:val="both"/>
      </w:pPr>
      <w:r>
        <w:rPr/>
        <w:t>Korelasyon(ilgileşim)</w:t>
      </w:r>
      <w:r>
        <w:rPr>
          <w:spacing w:val="-10"/>
        </w:rPr>
        <w:t> </w:t>
      </w:r>
      <w:r>
        <w:rPr/>
        <w:t>testi,</w:t>
      </w:r>
      <w:r>
        <w:rPr>
          <w:spacing w:val="-10"/>
        </w:rPr>
        <w:t> </w:t>
      </w:r>
      <w:r>
        <w:rPr/>
        <w:t>iki</w:t>
      </w:r>
      <w:r>
        <w:rPr>
          <w:spacing w:val="-9"/>
        </w:rPr>
        <w:t> </w:t>
      </w:r>
      <w:r>
        <w:rPr/>
        <w:t>veri</w:t>
      </w:r>
      <w:r>
        <w:rPr>
          <w:spacing w:val="-10"/>
        </w:rPr>
        <w:t> </w:t>
      </w:r>
      <w:r>
        <w:rPr/>
        <w:t>dizisi</w:t>
      </w:r>
      <w:r>
        <w:rPr>
          <w:spacing w:val="-9"/>
        </w:rPr>
        <w:t> </w:t>
      </w:r>
      <w:r>
        <w:rPr/>
        <w:t>arasındaki</w:t>
      </w:r>
      <w:r>
        <w:rPr>
          <w:spacing w:val="-9"/>
        </w:rPr>
        <w:t> </w:t>
      </w:r>
      <w:r>
        <w:rPr/>
        <w:t>ilişkinin</w:t>
      </w:r>
      <w:r>
        <w:rPr>
          <w:spacing w:val="-9"/>
        </w:rPr>
        <w:t> </w:t>
      </w:r>
      <w:r>
        <w:rPr/>
        <w:t>miktarını</w:t>
      </w:r>
      <w:r>
        <w:rPr>
          <w:spacing w:val="-9"/>
        </w:rPr>
        <w:t> </w:t>
      </w:r>
      <w:r>
        <w:rPr/>
        <w:t>ve</w:t>
      </w:r>
      <w:r>
        <w:rPr>
          <w:spacing w:val="-8"/>
        </w:rPr>
        <w:t> </w:t>
      </w:r>
      <w:r>
        <w:rPr/>
        <w:t>yönünü gösteren istatistiksel bir işlemdir ve bu işlemin sonunda, korelasyon katsayısı olarak adlandırılan</w:t>
      </w:r>
      <w:r>
        <w:rPr>
          <w:spacing w:val="21"/>
        </w:rPr>
        <w:t> </w:t>
      </w:r>
      <w:r>
        <w:rPr/>
        <w:t>ve</w:t>
      </w:r>
      <w:r>
        <w:rPr>
          <w:spacing w:val="25"/>
        </w:rPr>
        <w:t> </w:t>
      </w:r>
      <w:r>
        <w:rPr/>
        <w:t>-1</w:t>
      </w:r>
      <w:r>
        <w:rPr>
          <w:spacing w:val="22"/>
        </w:rPr>
        <w:t> </w:t>
      </w:r>
      <w:r>
        <w:rPr/>
        <w:t>ile</w:t>
      </w:r>
      <w:r>
        <w:rPr>
          <w:spacing w:val="24"/>
        </w:rPr>
        <w:t> </w:t>
      </w:r>
      <w:r>
        <w:rPr/>
        <w:t>+1</w:t>
      </w:r>
      <w:r>
        <w:rPr>
          <w:spacing w:val="24"/>
        </w:rPr>
        <w:t> </w:t>
      </w:r>
      <w:r>
        <w:rPr/>
        <w:t>arasında</w:t>
      </w:r>
      <w:r>
        <w:rPr>
          <w:spacing w:val="21"/>
        </w:rPr>
        <w:t> </w:t>
      </w:r>
      <w:r>
        <w:rPr/>
        <w:t>değer</w:t>
      </w:r>
      <w:r>
        <w:rPr>
          <w:spacing w:val="24"/>
        </w:rPr>
        <w:t> </w:t>
      </w:r>
      <w:r>
        <w:rPr/>
        <w:t>alan</w:t>
      </w:r>
      <w:r>
        <w:rPr>
          <w:spacing w:val="22"/>
        </w:rPr>
        <w:t> </w:t>
      </w:r>
      <w:r>
        <w:rPr/>
        <w:t>bir</w:t>
      </w:r>
      <w:r>
        <w:rPr>
          <w:spacing w:val="27"/>
        </w:rPr>
        <w:t> </w:t>
      </w:r>
      <w:r>
        <w:rPr/>
        <w:t>sonuç</w:t>
      </w:r>
      <w:r>
        <w:rPr>
          <w:spacing w:val="22"/>
        </w:rPr>
        <w:t> </w:t>
      </w:r>
      <w:r>
        <w:rPr/>
        <w:t>elde</w:t>
      </w:r>
      <w:r>
        <w:rPr>
          <w:spacing w:val="24"/>
        </w:rPr>
        <w:t> </w:t>
      </w:r>
      <w:r>
        <w:rPr/>
        <w:t>edilir.</w:t>
      </w:r>
      <w:r>
        <w:rPr>
          <w:spacing w:val="25"/>
        </w:rPr>
        <w:t> </w:t>
      </w:r>
      <w:r>
        <w:rPr/>
        <w:t>Bu</w:t>
      </w:r>
      <w:r>
        <w:rPr>
          <w:spacing w:val="22"/>
        </w:rPr>
        <w:t> </w:t>
      </w:r>
      <w:r>
        <w:rPr/>
        <w:t>sonuçlarda</w:t>
      </w:r>
      <w:r>
        <w:rPr>
          <w:spacing w:val="23"/>
        </w:rPr>
        <w:t> </w:t>
      </w:r>
      <w:r>
        <w:rPr/>
        <w:t>r</w:t>
      </w:r>
      <w:r>
        <w:rPr>
          <w:spacing w:val="22"/>
        </w:rPr>
        <w:t> </w:t>
      </w:r>
      <w:r>
        <w:rPr/>
        <w:t>ile</w:t>
      </w:r>
    </w:p>
    <w:p>
      <w:pPr>
        <w:spacing w:after="0" w:line="360" w:lineRule="auto"/>
        <w:jc w:val="both"/>
        <w:sectPr>
          <w:pgSz w:w="11910" w:h="16840"/>
          <w:pgMar w:header="0" w:footer="976" w:top="1580" w:bottom="1240" w:left="1140" w:right="520"/>
        </w:sectPr>
      </w:pPr>
    </w:p>
    <w:p>
      <w:pPr>
        <w:pStyle w:val="BodyText"/>
        <w:spacing w:line="360" w:lineRule="auto" w:before="98"/>
        <w:ind w:left="1128" w:right="608"/>
        <w:jc w:val="both"/>
      </w:pPr>
      <w:r>
        <w:rPr/>
        <w:t>gösterilir (-1≤ r ≤+1). r değeri ne kadar ±1’e yakın olursa, aralarındaki ilişki o kadar kuvvetli yada fazla demektir. Korelasyon katsayısının önündeki işareti ilişkinin yönünü göstermektedir. Pozitif(+) ilişki, değişim yönünün aynı olduğu anlamına gelmektedir, yani aralarında oluşan ilişki sorgulanan değişkenlerin biri artıyorsa diğeri de artıyor demektir.</w:t>
      </w:r>
      <w:r>
        <w:rPr>
          <w:spacing w:val="-7"/>
        </w:rPr>
        <w:t> </w:t>
      </w:r>
      <w:r>
        <w:rPr/>
        <w:t>Negatif</w:t>
      </w:r>
      <w:r>
        <w:rPr>
          <w:spacing w:val="-7"/>
        </w:rPr>
        <w:t> </w:t>
      </w:r>
      <w:r>
        <w:rPr/>
        <w:t>(-)</w:t>
      </w:r>
      <w:r>
        <w:rPr>
          <w:spacing w:val="-8"/>
        </w:rPr>
        <w:t> </w:t>
      </w:r>
      <w:r>
        <w:rPr/>
        <w:t>ilişki</w:t>
      </w:r>
      <w:r>
        <w:rPr>
          <w:spacing w:val="-5"/>
        </w:rPr>
        <w:t> </w:t>
      </w:r>
      <w:r>
        <w:rPr/>
        <w:t>ise,</w:t>
      </w:r>
      <w:r>
        <w:rPr>
          <w:spacing w:val="-7"/>
        </w:rPr>
        <w:t> </w:t>
      </w:r>
      <w:r>
        <w:rPr/>
        <w:t>değişim</w:t>
      </w:r>
      <w:r>
        <w:rPr>
          <w:spacing w:val="-4"/>
        </w:rPr>
        <w:t> </w:t>
      </w:r>
      <w:r>
        <w:rPr/>
        <w:t>yönünün</w:t>
      </w:r>
      <w:r>
        <w:rPr>
          <w:spacing w:val="-7"/>
        </w:rPr>
        <w:t> </w:t>
      </w:r>
      <w:r>
        <w:rPr/>
        <w:t>farklı</w:t>
      </w:r>
      <w:r>
        <w:rPr>
          <w:spacing w:val="-7"/>
        </w:rPr>
        <w:t> </w:t>
      </w:r>
      <w:r>
        <w:rPr/>
        <w:t>olduğu</w:t>
      </w:r>
      <w:r>
        <w:rPr>
          <w:spacing w:val="-6"/>
        </w:rPr>
        <w:t> </w:t>
      </w:r>
      <w:r>
        <w:rPr/>
        <w:t>anlamına</w:t>
      </w:r>
      <w:r>
        <w:rPr>
          <w:spacing w:val="-8"/>
        </w:rPr>
        <w:t> </w:t>
      </w:r>
      <w:r>
        <w:rPr/>
        <w:t>gelmektedir</w:t>
      </w:r>
      <w:r>
        <w:rPr>
          <w:spacing w:val="-5"/>
        </w:rPr>
        <w:t> </w:t>
      </w:r>
      <w:r>
        <w:rPr/>
        <w:t>yani değişkenlerin birisi artarken diğeri de azalmayı ifade eder. Korelasyon katsayısının ±1 olması mükemmel düzeyde bir ilişki demektir ve tüm verilerde artma </w:t>
      </w:r>
      <w:r>
        <w:rPr>
          <w:spacing w:val="-3"/>
        </w:rPr>
        <w:t>ya </w:t>
      </w:r>
      <w:r>
        <w:rPr/>
        <w:t>da azalma eğilimi</w:t>
      </w:r>
      <w:r>
        <w:rPr>
          <w:spacing w:val="-9"/>
        </w:rPr>
        <w:t> </w:t>
      </w:r>
      <w:r>
        <w:rPr/>
        <w:t>olduğunu</w:t>
      </w:r>
      <w:r>
        <w:rPr>
          <w:spacing w:val="-7"/>
        </w:rPr>
        <w:t> </w:t>
      </w:r>
      <w:r>
        <w:rPr/>
        <w:t>göstermektedir.</w:t>
      </w:r>
      <w:r>
        <w:rPr>
          <w:spacing w:val="-10"/>
        </w:rPr>
        <w:t> </w:t>
      </w:r>
      <w:r>
        <w:rPr/>
        <w:t>Korelasyon</w:t>
      </w:r>
      <w:r>
        <w:rPr>
          <w:spacing w:val="-10"/>
        </w:rPr>
        <w:t> </w:t>
      </w:r>
      <w:r>
        <w:rPr/>
        <w:t>katsayısının</w:t>
      </w:r>
      <w:r>
        <w:rPr>
          <w:spacing w:val="-8"/>
        </w:rPr>
        <w:t> </w:t>
      </w:r>
      <w:r>
        <w:rPr/>
        <w:t>sıfır</w:t>
      </w:r>
      <w:r>
        <w:rPr>
          <w:spacing w:val="-5"/>
        </w:rPr>
        <w:t> </w:t>
      </w:r>
      <w:r>
        <w:rPr/>
        <w:t>(0)</w:t>
      </w:r>
      <w:r>
        <w:rPr>
          <w:spacing w:val="-9"/>
        </w:rPr>
        <w:t> </w:t>
      </w:r>
      <w:r>
        <w:rPr/>
        <w:t>olması</w:t>
      </w:r>
      <w:r>
        <w:rPr>
          <w:spacing w:val="-9"/>
        </w:rPr>
        <w:t> </w:t>
      </w:r>
      <w:r>
        <w:rPr/>
        <w:t>ise</w:t>
      </w:r>
      <w:r>
        <w:rPr>
          <w:spacing w:val="-9"/>
        </w:rPr>
        <w:t> </w:t>
      </w:r>
      <w:r>
        <w:rPr/>
        <w:t>değişkenler arasında hiç ilişkinin olmadı anlamına gelmektedir (Can, 2014:</w:t>
      </w:r>
      <w:r>
        <w:rPr>
          <w:spacing w:val="-2"/>
        </w:rPr>
        <w:t> </w:t>
      </w:r>
      <w:r>
        <w:rPr/>
        <w:t>347).</w:t>
      </w:r>
    </w:p>
    <w:p>
      <w:pPr>
        <w:pStyle w:val="BodyText"/>
        <w:spacing w:line="360" w:lineRule="auto"/>
        <w:ind w:left="1128" w:right="611" w:firstLine="708"/>
        <w:jc w:val="both"/>
      </w:pPr>
      <w:r>
        <w:rPr/>
        <w:t>Bu hipotezden elde edilen verilere göre p değeri 0,0001 çıkmıştır. Anlamlılık değeri 0,01 den küçük olduğundan dolayı aralarında anlamlı bir ilişki bulunmaktadır. Çalışmaya katılan personellerin personel ve yöneticiler hakkında düşünceler ile liderlik, ekip yönetimi, çalışma ve stres yönetimi arasında pozitif yönde 0,729’luk bir ilişki olduğunu ve bu ilişkinin anlamlı düzeyde olduğu saptanmıştır. Böylelikle sekizinci hipotez kabul edilmiştir.</w:t>
      </w:r>
    </w:p>
    <w:p>
      <w:pPr>
        <w:pStyle w:val="BodyText"/>
        <w:spacing w:line="360" w:lineRule="auto"/>
        <w:ind w:left="1128" w:right="616" w:firstLine="708"/>
        <w:jc w:val="both"/>
      </w:pPr>
      <w:r>
        <w:rPr/>
        <w:t>H9: Gümüşhane 112’ de çalışan personelin triaj, kayıtlar ve özel patolojiler ile ilgili düşünceleri, daha önce bir afette veya olağan dışı durumda görev alıp almama durumuna göre anlamlı bir farklılık göstermektedir.</w:t>
      </w:r>
    </w:p>
    <w:p>
      <w:pPr>
        <w:pStyle w:val="BodyText"/>
        <w:spacing w:line="360" w:lineRule="auto"/>
        <w:ind w:left="1128" w:right="617" w:firstLine="708"/>
        <w:jc w:val="both"/>
      </w:pPr>
      <w:r>
        <w:rPr/>
        <w:t>Araştırma grubundaki kişilerin triaj, kayıtlar ve özel patolojiler ile ilgili düşüncelerinin daha önce afette veya olağan dışı durumda görev alma durumuna göre karşılaştırılması Tablo 4. 27’de gösterilmiştir.</w:t>
      </w:r>
    </w:p>
    <w:p>
      <w:pPr>
        <w:spacing w:after="0" w:line="360" w:lineRule="auto"/>
        <w:jc w:val="both"/>
        <w:sectPr>
          <w:pgSz w:w="11910" w:h="16840"/>
          <w:pgMar w:header="0" w:footer="976" w:top="1580" w:bottom="1240" w:left="1140" w:right="520"/>
        </w:sectPr>
      </w:pPr>
    </w:p>
    <w:p>
      <w:pPr>
        <w:pStyle w:val="Heading1"/>
        <w:spacing w:line="256" w:lineRule="auto" w:before="102"/>
        <w:ind w:left="1560" w:right="1049" w:firstLine="4"/>
        <w:jc w:val="center"/>
      </w:pPr>
      <w:r>
        <w:rPr/>
        <w:t>Tablo 4. 27. Gümüşhane 112’de Çalışan Personelin Triaj, Kayıtlar ve Özel Patolojiler İle İlgili Düşüncelerinin Daha Önce Bir Afette veya Olağan Dışı Durumda Görev Alma Durumuna Göre Karşılaştırılması</w:t>
      </w:r>
    </w:p>
    <w:p>
      <w:pPr>
        <w:pStyle w:val="BodyText"/>
        <w:spacing w:before="1"/>
        <w:rPr>
          <w:b/>
          <w:sz w:val="15"/>
        </w:rPr>
      </w:pPr>
    </w:p>
    <w:tbl>
      <w:tblPr>
        <w:tblW w:w="0" w:type="auto"/>
        <w:jc w:val="left"/>
        <w:tblInd w:w="11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358"/>
        <w:gridCol w:w="814"/>
        <w:gridCol w:w="676"/>
        <w:gridCol w:w="1313"/>
        <w:gridCol w:w="724"/>
        <w:gridCol w:w="1221"/>
        <w:gridCol w:w="1191"/>
        <w:gridCol w:w="723"/>
        <w:gridCol w:w="778"/>
      </w:tblGrid>
      <w:tr>
        <w:trPr>
          <w:trHeight w:val="761" w:hRule="atLeast"/>
        </w:trPr>
        <w:tc>
          <w:tcPr>
            <w:tcW w:w="1358" w:type="dxa"/>
            <w:vMerge w:val="restart"/>
            <w:tcBorders>
              <w:top w:val="single" w:sz="4" w:space="0" w:color="000000"/>
            </w:tcBorders>
          </w:tcPr>
          <w:p>
            <w:pPr>
              <w:pStyle w:val="TableParagraph"/>
              <w:rPr>
                <w:sz w:val="22"/>
              </w:rPr>
            </w:pPr>
          </w:p>
        </w:tc>
        <w:tc>
          <w:tcPr>
            <w:tcW w:w="1490" w:type="dxa"/>
            <w:gridSpan w:val="2"/>
            <w:vMerge w:val="restart"/>
            <w:tcBorders>
              <w:top w:val="single" w:sz="4" w:space="0" w:color="000000"/>
            </w:tcBorders>
          </w:tcPr>
          <w:p>
            <w:pPr>
              <w:pStyle w:val="TableParagraph"/>
              <w:rPr>
                <w:b/>
                <w:sz w:val="24"/>
              </w:rPr>
            </w:pPr>
          </w:p>
          <w:p>
            <w:pPr>
              <w:pStyle w:val="TableParagraph"/>
              <w:spacing w:before="10"/>
              <w:rPr>
                <w:b/>
                <w:sz w:val="19"/>
              </w:rPr>
            </w:pPr>
          </w:p>
          <w:p>
            <w:pPr>
              <w:pStyle w:val="TableParagraph"/>
              <w:ind w:left="59" w:right="249" w:hanging="1"/>
              <w:jc w:val="center"/>
              <w:rPr>
                <w:b/>
                <w:sz w:val="22"/>
              </w:rPr>
            </w:pPr>
            <w:r>
              <w:rPr>
                <w:b/>
                <w:sz w:val="22"/>
              </w:rPr>
              <w:t>Levene’nin Varyans Eşitliği Testi</w:t>
            </w:r>
          </w:p>
        </w:tc>
        <w:tc>
          <w:tcPr>
            <w:tcW w:w="1313" w:type="dxa"/>
            <w:vMerge w:val="restart"/>
            <w:tcBorders>
              <w:top w:val="single" w:sz="4" w:space="0" w:color="000000"/>
            </w:tcBorders>
          </w:tcPr>
          <w:p>
            <w:pPr>
              <w:pStyle w:val="TableParagraph"/>
              <w:ind w:left="45" w:right="157" w:hanging="2"/>
              <w:jc w:val="center"/>
              <w:rPr>
                <w:b/>
                <w:sz w:val="22"/>
              </w:rPr>
            </w:pPr>
            <w:r>
              <w:rPr>
                <w:b/>
                <w:sz w:val="22"/>
              </w:rPr>
              <w:t>Afet ya da Olağan Dışı Durumda Görev Yapma</w:t>
            </w:r>
          </w:p>
          <w:p>
            <w:pPr>
              <w:pStyle w:val="TableParagraph"/>
              <w:tabs>
                <w:tab w:pos="196" w:val="left" w:leader="none"/>
                <w:tab w:pos="5955" w:val="left" w:leader="none"/>
              </w:tabs>
              <w:ind w:left="-2838" w:right="-4652"/>
              <w:rPr>
                <w:b/>
                <w:sz w:val="22"/>
              </w:rPr>
            </w:pPr>
            <w:r>
              <w:rPr>
                <w:b/>
                <w:w w:val="100"/>
                <w:sz w:val="22"/>
                <w:u w:val="single"/>
              </w:rPr>
              <w:t> </w:t>
            </w:r>
            <w:r>
              <w:rPr>
                <w:b/>
                <w:sz w:val="22"/>
                <w:u w:val="single"/>
              </w:rPr>
              <w:tab/>
              <w:t>Durumu</w:t>
              <w:tab/>
            </w:r>
          </w:p>
        </w:tc>
        <w:tc>
          <w:tcPr>
            <w:tcW w:w="724" w:type="dxa"/>
            <w:tcBorders>
              <w:top w:val="single" w:sz="4" w:space="0" w:color="000000"/>
            </w:tcBorders>
          </w:tcPr>
          <w:p>
            <w:pPr>
              <w:pStyle w:val="TableParagraph"/>
              <w:rPr>
                <w:sz w:val="22"/>
              </w:rPr>
            </w:pPr>
          </w:p>
        </w:tc>
        <w:tc>
          <w:tcPr>
            <w:tcW w:w="1221" w:type="dxa"/>
            <w:tcBorders>
              <w:top w:val="single" w:sz="4" w:space="0" w:color="000000"/>
            </w:tcBorders>
          </w:tcPr>
          <w:p>
            <w:pPr>
              <w:pStyle w:val="TableParagraph"/>
              <w:rPr>
                <w:sz w:val="22"/>
              </w:rPr>
            </w:pPr>
          </w:p>
        </w:tc>
        <w:tc>
          <w:tcPr>
            <w:tcW w:w="1191" w:type="dxa"/>
            <w:vMerge w:val="restart"/>
            <w:tcBorders>
              <w:top w:val="single" w:sz="4" w:space="0" w:color="000000"/>
            </w:tcBorders>
          </w:tcPr>
          <w:p>
            <w:pPr>
              <w:pStyle w:val="TableParagraph"/>
              <w:rPr>
                <w:b/>
                <w:sz w:val="24"/>
              </w:rPr>
            </w:pPr>
          </w:p>
          <w:p>
            <w:pPr>
              <w:pStyle w:val="TableParagraph"/>
              <w:spacing w:before="10"/>
              <w:rPr>
                <w:b/>
                <w:sz w:val="19"/>
              </w:rPr>
            </w:pPr>
          </w:p>
          <w:p>
            <w:pPr>
              <w:pStyle w:val="TableParagraph"/>
              <w:ind w:left="248" w:right="185" w:hanging="94"/>
              <w:rPr>
                <w:b/>
                <w:sz w:val="22"/>
              </w:rPr>
            </w:pPr>
            <w:r>
              <w:rPr>
                <w:b/>
                <w:sz w:val="22"/>
              </w:rPr>
              <w:t>Standart Sapma</w:t>
            </w:r>
          </w:p>
        </w:tc>
        <w:tc>
          <w:tcPr>
            <w:tcW w:w="723" w:type="dxa"/>
            <w:tcBorders>
              <w:top w:val="single" w:sz="4" w:space="0" w:color="000000"/>
            </w:tcBorders>
          </w:tcPr>
          <w:p>
            <w:pPr>
              <w:pStyle w:val="TableParagraph"/>
              <w:rPr>
                <w:b/>
                <w:sz w:val="24"/>
              </w:rPr>
            </w:pPr>
          </w:p>
          <w:p>
            <w:pPr>
              <w:pStyle w:val="TableParagraph"/>
              <w:spacing w:before="10"/>
              <w:rPr>
                <w:b/>
                <w:sz w:val="19"/>
              </w:rPr>
            </w:pPr>
          </w:p>
          <w:p>
            <w:pPr>
              <w:pStyle w:val="TableParagraph"/>
              <w:spacing w:line="237" w:lineRule="exact"/>
              <w:ind w:right="115"/>
              <w:jc w:val="center"/>
              <w:rPr>
                <w:b/>
                <w:sz w:val="22"/>
              </w:rPr>
            </w:pPr>
            <w:r>
              <w:rPr>
                <w:b/>
                <w:w w:val="100"/>
                <w:sz w:val="22"/>
              </w:rPr>
              <w:t>t</w:t>
            </w:r>
          </w:p>
        </w:tc>
        <w:tc>
          <w:tcPr>
            <w:tcW w:w="778" w:type="dxa"/>
            <w:tcBorders>
              <w:top w:val="single" w:sz="4" w:space="0" w:color="000000"/>
            </w:tcBorders>
          </w:tcPr>
          <w:p>
            <w:pPr>
              <w:pStyle w:val="TableParagraph"/>
              <w:rPr>
                <w:b/>
                <w:sz w:val="24"/>
              </w:rPr>
            </w:pPr>
          </w:p>
          <w:p>
            <w:pPr>
              <w:pStyle w:val="TableParagraph"/>
              <w:spacing w:before="10"/>
              <w:rPr>
                <w:b/>
                <w:sz w:val="19"/>
              </w:rPr>
            </w:pPr>
          </w:p>
          <w:p>
            <w:pPr>
              <w:pStyle w:val="TableParagraph"/>
              <w:spacing w:line="237" w:lineRule="exact"/>
              <w:ind w:right="60"/>
              <w:jc w:val="center"/>
              <w:rPr>
                <w:b/>
                <w:sz w:val="22"/>
              </w:rPr>
            </w:pPr>
            <w:r>
              <w:rPr>
                <w:b/>
                <w:w w:val="100"/>
                <w:sz w:val="22"/>
              </w:rPr>
              <w:t>p</w:t>
            </w:r>
          </w:p>
        </w:tc>
      </w:tr>
      <w:tr>
        <w:trPr>
          <w:trHeight w:val="1006" w:hRule="atLeast"/>
        </w:trPr>
        <w:tc>
          <w:tcPr>
            <w:tcW w:w="1358" w:type="dxa"/>
            <w:vMerge/>
            <w:tcBorders>
              <w:top w:val="nil"/>
            </w:tcBorders>
          </w:tcPr>
          <w:p>
            <w:pPr>
              <w:rPr>
                <w:sz w:val="2"/>
                <w:szCs w:val="2"/>
              </w:rPr>
            </w:pPr>
          </w:p>
        </w:tc>
        <w:tc>
          <w:tcPr>
            <w:tcW w:w="1490" w:type="dxa"/>
            <w:gridSpan w:val="2"/>
            <w:vMerge/>
            <w:tcBorders>
              <w:top w:val="nil"/>
            </w:tcBorders>
          </w:tcPr>
          <w:p>
            <w:pPr>
              <w:rPr>
                <w:sz w:val="2"/>
                <w:szCs w:val="2"/>
              </w:rPr>
            </w:pPr>
          </w:p>
        </w:tc>
        <w:tc>
          <w:tcPr>
            <w:tcW w:w="1313" w:type="dxa"/>
            <w:vMerge/>
            <w:tcBorders>
              <w:top w:val="nil"/>
            </w:tcBorders>
          </w:tcPr>
          <w:p>
            <w:pPr>
              <w:rPr>
                <w:sz w:val="2"/>
                <w:szCs w:val="2"/>
              </w:rPr>
            </w:pPr>
          </w:p>
        </w:tc>
        <w:tc>
          <w:tcPr>
            <w:tcW w:w="724" w:type="dxa"/>
          </w:tcPr>
          <w:p>
            <w:pPr>
              <w:pStyle w:val="TableParagraph"/>
              <w:spacing w:line="248" w:lineRule="exact"/>
              <w:ind w:right="153"/>
              <w:jc w:val="right"/>
              <w:rPr>
                <w:b/>
                <w:sz w:val="22"/>
              </w:rPr>
            </w:pPr>
            <w:r>
              <w:rPr>
                <w:b/>
                <w:sz w:val="22"/>
              </w:rPr>
              <w:t>Sayı</w:t>
            </w:r>
          </w:p>
        </w:tc>
        <w:tc>
          <w:tcPr>
            <w:tcW w:w="1221" w:type="dxa"/>
          </w:tcPr>
          <w:p>
            <w:pPr>
              <w:pStyle w:val="TableParagraph"/>
              <w:spacing w:line="248" w:lineRule="exact"/>
              <w:ind w:right="150"/>
              <w:jc w:val="right"/>
              <w:rPr>
                <w:b/>
                <w:sz w:val="22"/>
              </w:rPr>
            </w:pPr>
            <w:r>
              <w:rPr>
                <w:b/>
                <w:sz w:val="22"/>
              </w:rPr>
              <w:t>Ortalama</w:t>
            </w:r>
          </w:p>
        </w:tc>
        <w:tc>
          <w:tcPr>
            <w:tcW w:w="1191" w:type="dxa"/>
            <w:vMerge/>
            <w:tcBorders>
              <w:top w:val="nil"/>
            </w:tcBorders>
          </w:tcPr>
          <w:p>
            <w:pPr>
              <w:rPr>
                <w:sz w:val="2"/>
                <w:szCs w:val="2"/>
              </w:rPr>
            </w:pPr>
          </w:p>
        </w:tc>
        <w:tc>
          <w:tcPr>
            <w:tcW w:w="723" w:type="dxa"/>
          </w:tcPr>
          <w:p>
            <w:pPr>
              <w:pStyle w:val="TableParagraph"/>
              <w:rPr>
                <w:sz w:val="22"/>
              </w:rPr>
            </w:pPr>
          </w:p>
        </w:tc>
        <w:tc>
          <w:tcPr>
            <w:tcW w:w="778" w:type="dxa"/>
          </w:tcPr>
          <w:p>
            <w:pPr>
              <w:pStyle w:val="TableParagraph"/>
              <w:rPr>
                <w:sz w:val="22"/>
              </w:rPr>
            </w:pPr>
          </w:p>
        </w:tc>
      </w:tr>
      <w:tr>
        <w:trPr>
          <w:trHeight w:val="520" w:hRule="atLeast"/>
        </w:trPr>
        <w:tc>
          <w:tcPr>
            <w:tcW w:w="1358" w:type="dxa"/>
          </w:tcPr>
          <w:p>
            <w:pPr>
              <w:pStyle w:val="TableParagraph"/>
              <w:spacing w:before="9"/>
              <w:rPr>
                <w:b/>
                <w:sz w:val="22"/>
              </w:rPr>
            </w:pPr>
          </w:p>
          <w:p>
            <w:pPr>
              <w:pStyle w:val="TableParagraph"/>
              <w:spacing w:line="238" w:lineRule="exact"/>
              <w:ind w:left="102" w:right="155"/>
              <w:jc w:val="center"/>
              <w:rPr>
                <w:b/>
                <w:sz w:val="22"/>
              </w:rPr>
            </w:pPr>
            <w:r>
              <w:rPr>
                <w:b/>
                <w:sz w:val="22"/>
              </w:rPr>
              <w:t>Triaj,</w:t>
            </w:r>
          </w:p>
        </w:tc>
        <w:tc>
          <w:tcPr>
            <w:tcW w:w="814" w:type="dxa"/>
          </w:tcPr>
          <w:p>
            <w:pPr>
              <w:pStyle w:val="TableParagraph"/>
              <w:spacing w:before="2"/>
              <w:rPr>
                <w:b/>
                <w:sz w:val="21"/>
              </w:rPr>
            </w:pPr>
          </w:p>
          <w:p>
            <w:pPr>
              <w:pStyle w:val="TableParagraph"/>
              <w:ind w:left="179"/>
              <w:rPr>
                <w:sz w:val="22"/>
              </w:rPr>
            </w:pPr>
            <w:r>
              <w:rPr>
                <w:w w:val="100"/>
                <w:sz w:val="22"/>
              </w:rPr>
              <w:t>F</w:t>
            </w:r>
          </w:p>
        </w:tc>
        <w:tc>
          <w:tcPr>
            <w:tcW w:w="676" w:type="dxa"/>
          </w:tcPr>
          <w:p>
            <w:pPr>
              <w:pStyle w:val="TableParagraph"/>
              <w:spacing w:before="2"/>
              <w:rPr>
                <w:b/>
                <w:sz w:val="21"/>
              </w:rPr>
            </w:pPr>
          </w:p>
          <w:p>
            <w:pPr>
              <w:pStyle w:val="TableParagraph"/>
              <w:ind w:left="189"/>
              <w:jc w:val="center"/>
              <w:rPr>
                <w:b/>
                <w:sz w:val="22"/>
              </w:rPr>
            </w:pPr>
            <w:r>
              <w:rPr>
                <w:b/>
                <w:w w:val="100"/>
                <w:sz w:val="22"/>
              </w:rPr>
              <w:t>p</w:t>
            </w:r>
          </w:p>
        </w:tc>
        <w:tc>
          <w:tcPr>
            <w:tcW w:w="1313" w:type="dxa"/>
          </w:tcPr>
          <w:p>
            <w:pPr>
              <w:pStyle w:val="TableParagraph"/>
              <w:spacing w:before="2"/>
              <w:rPr>
                <w:b/>
                <w:sz w:val="21"/>
              </w:rPr>
            </w:pPr>
          </w:p>
          <w:p>
            <w:pPr>
              <w:pStyle w:val="TableParagraph"/>
              <w:ind w:left="492"/>
              <w:rPr>
                <w:sz w:val="22"/>
              </w:rPr>
            </w:pPr>
            <w:r>
              <w:rPr>
                <w:sz w:val="22"/>
              </w:rPr>
              <w:t>Evet</w:t>
            </w:r>
          </w:p>
        </w:tc>
        <w:tc>
          <w:tcPr>
            <w:tcW w:w="724" w:type="dxa"/>
          </w:tcPr>
          <w:p>
            <w:pPr>
              <w:pStyle w:val="TableParagraph"/>
              <w:spacing w:before="2"/>
              <w:rPr>
                <w:b/>
                <w:sz w:val="21"/>
              </w:rPr>
            </w:pPr>
          </w:p>
          <w:p>
            <w:pPr>
              <w:pStyle w:val="TableParagraph"/>
              <w:ind w:right="143"/>
              <w:jc w:val="right"/>
              <w:rPr>
                <w:sz w:val="22"/>
              </w:rPr>
            </w:pPr>
            <w:r>
              <w:rPr>
                <w:sz w:val="22"/>
              </w:rPr>
              <w:t>23</w:t>
            </w:r>
          </w:p>
        </w:tc>
        <w:tc>
          <w:tcPr>
            <w:tcW w:w="1221" w:type="dxa"/>
          </w:tcPr>
          <w:p>
            <w:pPr>
              <w:pStyle w:val="TableParagraph"/>
              <w:spacing w:before="2"/>
              <w:rPr>
                <w:b/>
                <w:sz w:val="21"/>
              </w:rPr>
            </w:pPr>
          </w:p>
          <w:p>
            <w:pPr>
              <w:pStyle w:val="TableParagraph"/>
              <w:ind w:right="147"/>
              <w:jc w:val="right"/>
              <w:rPr>
                <w:sz w:val="22"/>
              </w:rPr>
            </w:pPr>
            <w:r>
              <w:rPr>
                <w:sz w:val="22"/>
              </w:rPr>
              <w:t>3,3652</w:t>
            </w:r>
          </w:p>
        </w:tc>
        <w:tc>
          <w:tcPr>
            <w:tcW w:w="1191" w:type="dxa"/>
          </w:tcPr>
          <w:p>
            <w:pPr>
              <w:pStyle w:val="TableParagraph"/>
              <w:spacing w:before="2"/>
              <w:rPr>
                <w:b/>
                <w:sz w:val="21"/>
              </w:rPr>
            </w:pPr>
          </w:p>
          <w:p>
            <w:pPr>
              <w:pStyle w:val="TableParagraph"/>
              <w:ind w:right="155"/>
              <w:jc w:val="right"/>
              <w:rPr>
                <w:sz w:val="22"/>
              </w:rPr>
            </w:pPr>
            <w:r>
              <w:rPr>
                <w:sz w:val="22"/>
              </w:rPr>
              <w:t>1,03160</w:t>
            </w:r>
          </w:p>
        </w:tc>
        <w:tc>
          <w:tcPr>
            <w:tcW w:w="723" w:type="dxa"/>
          </w:tcPr>
          <w:p>
            <w:pPr>
              <w:pStyle w:val="TableParagraph"/>
              <w:rPr>
                <w:sz w:val="22"/>
              </w:rPr>
            </w:pPr>
          </w:p>
        </w:tc>
        <w:tc>
          <w:tcPr>
            <w:tcW w:w="778" w:type="dxa"/>
          </w:tcPr>
          <w:p>
            <w:pPr>
              <w:pStyle w:val="TableParagraph"/>
              <w:rPr>
                <w:sz w:val="22"/>
              </w:rPr>
            </w:pPr>
          </w:p>
        </w:tc>
      </w:tr>
      <w:tr>
        <w:trPr>
          <w:trHeight w:val="507" w:hRule="atLeast"/>
        </w:trPr>
        <w:tc>
          <w:tcPr>
            <w:tcW w:w="1358" w:type="dxa"/>
          </w:tcPr>
          <w:p>
            <w:pPr>
              <w:pStyle w:val="TableParagraph"/>
              <w:spacing w:line="249" w:lineRule="exact"/>
              <w:ind w:left="102" w:right="158"/>
              <w:jc w:val="center"/>
              <w:rPr>
                <w:b/>
                <w:sz w:val="22"/>
              </w:rPr>
            </w:pPr>
            <w:r>
              <w:rPr>
                <w:b/>
                <w:sz w:val="22"/>
              </w:rPr>
              <w:t>Kayıtlar ve</w:t>
            </w:r>
          </w:p>
          <w:p>
            <w:pPr>
              <w:pStyle w:val="TableParagraph"/>
              <w:spacing w:line="238" w:lineRule="exact"/>
              <w:ind w:left="102" w:right="158"/>
              <w:jc w:val="center"/>
              <w:rPr>
                <w:b/>
                <w:sz w:val="22"/>
              </w:rPr>
            </w:pPr>
            <w:r>
              <w:rPr>
                <w:b/>
                <w:sz w:val="22"/>
              </w:rPr>
              <w:t>Özel</w:t>
            </w:r>
          </w:p>
        </w:tc>
        <w:tc>
          <w:tcPr>
            <w:tcW w:w="814" w:type="dxa"/>
          </w:tcPr>
          <w:p>
            <w:pPr>
              <w:pStyle w:val="TableParagraph"/>
              <w:rPr>
                <w:sz w:val="22"/>
              </w:rPr>
            </w:pPr>
          </w:p>
        </w:tc>
        <w:tc>
          <w:tcPr>
            <w:tcW w:w="676" w:type="dxa"/>
          </w:tcPr>
          <w:p>
            <w:pPr>
              <w:pStyle w:val="TableParagraph"/>
              <w:rPr>
                <w:sz w:val="22"/>
              </w:rPr>
            </w:pPr>
          </w:p>
        </w:tc>
        <w:tc>
          <w:tcPr>
            <w:tcW w:w="1313" w:type="dxa"/>
          </w:tcPr>
          <w:p>
            <w:pPr>
              <w:pStyle w:val="TableParagraph"/>
              <w:rPr>
                <w:sz w:val="22"/>
              </w:rPr>
            </w:pPr>
          </w:p>
        </w:tc>
        <w:tc>
          <w:tcPr>
            <w:tcW w:w="724" w:type="dxa"/>
          </w:tcPr>
          <w:p>
            <w:pPr>
              <w:pStyle w:val="TableParagraph"/>
              <w:rPr>
                <w:sz w:val="22"/>
              </w:rPr>
            </w:pPr>
          </w:p>
        </w:tc>
        <w:tc>
          <w:tcPr>
            <w:tcW w:w="1221" w:type="dxa"/>
          </w:tcPr>
          <w:p>
            <w:pPr>
              <w:pStyle w:val="TableParagraph"/>
              <w:rPr>
                <w:sz w:val="22"/>
              </w:rPr>
            </w:pPr>
          </w:p>
        </w:tc>
        <w:tc>
          <w:tcPr>
            <w:tcW w:w="1191" w:type="dxa"/>
          </w:tcPr>
          <w:p>
            <w:pPr>
              <w:pStyle w:val="TableParagraph"/>
              <w:rPr>
                <w:sz w:val="22"/>
              </w:rPr>
            </w:pPr>
          </w:p>
        </w:tc>
        <w:tc>
          <w:tcPr>
            <w:tcW w:w="723" w:type="dxa"/>
          </w:tcPr>
          <w:p>
            <w:pPr>
              <w:pStyle w:val="TableParagraph"/>
              <w:spacing w:before="215"/>
              <w:ind w:left="147" w:right="151"/>
              <w:jc w:val="center"/>
              <w:rPr>
                <w:sz w:val="22"/>
              </w:rPr>
            </w:pPr>
            <w:r>
              <w:rPr>
                <w:sz w:val="22"/>
              </w:rPr>
              <w:t>0,31</w:t>
            </w:r>
          </w:p>
        </w:tc>
        <w:tc>
          <w:tcPr>
            <w:tcW w:w="778" w:type="dxa"/>
          </w:tcPr>
          <w:p>
            <w:pPr>
              <w:pStyle w:val="TableParagraph"/>
              <w:spacing w:before="1"/>
              <w:rPr>
                <w:b/>
                <w:sz w:val="19"/>
              </w:rPr>
            </w:pPr>
          </w:p>
          <w:p>
            <w:pPr>
              <w:pStyle w:val="TableParagraph"/>
              <w:ind w:left="181"/>
              <w:rPr>
                <w:b/>
                <w:sz w:val="22"/>
              </w:rPr>
            </w:pPr>
            <w:r>
              <w:rPr>
                <w:b/>
                <w:sz w:val="22"/>
              </w:rPr>
              <w:t>0,976</w:t>
            </w:r>
          </w:p>
        </w:tc>
      </w:tr>
      <w:tr>
        <w:trPr>
          <w:trHeight w:val="695" w:hRule="atLeast"/>
        </w:trPr>
        <w:tc>
          <w:tcPr>
            <w:tcW w:w="1358" w:type="dxa"/>
            <w:tcBorders>
              <w:bottom w:val="single" w:sz="4" w:space="0" w:color="000000"/>
            </w:tcBorders>
          </w:tcPr>
          <w:p>
            <w:pPr>
              <w:pStyle w:val="TableParagraph"/>
              <w:spacing w:line="249" w:lineRule="exact"/>
              <w:ind w:left="102" w:right="153"/>
              <w:jc w:val="center"/>
              <w:rPr>
                <w:b/>
                <w:sz w:val="22"/>
              </w:rPr>
            </w:pPr>
            <w:r>
              <w:rPr>
                <w:b/>
                <w:sz w:val="22"/>
              </w:rPr>
              <w:t>Patolojiler</w:t>
            </w:r>
          </w:p>
        </w:tc>
        <w:tc>
          <w:tcPr>
            <w:tcW w:w="814" w:type="dxa"/>
            <w:tcBorders>
              <w:bottom w:val="single" w:sz="4" w:space="0" w:color="000000"/>
            </w:tcBorders>
          </w:tcPr>
          <w:p>
            <w:pPr>
              <w:pStyle w:val="TableParagraph"/>
              <w:spacing w:before="198"/>
              <w:ind w:left="179"/>
              <w:rPr>
                <w:sz w:val="22"/>
              </w:rPr>
            </w:pPr>
            <w:r>
              <w:rPr>
                <w:sz w:val="22"/>
              </w:rPr>
              <w:t>1,250</w:t>
            </w:r>
          </w:p>
        </w:tc>
        <w:tc>
          <w:tcPr>
            <w:tcW w:w="676" w:type="dxa"/>
            <w:tcBorders>
              <w:bottom w:val="single" w:sz="4" w:space="0" w:color="000000"/>
            </w:tcBorders>
          </w:tcPr>
          <w:p>
            <w:pPr>
              <w:pStyle w:val="TableParagraph"/>
              <w:spacing w:before="198"/>
              <w:ind w:left="118" w:right="23"/>
              <w:jc w:val="center"/>
              <w:rPr>
                <w:b/>
                <w:sz w:val="22"/>
              </w:rPr>
            </w:pPr>
            <w:r>
              <w:rPr>
                <w:b/>
                <w:sz w:val="22"/>
              </w:rPr>
              <w:t>0,266</w:t>
            </w:r>
          </w:p>
        </w:tc>
        <w:tc>
          <w:tcPr>
            <w:tcW w:w="1313" w:type="dxa"/>
            <w:tcBorders>
              <w:bottom w:val="single" w:sz="4" w:space="0" w:color="000000"/>
            </w:tcBorders>
          </w:tcPr>
          <w:p>
            <w:pPr>
              <w:pStyle w:val="TableParagraph"/>
              <w:spacing w:before="198"/>
              <w:ind w:left="444"/>
              <w:rPr>
                <w:sz w:val="22"/>
              </w:rPr>
            </w:pPr>
            <w:r>
              <w:rPr>
                <w:sz w:val="22"/>
              </w:rPr>
              <w:t>Hayır</w:t>
            </w:r>
          </w:p>
        </w:tc>
        <w:tc>
          <w:tcPr>
            <w:tcW w:w="724" w:type="dxa"/>
            <w:tcBorders>
              <w:bottom w:val="single" w:sz="4" w:space="0" w:color="000000"/>
            </w:tcBorders>
          </w:tcPr>
          <w:p>
            <w:pPr>
              <w:pStyle w:val="TableParagraph"/>
              <w:spacing w:before="198"/>
              <w:ind w:right="143"/>
              <w:jc w:val="right"/>
              <w:rPr>
                <w:sz w:val="22"/>
              </w:rPr>
            </w:pPr>
            <w:r>
              <w:rPr>
                <w:sz w:val="22"/>
              </w:rPr>
              <w:t>82</w:t>
            </w:r>
          </w:p>
        </w:tc>
        <w:tc>
          <w:tcPr>
            <w:tcW w:w="1221" w:type="dxa"/>
            <w:tcBorders>
              <w:bottom w:val="single" w:sz="4" w:space="0" w:color="000000"/>
            </w:tcBorders>
          </w:tcPr>
          <w:p>
            <w:pPr>
              <w:pStyle w:val="TableParagraph"/>
              <w:spacing w:before="198"/>
              <w:ind w:right="147"/>
              <w:jc w:val="right"/>
              <w:rPr>
                <w:sz w:val="22"/>
              </w:rPr>
            </w:pPr>
            <w:r>
              <w:rPr>
                <w:sz w:val="22"/>
              </w:rPr>
              <w:t>3,3585</w:t>
            </w:r>
          </w:p>
        </w:tc>
        <w:tc>
          <w:tcPr>
            <w:tcW w:w="1191" w:type="dxa"/>
            <w:tcBorders>
              <w:bottom w:val="single" w:sz="4" w:space="0" w:color="000000"/>
            </w:tcBorders>
          </w:tcPr>
          <w:p>
            <w:pPr>
              <w:pStyle w:val="TableParagraph"/>
              <w:spacing w:before="198"/>
              <w:ind w:right="155"/>
              <w:jc w:val="right"/>
              <w:rPr>
                <w:sz w:val="22"/>
              </w:rPr>
            </w:pPr>
            <w:r>
              <w:rPr>
                <w:sz w:val="22"/>
              </w:rPr>
              <w:t>0,89483</w:t>
            </w:r>
          </w:p>
        </w:tc>
        <w:tc>
          <w:tcPr>
            <w:tcW w:w="723" w:type="dxa"/>
            <w:tcBorders>
              <w:bottom w:val="single" w:sz="4" w:space="0" w:color="000000"/>
            </w:tcBorders>
          </w:tcPr>
          <w:p>
            <w:pPr>
              <w:pStyle w:val="TableParagraph"/>
              <w:rPr>
                <w:sz w:val="22"/>
              </w:rPr>
            </w:pPr>
          </w:p>
        </w:tc>
        <w:tc>
          <w:tcPr>
            <w:tcW w:w="778" w:type="dxa"/>
            <w:tcBorders>
              <w:bottom w:val="single" w:sz="4" w:space="0" w:color="000000"/>
            </w:tcBorders>
          </w:tcPr>
          <w:p>
            <w:pPr>
              <w:pStyle w:val="TableParagraph"/>
              <w:rPr>
                <w:sz w:val="22"/>
              </w:rPr>
            </w:pPr>
          </w:p>
        </w:tc>
      </w:tr>
    </w:tbl>
    <w:p>
      <w:pPr>
        <w:pStyle w:val="BodyText"/>
        <w:spacing w:before="1"/>
        <w:rPr>
          <w:b/>
          <w:sz w:val="38"/>
        </w:rPr>
      </w:pPr>
    </w:p>
    <w:p>
      <w:pPr>
        <w:pStyle w:val="BodyText"/>
        <w:spacing w:line="360" w:lineRule="auto"/>
        <w:ind w:left="1128" w:right="611" w:firstLine="708"/>
        <w:jc w:val="both"/>
      </w:pPr>
      <w:r>
        <w:rPr/>
        <w:t>Bu hipotezde parametrik T testi kullanılmıştır. Hipotezde levene testi sonucunda p değeri 0,266 çıkmıştır ve iki grubun varyansları eşit olduğu görülmektedir. Yapılan T testi</w:t>
      </w:r>
      <w:r>
        <w:rPr>
          <w:spacing w:val="-7"/>
        </w:rPr>
        <w:t> </w:t>
      </w:r>
      <w:r>
        <w:rPr/>
        <w:t>sonucu</w:t>
      </w:r>
      <w:r>
        <w:rPr>
          <w:spacing w:val="-7"/>
        </w:rPr>
        <w:t> </w:t>
      </w:r>
      <w:r>
        <w:rPr/>
        <w:t>p</w:t>
      </w:r>
      <w:r>
        <w:rPr>
          <w:spacing w:val="-7"/>
        </w:rPr>
        <w:t> </w:t>
      </w:r>
      <w:r>
        <w:rPr/>
        <w:t>değeri</w:t>
      </w:r>
      <w:r>
        <w:rPr>
          <w:spacing w:val="-7"/>
        </w:rPr>
        <w:t> </w:t>
      </w:r>
      <w:r>
        <w:rPr/>
        <w:t>0,976</w:t>
      </w:r>
      <w:r>
        <w:rPr>
          <w:spacing w:val="-7"/>
        </w:rPr>
        <w:t> </w:t>
      </w:r>
      <w:r>
        <w:rPr/>
        <w:t>bulunmuştur.</w:t>
      </w:r>
      <w:r>
        <w:rPr>
          <w:spacing w:val="-7"/>
        </w:rPr>
        <w:t> </w:t>
      </w:r>
      <w:r>
        <w:rPr/>
        <w:t>p</w:t>
      </w:r>
      <w:r>
        <w:rPr>
          <w:spacing w:val="-7"/>
        </w:rPr>
        <w:t> </w:t>
      </w:r>
      <w:r>
        <w:rPr/>
        <w:t>değeri</w:t>
      </w:r>
      <w:r>
        <w:rPr>
          <w:spacing w:val="-8"/>
        </w:rPr>
        <w:t> </w:t>
      </w:r>
      <w:r>
        <w:rPr/>
        <w:t>0,05</w:t>
      </w:r>
      <w:r>
        <w:rPr>
          <w:spacing w:val="-7"/>
        </w:rPr>
        <w:t> </w:t>
      </w:r>
      <w:r>
        <w:rPr/>
        <w:t>den</w:t>
      </w:r>
      <w:r>
        <w:rPr>
          <w:spacing w:val="-7"/>
        </w:rPr>
        <w:t> </w:t>
      </w:r>
      <w:r>
        <w:rPr/>
        <w:t>büyük</w:t>
      </w:r>
      <w:r>
        <w:rPr>
          <w:spacing w:val="-6"/>
        </w:rPr>
        <w:t> </w:t>
      </w:r>
      <w:r>
        <w:rPr/>
        <w:t>çıkması</w:t>
      </w:r>
      <w:r>
        <w:rPr>
          <w:spacing w:val="-7"/>
        </w:rPr>
        <w:t> </w:t>
      </w:r>
      <w:r>
        <w:rPr/>
        <w:t>sebebiyle</w:t>
      </w:r>
      <w:r>
        <w:rPr>
          <w:spacing w:val="-8"/>
        </w:rPr>
        <w:t> </w:t>
      </w:r>
      <w:r>
        <w:rPr/>
        <w:t>triaj, kayıtlar ve özel patolojilerle ilgili düşünceleri, daha önce bir afette veya olağan dışı durumda görev alıp almama durumuna göre anlamlı bir farklılık göstermemektedir. Sonuç olarak dokuzuncu hipotez</w:t>
      </w:r>
      <w:r>
        <w:rPr>
          <w:spacing w:val="1"/>
        </w:rPr>
        <w:t> </w:t>
      </w:r>
      <w:r>
        <w:rPr/>
        <w:t>reddedilmiştir.</w:t>
      </w:r>
    </w:p>
    <w:p>
      <w:pPr>
        <w:pStyle w:val="BodyText"/>
        <w:spacing w:line="360" w:lineRule="auto" w:before="1"/>
        <w:ind w:left="1128" w:right="614" w:firstLine="708"/>
        <w:jc w:val="both"/>
      </w:pPr>
      <w:r>
        <w:rPr/>
        <w:t>H10: Gümüşhane 112’ de çalışan personelin liderlik, ekip yönetimi, çalışma yönetimi ve stres altında çalışma ile ilgili düşünceleri, çalıştığı kurumun durumuna göre anlamlı bir farklılık göstermektedir.</w:t>
      </w:r>
    </w:p>
    <w:p>
      <w:pPr>
        <w:pStyle w:val="BodyText"/>
        <w:spacing w:line="360" w:lineRule="auto" w:before="1"/>
        <w:ind w:left="1128" w:right="611" w:firstLine="708"/>
        <w:jc w:val="both"/>
      </w:pPr>
      <w:r>
        <w:rPr/>
        <w:t>Araştırma grubundaki kişilerin liderlik, ekip yönetimi, çalışma yönetimi ve stres altında çalışma ile ilgili düşüncelerinin çalıştığı duruma göre karşılaştırılması Tablo 4. 28’de gösterilmiştir.</w:t>
      </w:r>
    </w:p>
    <w:p>
      <w:pPr>
        <w:pStyle w:val="BodyText"/>
        <w:spacing w:before="5"/>
        <w:rPr>
          <w:sz w:val="36"/>
        </w:rPr>
      </w:pPr>
    </w:p>
    <w:p>
      <w:pPr>
        <w:pStyle w:val="Heading1"/>
        <w:spacing w:line="259" w:lineRule="auto"/>
        <w:ind w:left="1452" w:right="941" w:hanging="3"/>
        <w:jc w:val="center"/>
      </w:pPr>
      <w:r>
        <w:rPr/>
        <w:t>Tablo 4. 28. Gümüşhane 112’ de Çalışan Personelin Liderlik, Ekip Yönetimi, Çalışma Yönetimi ve Stres Altında Çalışma İle İlgili Düşüncelerinin Çalıştığı Kurumun Duruma Göre Karşılaştırılması (Levene Testi)</w:t>
      </w:r>
    </w:p>
    <w:p>
      <w:pPr>
        <w:pStyle w:val="BodyText"/>
        <w:rPr>
          <w:b/>
          <w:sz w:val="14"/>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758"/>
        <w:gridCol w:w="2703"/>
        <w:gridCol w:w="2051"/>
      </w:tblGrid>
      <w:tr>
        <w:trPr>
          <w:trHeight w:val="671" w:hRule="atLeast"/>
        </w:trPr>
        <w:tc>
          <w:tcPr>
            <w:tcW w:w="3758" w:type="dxa"/>
            <w:tcBorders>
              <w:top w:val="single" w:sz="4" w:space="0" w:color="000000"/>
              <w:bottom w:val="single" w:sz="4" w:space="0" w:color="000000"/>
            </w:tcBorders>
          </w:tcPr>
          <w:p>
            <w:pPr>
              <w:pStyle w:val="TableParagraph"/>
              <w:rPr>
                <w:sz w:val="22"/>
              </w:rPr>
            </w:pPr>
          </w:p>
        </w:tc>
        <w:tc>
          <w:tcPr>
            <w:tcW w:w="2703" w:type="dxa"/>
            <w:tcBorders>
              <w:top w:val="single" w:sz="4" w:space="0" w:color="000000"/>
              <w:bottom w:val="single" w:sz="4" w:space="0" w:color="000000"/>
            </w:tcBorders>
          </w:tcPr>
          <w:p>
            <w:pPr>
              <w:pStyle w:val="TableParagraph"/>
              <w:spacing w:line="251" w:lineRule="exact"/>
              <w:ind w:left="230"/>
              <w:rPr>
                <w:b/>
                <w:sz w:val="22"/>
              </w:rPr>
            </w:pPr>
            <w:r>
              <w:rPr>
                <w:b/>
                <w:sz w:val="22"/>
              </w:rPr>
              <w:t>Levene İstatistiği</w:t>
            </w:r>
          </w:p>
        </w:tc>
        <w:tc>
          <w:tcPr>
            <w:tcW w:w="2051" w:type="dxa"/>
            <w:tcBorders>
              <w:top w:val="single" w:sz="4" w:space="0" w:color="000000"/>
              <w:bottom w:val="single" w:sz="4" w:space="0" w:color="000000"/>
            </w:tcBorders>
          </w:tcPr>
          <w:p>
            <w:pPr>
              <w:pStyle w:val="TableParagraph"/>
              <w:spacing w:line="251" w:lineRule="exact"/>
              <w:ind w:right="71"/>
              <w:jc w:val="center"/>
              <w:rPr>
                <w:b/>
                <w:sz w:val="22"/>
              </w:rPr>
            </w:pPr>
            <w:r>
              <w:rPr>
                <w:b/>
                <w:w w:val="100"/>
                <w:sz w:val="22"/>
              </w:rPr>
              <w:t>p</w:t>
            </w:r>
          </w:p>
        </w:tc>
      </w:tr>
      <w:tr>
        <w:trPr>
          <w:trHeight w:val="1264" w:hRule="atLeast"/>
        </w:trPr>
        <w:tc>
          <w:tcPr>
            <w:tcW w:w="3758" w:type="dxa"/>
            <w:tcBorders>
              <w:top w:val="single" w:sz="4" w:space="0" w:color="000000"/>
              <w:bottom w:val="single" w:sz="4" w:space="0" w:color="000000"/>
            </w:tcBorders>
          </w:tcPr>
          <w:p>
            <w:pPr>
              <w:pStyle w:val="TableParagraph"/>
              <w:spacing w:before="11"/>
              <w:rPr>
                <w:b/>
                <w:sz w:val="21"/>
              </w:rPr>
            </w:pPr>
          </w:p>
          <w:p>
            <w:pPr>
              <w:pStyle w:val="TableParagraph"/>
              <w:ind w:left="359" w:right="909" w:firstLine="2"/>
              <w:jc w:val="center"/>
              <w:rPr>
                <w:b/>
                <w:sz w:val="22"/>
              </w:rPr>
            </w:pPr>
            <w:r>
              <w:rPr>
                <w:b/>
                <w:sz w:val="22"/>
              </w:rPr>
              <w:t>Liderlik, Ekip Yönetimi, Çalışma Yönetimi ve Stres Altında Çalışma</w:t>
            </w:r>
          </w:p>
        </w:tc>
        <w:tc>
          <w:tcPr>
            <w:tcW w:w="2703" w:type="dxa"/>
            <w:tcBorders>
              <w:top w:val="single" w:sz="4" w:space="0" w:color="000000"/>
              <w:bottom w:val="single" w:sz="4" w:space="0" w:color="000000"/>
            </w:tcBorders>
          </w:tcPr>
          <w:p>
            <w:pPr>
              <w:pStyle w:val="TableParagraph"/>
              <w:rPr>
                <w:b/>
                <w:sz w:val="24"/>
              </w:rPr>
            </w:pPr>
          </w:p>
          <w:p>
            <w:pPr>
              <w:pStyle w:val="TableParagraph"/>
              <w:spacing w:before="209"/>
              <w:ind w:left="895" w:right="1273"/>
              <w:jc w:val="center"/>
              <w:rPr>
                <w:sz w:val="22"/>
              </w:rPr>
            </w:pPr>
            <w:r>
              <w:rPr>
                <w:sz w:val="22"/>
              </w:rPr>
              <w:t>0,455</w:t>
            </w:r>
          </w:p>
        </w:tc>
        <w:tc>
          <w:tcPr>
            <w:tcW w:w="2051" w:type="dxa"/>
            <w:tcBorders>
              <w:top w:val="single" w:sz="4" w:space="0" w:color="000000"/>
              <w:bottom w:val="single" w:sz="4" w:space="0" w:color="000000"/>
            </w:tcBorders>
          </w:tcPr>
          <w:p>
            <w:pPr>
              <w:pStyle w:val="TableParagraph"/>
              <w:rPr>
                <w:b/>
                <w:sz w:val="24"/>
              </w:rPr>
            </w:pPr>
          </w:p>
          <w:p>
            <w:pPr>
              <w:pStyle w:val="TableParagraph"/>
              <w:spacing w:before="214"/>
              <w:ind w:left="845" w:right="670"/>
              <w:jc w:val="center"/>
              <w:rPr>
                <w:b/>
                <w:sz w:val="22"/>
              </w:rPr>
            </w:pPr>
            <w:r>
              <w:rPr>
                <w:b/>
                <w:sz w:val="22"/>
              </w:rPr>
              <w:t>0,636</w:t>
            </w:r>
          </w:p>
        </w:tc>
      </w:tr>
    </w:tbl>
    <w:p>
      <w:pPr>
        <w:spacing w:after="0"/>
        <w:jc w:val="center"/>
        <w:rPr>
          <w:sz w:val="22"/>
        </w:rPr>
        <w:sectPr>
          <w:pgSz w:w="11910" w:h="16840"/>
          <w:pgMar w:header="0" w:footer="976" w:top="1580" w:bottom="1240" w:left="1140" w:right="520"/>
        </w:sectPr>
      </w:pPr>
    </w:p>
    <w:p>
      <w:pPr>
        <w:pStyle w:val="BodyText"/>
        <w:rPr>
          <w:b/>
          <w:sz w:val="20"/>
        </w:rPr>
      </w:pPr>
    </w:p>
    <w:p>
      <w:pPr>
        <w:pStyle w:val="BodyText"/>
        <w:spacing w:before="10"/>
        <w:rPr>
          <w:b/>
          <w:sz w:val="18"/>
        </w:rPr>
      </w:pPr>
    </w:p>
    <w:p>
      <w:pPr>
        <w:pStyle w:val="BodyText"/>
        <w:spacing w:line="360" w:lineRule="auto" w:before="90"/>
        <w:ind w:left="1128" w:right="615" w:firstLine="708"/>
        <w:jc w:val="both"/>
      </w:pPr>
      <w:r>
        <w:rPr/>
        <w:t>Levene(homojenlik) testi sonucu p değeri 0,636 çıkmıştır ve iki grubun varyanslarının eşit olduğu saptanmıştır.</w:t>
      </w:r>
    </w:p>
    <w:p>
      <w:pPr>
        <w:pStyle w:val="BodyText"/>
        <w:spacing w:line="360" w:lineRule="auto"/>
        <w:ind w:left="1128" w:right="613" w:firstLine="708"/>
        <w:jc w:val="both"/>
      </w:pPr>
      <w:r>
        <w:rPr/>
        <w:t>Araştırma grubundaki kişilerin liderlik, ekip yönetimi, çalışma yönetimi ve stres altında çalışma ile ilgili düşüncelerinin çalıştığı duruma göre karşılaştırılması Tablo 4. 29’da gösterilmiştir.</w:t>
      </w:r>
    </w:p>
    <w:p>
      <w:pPr>
        <w:pStyle w:val="BodyText"/>
        <w:spacing w:before="5"/>
        <w:rPr>
          <w:sz w:val="36"/>
        </w:rPr>
      </w:pPr>
    </w:p>
    <w:p>
      <w:pPr>
        <w:pStyle w:val="Heading1"/>
        <w:spacing w:line="259" w:lineRule="auto"/>
        <w:ind w:left="1120" w:right="611"/>
        <w:jc w:val="center"/>
      </w:pPr>
      <w:r>
        <w:rPr/>
        <w:t>Tablo 4. 29. Gümüşhane 112’ de Çalışan Personelin Liderlik, Ekip Yönetimi, Çalışma Yönetimi ve Stres Altında Çalışma ile İlgili Düşüncelerinin Çalıştığı Duruma Göre Karşılaştırılması (Anova Testi)</w:t>
      </w:r>
    </w:p>
    <w:p>
      <w:pPr>
        <w:pStyle w:val="BodyText"/>
        <w:spacing w:before="4" w:after="1"/>
        <w:rPr>
          <w:b/>
          <w:sz w:val="14"/>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793"/>
        <w:gridCol w:w="1830"/>
        <w:gridCol w:w="1568"/>
        <w:gridCol w:w="1595"/>
        <w:gridCol w:w="942"/>
        <w:gridCol w:w="820"/>
      </w:tblGrid>
      <w:tr>
        <w:trPr>
          <w:trHeight w:val="698" w:hRule="atLeast"/>
        </w:trPr>
        <w:tc>
          <w:tcPr>
            <w:tcW w:w="1793" w:type="dxa"/>
            <w:tcBorders>
              <w:top w:val="single" w:sz="4" w:space="0" w:color="000000"/>
              <w:bottom w:val="single" w:sz="4" w:space="0" w:color="000000"/>
            </w:tcBorders>
          </w:tcPr>
          <w:p>
            <w:pPr>
              <w:pStyle w:val="TableParagraph"/>
              <w:rPr>
                <w:sz w:val="22"/>
              </w:rPr>
            </w:pPr>
          </w:p>
        </w:tc>
        <w:tc>
          <w:tcPr>
            <w:tcW w:w="1830" w:type="dxa"/>
            <w:tcBorders>
              <w:top w:val="single" w:sz="4" w:space="0" w:color="000000"/>
              <w:bottom w:val="single" w:sz="4" w:space="0" w:color="000000"/>
            </w:tcBorders>
          </w:tcPr>
          <w:p>
            <w:pPr>
              <w:pStyle w:val="TableParagraph"/>
              <w:rPr>
                <w:sz w:val="22"/>
              </w:rPr>
            </w:pPr>
          </w:p>
        </w:tc>
        <w:tc>
          <w:tcPr>
            <w:tcW w:w="1568" w:type="dxa"/>
            <w:tcBorders>
              <w:top w:val="single" w:sz="4" w:space="0" w:color="000000"/>
              <w:bottom w:val="single" w:sz="4" w:space="0" w:color="000000"/>
            </w:tcBorders>
          </w:tcPr>
          <w:p>
            <w:pPr>
              <w:pStyle w:val="TableParagraph"/>
              <w:ind w:left="471" w:right="282" w:firstLine="31"/>
              <w:rPr>
                <w:b/>
                <w:sz w:val="22"/>
              </w:rPr>
            </w:pPr>
            <w:r>
              <w:rPr>
                <w:b/>
                <w:sz w:val="22"/>
              </w:rPr>
              <w:t>Kareler Toplamı</w:t>
            </w:r>
          </w:p>
        </w:tc>
        <w:tc>
          <w:tcPr>
            <w:tcW w:w="1595" w:type="dxa"/>
            <w:tcBorders>
              <w:top w:val="single" w:sz="4" w:space="0" w:color="000000"/>
              <w:bottom w:val="single" w:sz="4" w:space="0" w:color="000000"/>
            </w:tcBorders>
          </w:tcPr>
          <w:p>
            <w:pPr>
              <w:pStyle w:val="TableParagraph"/>
              <w:ind w:left="300" w:right="211" w:firstLine="163"/>
              <w:rPr>
                <w:b/>
                <w:sz w:val="22"/>
              </w:rPr>
            </w:pPr>
            <w:r>
              <w:rPr>
                <w:b/>
                <w:sz w:val="22"/>
              </w:rPr>
              <w:t>Kareler Ortalaması</w:t>
            </w:r>
          </w:p>
        </w:tc>
        <w:tc>
          <w:tcPr>
            <w:tcW w:w="942" w:type="dxa"/>
            <w:tcBorders>
              <w:top w:val="single" w:sz="4" w:space="0" w:color="000000"/>
              <w:bottom w:val="single" w:sz="4" w:space="0" w:color="000000"/>
            </w:tcBorders>
          </w:tcPr>
          <w:p>
            <w:pPr>
              <w:pStyle w:val="TableParagraph"/>
              <w:spacing w:line="251" w:lineRule="exact"/>
              <w:ind w:left="299"/>
              <w:rPr>
                <w:b/>
                <w:sz w:val="22"/>
              </w:rPr>
            </w:pPr>
            <w:r>
              <w:rPr>
                <w:b/>
                <w:w w:val="100"/>
                <w:sz w:val="22"/>
              </w:rPr>
              <w:t>F</w:t>
            </w:r>
          </w:p>
        </w:tc>
        <w:tc>
          <w:tcPr>
            <w:tcW w:w="820" w:type="dxa"/>
            <w:tcBorders>
              <w:top w:val="single" w:sz="4" w:space="0" w:color="000000"/>
              <w:bottom w:val="single" w:sz="4" w:space="0" w:color="000000"/>
            </w:tcBorders>
          </w:tcPr>
          <w:p>
            <w:pPr>
              <w:pStyle w:val="TableParagraph"/>
              <w:spacing w:line="251" w:lineRule="exact"/>
              <w:ind w:left="291"/>
              <w:rPr>
                <w:b/>
                <w:sz w:val="22"/>
              </w:rPr>
            </w:pPr>
            <w:r>
              <w:rPr>
                <w:b/>
                <w:w w:val="100"/>
                <w:sz w:val="22"/>
              </w:rPr>
              <w:t>p</w:t>
            </w:r>
          </w:p>
        </w:tc>
      </w:tr>
      <w:tr>
        <w:trPr>
          <w:trHeight w:val="256" w:hRule="atLeast"/>
        </w:trPr>
        <w:tc>
          <w:tcPr>
            <w:tcW w:w="1793" w:type="dxa"/>
            <w:tcBorders>
              <w:top w:val="single" w:sz="4" w:space="0" w:color="000000"/>
            </w:tcBorders>
          </w:tcPr>
          <w:p>
            <w:pPr>
              <w:pStyle w:val="TableParagraph"/>
              <w:rPr>
                <w:sz w:val="18"/>
              </w:rPr>
            </w:pPr>
          </w:p>
        </w:tc>
        <w:tc>
          <w:tcPr>
            <w:tcW w:w="1830" w:type="dxa"/>
            <w:tcBorders>
              <w:top w:val="single" w:sz="4" w:space="0" w:color="000000"/>
            </w:tcBorders>
          </w:tcPr>
          <w:p>
            <w:pPr>
              <w:pStyle w:val="TableParagraph"/>
              <w:spacing w:line="237" w:lineRule="exact"/>
              <w:ind w:left="515"/>
              <w:rPr>
                <w:b/>
                <w:sz w:val="22"/>
              </w:rPr>
            </w:pPr>
            <w:r>
              <w:rPr>
                <w:b/>
                <w:sz w:val="22"/>
              </w:rPr>
              <w:t>Gruplar</w:t>
            </w:r>
          </w:p>
        </w:tc>
        <w:tc>
          <w:tcPr>
            <w:tcW w:w="1568" w:type="dxa"/>
            <w:tcBorders>
              <w:top w:val="single" w:sz="4" w:space="0" w:color="000000"/>
            </w:tcBorders>
          </w:tcPr>
          <w:p>
            <w:pPr>
              <w:pStyle w:val="TableParagraph"/>
              <w:spacing w:line="237" w:lineRule="exact"/>
              <w:ind w:left="363"/>
              <w:rPr>
                <w:sz w:val="22"/>
              </w:rPr>
            </w:pPr>
            <w:r>
              <w:rPr>
                <w:sz w:val="22"/>
              </w:rPr>
              <w:t>0,640</w:t>
            </w:r>
          </w:p>
        </w:tc>
        <w:tc>
          <w:tcPr>
            <w:tcW w:w="1595" w:type="dxa"/>
            <w:tcBorders>
              <w:top w:val="single" w:sz="4" w:space="0" w:color="000000"/>
            </w:tcBorders>
          </w:tcPr>
          <w:p>
            <w:pPr>
              <w:pStyle w:val="TableParagraph"/>
              <w:spacing w:line="237" w:lineRule="exact"/>
              <w:ind w:left="506" w:right="554"/>
              <w:jc w:val="center"/>
              <w:rPr>
                <w:sz w:val="22"/>
              </w:rPr>
            </w:pPr>
            <w:r>
              <w:rPr>
                <w:sz w:val="22"/>
              </w:rPr>
              <w:t>0,320</w:t>
            </w:r>
          </w:p>
        </w:tc>
        <w:tc>
          <w:tcPr>
            <w:tcW w:w="942" w:type="dxa"/>
            <w:tcBorders>
              <w:top w:val="single" w:sz="4" w:space="0" w:color="000000"/>
            </w:tcBorders>
          </w:tcPr>
          <w:p>
            <w:pPr>
              <w:pStyle w:val="TableParagraph"/>
              <w:rPr>
                <w:sz w:val="18"/>
              </w:rPr>
            </w:pPr>
          </w:p>
        </w:tc>
        <w:tc>
          <w:tcPr>
            <w:tcW w:w="820" w:type="dxa"/>
            <w:tcBorders>
              <w:top w:val="single" w:sz="4" w:space="0" w:color="000000"/>
            </w:tcBorders>
          </w:tcPr>
          <w:p>
            <w:pPr>
              <w:pStyle w:val="TableParagraph"/>
              <w:rPr>
                <w:sz w:val="18"/>
              </w:rPr>
            </w:pPr>
          </w:p>
        </w:tc>
      </w:tr>
      <w:tr>
        <w:trPr>
          <w:trHeight w:val="1799" w:hRule="atLeast"/>
        </w:trPr>
        <w:tc>
          <w:tcPr>
            <w:tcW w:w="1793" w:type="dxa"/>
            <w:tcBorders>
              <w:bottom w:val="single" w:sz="4" w:space="0" w:color="000000"/>
            </w:tcBorders>
          </w:tcPr>
          <w:p>
            <w:pPr>
              <w:pStyle w:val="TableParagraph"/>
              <w:ind w:left="222" w:right="234"/>
              <w:jc w:val="center"/>
              <w:rPr>
                <w:b/>
                <w:sz w:val="22"/>
              </w:rPr>
            </w:pPr>
            <w:r>
              <w:rPr>
                <w:b/>
                <w:sz w:val="22"/>
              </w:rPr>
              <w:t>Liderlik, Ekip Yönetimi, Çalışma Yönetimi ve Stres Altında Çalışma</w:t>
            </w:r>
          </w:p>
        </w:tc>
        <w:tc>
          <w:tcPr>
            <w:tcW w:w="1830" w:type="dxa"/>
            <w:tcBorders>
              <w:bottom w:val="single" w:sz="4" w:space="0" w:color="000000"/>
            </w:tcBorders>
          </w:tcPr>
          <w:p>
            <w:pPr>
              <w:pStyle w:val="TableParagraph"/>
              <w:spacing w:before="34"/>
              <w:ind w:left="472"/>
              <w:rPr>
                <w:b/>
                <w:sz w:val="22"/>
              </w:rPr>
            </w:pPr>
            <w:r>
              <w:rPr>
                <w:b/>
                <w:sz w:val="22"/>
              </w:rPr>
              <w:t>Arasında</w:t>
            </w:r>
          </w:p>
          <w:p>
            <w:pPr>
              <w:pStyle w:val="TableParagraph"/>
              <w:spacing w:before="7"/>
              <w:rPr>
                <w:b/>
                <w:sz w:val="20"/>
              </w:rPr>
            </w:pPr>
          </w:p>
          <w:p>
            <w:pPr>
              <w:pStyle w:val="TableParagraph"/>
              <w:spacing w:line="276" w:lineRule="auto"/>
              <w:ind w:left="443" w:right="448" w:firstLine="72"/>
              <w:rPr>
                <w:b/>
                <w:sz w:val="22"/>
              </w:rPr>
            </w:pPr>
            <w:r>
              <w:rPr>
                <w:b/>
                <w:sz w:val="22"/>
              </w:rPr>
              <w:t>Gruplar </w:t>
            </w:r>
            <w:r>
              <w:rPr>
                <w:b/>
                <w:spacing w:val="-1"/>
                <w:sz w:val="22"/>
              </w:rPr>
              <w:t>İçerisinde</w:t>
            </w:r>
          </w:p>
          <w:p>
            <w:pPr>
              <w:pStyle w:val="TableParagraph"/>
              <w:spacing w:before="201"/>
              <w:ind w:left="219" w:right="231"/>
              <w:jc w:val="center"/>
              <w:rPr>
                <w:b/>
                <w:sz w:val="22"/>
              </w:rPr>
            </w:pPr>
            <w:r>
              <w:rPr>
                <w:b/>
                <w:sz w:val="22"/>
              </w:rPr>
              <w:t>Genel Toplam</w:t>
            </w:r>
          </w:p>
        </w:tc>
        <w:tc>
          <w:tcPr>
            <w:tcW w:w="1568" w:type="dxa"/>
            <w:tcBorders>
              <w:bottom w:val="single" w:sz="4" w:space="0" w:color="000000"/>
            </w:tcBorders>
          </w:tcPr>
          <w:p>
            <w:pPr>
              <w:pStyle w:val="TableParagraph"/>
              <w:rPr>
                <w:b/>
                <w:sz w:val="24"/>
              </w:rPr>
            </w:pPr>
          </w:p>
          <w:p>
            <w:pPr>
              <w:pStyle w:val="TableParagraph"/>
              <w:rPr>
                <w:b/>
                <w:sz w:val="24"/>
              </w:rPr>
            </w:pPr>
          </w:p>
          <w:p>
            <w:pPr>
              <w:pStyle w:val="TableParagraph"/>
              <w:spacing w:before="166"/>
              <w:ind w:left="252"/>
              <w:rPr>
                <w:sz w:val="22"/>
              </w:rPr>
            </w:pPr>
            <w:r>
              <w:rPr>
                <w:sz w:val="22"/>
              </w:rPr>
              <w:t>62,758</w:t>
            </w:r>
          </w:p>
          <w:p>
            <w:pPr>
              <w:pStyle w:val="TableParagraph"/>
              <w:spacing w:before="9"/>
              <w:rPr>
                <w:b/>
                <w:sz w:val="20"/>
              </w:rPr>
            </w:pPr>
          </w:p>
          <w:p>
            <w:pPr>
              <w:pStyle w:val="TableParagraph"/>
              <w:ind w:left="252"/>
              <w:rPr>
                <w:sz w:val="22"/>
              </w:rPr>
            </w:pPr>
            <w:r>
              <w:rPr>
                <w:sz w:val="22"/>
              </w:rPr>
              <w:t>63,398</w:t>
            </w:r>
          </w:p>
        </w:tc>
        <w:tc>
          <w:tcPr>
            <w:tcW w:w="1595" w:type="dxa"/>
            <w:tcBorders>
              <w:bottom w:val="single" w:sz="4" w:space="0" w:color="000000"/>
            </w:tcBorders>
          </w:tcPr>
          <w:p>
            <w:pPr>
              <w:pStyle w:val="TableParagraph"/>
              <w:rPr>
                <w:b/>
                <w:sz w:val="24"/>
              </w:rPr>
            </w:pPr>
          </w:p>
          <w:p>
            <w:pPr>
              <w:pStyle w:val="TableParagraph"/>
              <w:rPr>
                <w:b/>
                <w:sz w:val="24"/>
              </w:rPr>
            </w:pPr>
          </w:p>
          <w:p>
            <w:pPr>
              <w:pStyle w:val="TableParagraph"/>
              <w:spacing w:before="166"/>
              <w:ind w:left="506" w:right="554"/>
              <w:jc w:val="center"/>
              <w:rPr>
                <w:sz w:val="22"/>
              </w:rPr>
            </w:pPr>
            <w:r>
              <w:rPr>
                <w:sz w:val="22"/>
              </w:rPr>
              <w:t>0,615</w:t>
            </w:r>
          </w:p>
        </w:tc>
        <w:tc>
          <w:tcPr>
            <w:tcW w:w="942" w:type="dxa"/>
            <w:tcBorders>
              <w:bottom w:val="single" w:sz="4" w:space="0" w:color="000000"/>
            </w:tcBorders>
          </w:tcPr>
          <w:p>
            <w:pPr>
              <w:pStyle w:val="TableParagraph"/>
              <w:spacing w:before="10"/>
              <w:rPr>
                <w:b/>
                <w:sz w:val="19"/>
              </w:rPr>
            </w:pPr>
          </w:p>
          <w:p>
            <w:pPr>
              <w:pStyle w:val="TableParagraph"/>
              <w:ind w:left="230"/>
              <w:rPr>
                <w:sz w:val="22"/>
              </w:rPr>
            </w:pPr>
            <w:r>
              <w:rPr>
                <w:sz w:val="22"/>
              </w:rPr>
              <w:t>0,520</w:t>
            </w:r>
          </w:p>
        </w:tc>
        <w:tc>
          <w:tcPr>
            <w:tcW w:w="820" w:type="dxa"/>
            <w:tcBorders>
              <w:bottom w:val="single" w:sz="4" w:space="0" w:color="000000"/>
            </w:tcBorders>
          </w:tcPr>
          <w:p>
            <w:pPr>
              <w:pStyle w:val="TableParagraph"/>
              <w:spacing w:before="3"/>
              <w:rPr>
                <w:b/>
                <w:sz w:val="20"/>
              </w:rPr>
            </w:pPr>
          </w:p>
          <w:p>
            <w:pPr>
              <w:pStyle w:val="TableParagraph"/>
              <w:spacing w:before="1"/>
              <w:ind w:left="214"/>
              <w:rPr>
                <w:b/>
                <w:sz w:val="22"/>
              </w:rPr>
            </w:pPr>
            <w:r>
              <w:rPr>
                <w:b/>
                <w:sz w:val="22"/>
              </w:rPr>
              <w:t>0,596</w:t>
            </w:r>
          </w:p>
        </w:tc>
      </w:tr>
    </w:tbl>
    <w:p>
      <w:pPr>
        <w:pStyle w:val="BodyText"/>
        <w:spacing w:before="8"/>
        <w:rPr>
          <w:b/>
          <w:sz w:val="38"/>
        </w:rPr>
      </w:pPr>
    </w:p>
    <w:p>
      <w:pPr>
        <w:pStyle w:val="BodyText"/>
        <w:spacing w:line="360" w:lineRule="auto" w:before="1"/>
        <w:ind w:left="1128" w:right="609" w:firstLine="708"/>
        <w:jc w:val="both"/>
      </w:pPr>
      <w:r>
        <w:rPr/>
        <w:t>Anova analizi sonucu p değeri 0,596 olduğu görülmektedir. p değerine bakıldığında 0,05’ten büyük olması nedeniyle çalışmaya katılan personelin liderlik, ekip yönetimi, çalışma yönetimi ve stres altında çalışma ile ilgili düşünceleri, çalıştığı kurumun durumuna göre anlamlı bir farklılık göstermemektedir. Sonuç olarak onuncu hipotez reddedilmiştir.</w:t>
      </w:r>
    </w:p>
    <w:p>
      <w:pPr>
        <w:pStyle w:val="BodyText"/>
        <w:rPr>
          <w:sz w:val="36"/>
        </w:rPr>
      </w:pPr>
    </w:p>
    <w:p>
      <w:pPr>
        <w:pStyle w:val="BodyText"/>
        <w:spacing w:line="360" w:lineRule="auto"/>
        <w:ind w:left="1128" w:right="612" w:firstLine="708"/>
        <w:jc w:val="both"/>
      </w:pPr>
      <w:r>
        <w:rPr/>
        <w:t>H11: Gümüşhane 112’de çalışan personelin triaj, kayıtlar ve özel patolojilerle ilgili düşünceler ile çevre sağlığı, ruh sağlığı ve toplum sağlığı arasında anlamlı bir ilişki vardır.</w:t>
      </w:r>
    </w:p>
    <w:p>
      <w:pPr>
        <w:pStyle w:val="BodyText"/>
        <w:spacing w:line="360" w:lineRule="auto" w:before="2"/>
        <w:ind w:left="1128" w:right="613" w:firstLine="708"/>
      </w:pPr>
      <w:r>
        <w:rPr/>
        <w:t>Araştırma grubundaki kişilerin triaj, kayıtlar ve özel patolojiler ile ilgili düşünceleri ile çevre sağlığı, ruh sağlığı ve toplum sağlığına göre karşılaştırılması Tablo</w:t>
      </w:r>
    </w:p>
    <w:p>
      <w:pPr>
        <w:pStyle w:val="ListParagraph"/>
        <w:numPr>
          <w:ilvl w:val="0"/>
          <w:numId w:val="16"/>
        </w:numPr>
        <w:tabs>
          <w:tab w:pos="1369" w:val="left" w:leader="none"/>
        </w:tabs>
        <w:spacing w:line="240" w:lineRule="auto" w:before="0" w:after="0"/>
        <w:ind w:left="1368" w:right="0" w:hanging="240"/>
        <w:jc w:val="left"/>
        <w:rPr>
          <w:sz w:val="24"/>
        </w:rPr>
      </w:pPr>
      <w:r>
        <w:rPr>
          <w:sz w:val="24"/>
        </w:rPr>
        <w:t>30’da gösterilmiştir.</w:t>
      </w:r>
    </w:p>
    <w:p>
      <w:pPr>
        <w:spacing w:after="0" w:line="240" w:lineRule="auto"/>
        <w:jc w:val="left"/>
        <w:rPr>
          <w:sz w:val="24"/>
        </w:rPr>
        <w:sectPr>
          <w:pgSz w:w="11910" w:h="16840"/>
          <w:pgMar w:header="0" w:footer="976" w:top="1580" w:bottom="1240" w:left="1140" w:right="520"/>
        </w:sectPr>
      </w:pPr>
    </w:p>
    <w:p>
      <w:pPr>
        <w:pStyle w:val="Heading1"/>
        <w:spacing w:line="256" w:lineRule="auto" w:before="102"/>
        <w:ind w:left="1178" w:right="668" w:firstLine="3"/>
        <w:jc w:val="center"/>
      </w:pPr>
      <w:bookmarkStart w:name="_bookmark55" w:id="123"/>
      <w:bookmarkEnd w:id="123"/>
      <w:r>
        <w:rPr>
          <w:b w:val="0"/>
        </w:rPr>
      </w:r>
      <w:r>
        <w:rPr/>
        <w:t>Tablo 4. 30. Gümüşhane 112’de Çalışan Personelin Triaj, Kayıtlar ve Özel Patolojiler İle İlgili Düşünceler İle Çevre Sağlığı, Ruh Sağlığı ve Toplum Sağlığına Göre Karşılaştırılması</w:t>
      </w:r>
    </w:p>
    <w:p>
      <w:pPr>
        <w:pStyle w:val="BodyText"/>
        <w:spacing w:before="1"/>
        <w:rPr>
          <w:b/>
          <w:sz w:val="15"/>
        </w:rPr>
      </w:pPr>
    </w:p>
    <w:tbl>
      <w:tblPr>
        <w:tblW w:w="0" w:type="auto"/>
        <w:jc w:val="left"/>
        <w:tblInd w:w="11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610"/>
        <w:gridCol w:w="2622"/>
        <w:gridCol w:w="1720"/>
        <w:gridCol w:w="1558"/>
      </w:tblGrid>
      <w:tr>
        <w:trPr>
          <w:trHeight w:val="1880" w:hRule="atLeast"/>
        </w:trPr>
        <w:tc>
          <w:tcPr>
            <w:tcW w:w="6952" w:type="dxa"/>
            <w:gridSpan w:val="3"/>
            <w:tcBorders>
              <w:top w:val="single" w:sz="4" w:space="0" w:color="000000"/>
            </w:tcBorders>
          </w:tcPr>
          <w:p>
            <w:pPr>
              <w:pStyle w:val="TableParagraph"/>
              <w:spacing w:before="10"/>
              <w:rPr>
                <w:b/>
                <w:sz w:val="19"/>
              </w:rPr>
            </w:pPr>
          </w:p>
          <w:p>
            <w:pPr>
              <w:pStyle w:val="TableParagraph"/>
              <w:ind w:left="5035" w:right="154"/>
              <w:rPr>
                <w:b/>
                <w:sz w:val="22"/>
              </w:rPr>
            </w:pPr>
            <w:r>
              <w:rPr>
                <w:b/>
                <w:sz w:val="22"/>
              </w:rPr>
              <w:t>Çevre, Ruh ve Toplum Sağlığının Puan Ortalaması</w:t>
            </w:r>
          </w:p>
        </w:tc>
        <w:tc>
          <w:tcPr>
            <w:tcW w:w="1558" w:type="dxa"/>
            <w:tcBorders>
              <w:top w:val="single" w:sz="4" w:space="0" w:color="000000"/>
            </w:tcBorders>
          </w:tcPr>
          <w:p>
            <w:pPr>
              <w:pStyle w:val="TableParagraph"/>
              <w:spacing w:before="10"/>
              <w:rPr>
                <w:b/>
                <w:sz w:val="19"/>
              </w:rPr>
            </w:pPr>
          </w:p>
          <w:p>
            <w:pPr>
              <w:pStyle w:val="TableParagraph"/>
              <w:ind w:left="177" w:right="203"/>
              <w:jc w:val="center"/>
              <w:rPr>
                <w:b/>
                <w:sz w:val="22"/>
              </w:rPr>
            </w:pPr>
            <w:r>
              <w:rPr>
                <w:b/>
                <w:sz w:val="22"/>
              </w:rPr>
              <w:t>Triaj, Kayıtlar ve Özel Patolojilerin Puan</w:t>
            </w:r>
          </w:p>
          <w:p>
            <w:pPr>
              <w:pStyle w:val="TableParagraph"/>
              <w:tabs>
                <w:tab w:pos="232" w:val="left" w:leader="none"/>
                <w:tab w:pos="1561" w:val="left" w:leader="none"/>
              </w:tabs>
              <w:ind w:left="-6943" w:right="-15"/>
              <w:rPr>
                <w:b/>
                <w:sz w:val="22"/>
              </w:rPr>
            </w:pPr>
            <w:r>
              <w:rPr>
                <w:w w:val="100"/>
                <w:sz w:val="22"/>
                <w:u w:val="single"/>
              </w:rPr>
              <w:t> </w:t>
            </w:r>
            <w:r>
              <w:rPr>
                <w:sz w:val="22"/>
                <w:u w:val="single"/>
              </w:rPr>
              <w:tab/>
            </w:r>
            <w:r>
              <w:rPr>
                <w:b/>
                <w:sz w:val="22"/>
                <w:u w:val="single"/>
              </w:rPr>
              <w:t>Ortalaması</w:t>
              <w:tab/>
            </w:r>
          </w:p>
        </w:tc>
      </w:tr>
      <w:tr>
        <w:trPr>
          <w:trHeight w:val="381" w:hRule="atLeast"/>
        </w:trPr>
        <w:tc>
          <w:tcPr>
            <w:tcW w:w="2610" w:type="dxa"/>
          </w:tcPr>
          <w:p>
            <w:pPr>
              <w:pStyle w:val="TableParagraph"/>
              <w:spacing w:line="232" w:lineRule="exact" w:before="129"/>
              <w:ind w:left="247" w:right="182"/>
              <w:jc w:val="center"/>
              <w:rPr>
                <w:b/>
                <w:sz w:val="22"/>
              </w:rPr>
            </w:pPr>
            <w:r>
              <w:rPr>
                <w:b/>
                <w:sz w:val="22"/>
              </w:rPr>
              <w:t>Çevre, Ruh ve Toplum</w:t>
            </w:r>
          </w:p>
        </w:tc>
        <w:tc>
          <w:tcPr>
            <w:tcW w:w="2622" w:type="dxa"/>
            <w:vMerge w:val="restart"/>
            <w:tcBorders>
              <w:bottom w:val="single" w:sz="4" w:space="0" w:color="000000"/>
            </w:tcBorders>
          </w:tcPr>
          <w:p>
            <w:pPr>
              <w:pStyle w:val="TableParagraph"/>
              <w:spacing w:before="129"/>
              <w:ind w:left="1119" w:right="438" w:hanging="917"/>
              <w:rPr>
                <w:b/>
                <w:sz w:val="22"/>
              </w:rPr>
            </w:pPr>
            <w:r>
              <w:rPr>
                <w:b/>
                <w:sz w:val="22"/>
              </w:rPr>
              <w:t>Pearson korelasyonu (r)</w:t>
            </w:r>
          </w:p>
          <w:p>
            <w:pPr>
              <w:pStyle w:val="TableParagraph"/>
              <w:spacing w:line="477" w:lineRule="auto" w:before="1"/>
              <w:ind w:left="1205" w:right="1159" w:firstLine="115"/>
              <w:rPr>
                <w:b/>
                <w:sz w:val="22"/>
              </w:rPr>
            </w:pPr>
            <w:r>
              <w:rPr>
                <w:b/>
                <w:sz w:val="22"/>
              </w:rPr>
              <w:t>p N</w:t>
            </w:r>
          </w:p>
        </w:tc>
        <w:tc>
          <w:tcPr>
            <w:tcW w:w="1720" w:type="dxa"/>
          </w:tcPr>
          <w:p>
            <w:pPr>
              <w:pStyle w:val="TableParagraph"/>
              <w:spacing w:line="237" w:lineRule="exact" w:before="124"/>
              <w:ind w:right="85"/>
              <w:jc w:val="center"/>
              <w:rPr>
                <w:sz w:val="22"/>
              </w:rPr>
            </w:pPr>
            <w:r>
              <w:rPr>
                <w:w w:val="100"/>
                <w:sz w:val="22"/>
              </w:rPr>
              <w:t>1</w:t>
            </w:r>
          </w:p>
        </w:tc>
        <w:tc>
          <w:tcPr>
            <w:tcW w:w="1558" w:type="dxa"/>
          </w:tcPr>
          <w:p>
            <w:pPr>
              <w:pStyle w:val="TableParagraph"/>
              <w:spacing w:line="237" w:lineRule="exact" w:before="124"/>
              <w:ind w:left="532"/>
              <w:rPr>
                <w:sz w:val="22"/>
              </w:rPr>
            </w:pPr>
            <w:r>
              <w:rPr>
                <w:sz w:val="22"/>
              </w:rPr>
              <w:t>0,743**</w:t>
            </w:r>
          </w:p>
        </w:tc>
      </w:tr>
      <w:tr>
        <w:trPr>
          <w:trHeight w:val="241" w:hRule="atLeast"/>
        </w:trPr>
        <w:tc>
          <w:tcPr>
            <w:tcW w:w="2610" w:type="dxa"/>
          </w:tcPr>
          <w:p>
            <w:pPr>
              <w:pStyle w:val="TableParagraph"/>
              <w:spacing w:line="221" w:lineRule="exact"/>
              <w:ind w:left="248" w:right="181"/>
              <w:jc w:val="center"/>
              <w:rPr>
                <w:b/>
                <w:sz w:val="22"/>
              </w:rPr>
            </w:pPr>
            <w:r>
              <w:rPr>
                <w:b/>
                <w:sz w:val="22"/>
              </w:rPr>
              <w:t>Sağlığının Puan</w:t>
            </w:r>
          </w:p>
        </w:tc>
        <w:tc>
          <w:tcPr>
            <w:tcW w:w="2622" w:type="dxa"/>
            <w:vMerge/>
            <w:tcBorders>
              <w:top w:val="nil"/>
              <w:bottom w:val="single" w:sz="4" w:space="0" w:color="000000"/>
            </w:tcBorders>
          </w:tcPr>
          <w:p>
            <w:pPr>
              <w:rPr>
                <w:sz w:val="2"/>
                <w:szCs w:val="2"/>
              </w:rPr>
            </w:pPr>
          </w:p>
        </w:tc>
        <w:tc>
          <w:tcPr>
            <w:tcW w:w="1720" w:type="dxa"/>
          </w:tcPr>
          <w:p>
            <w:pPr>
              <w:pStyle w:val="TableParagraph"/>
              <w:rPr>
                <w:sz w:val="16"/>
              </w:rPr>
            </w:pPr>
          </w:p>
        </w:tc>
        <w:tc>
          <w:tcPr>
            <w:tcW w:w="1558" w:type="dxa"/>
          </w:tcPr>
          <w:p>
            <w:pPr>
              <w:pStyle w:val="TableParagraph"/>
              <w:rPr>
                <w:sz w:val="16"/>
              </w:rPr>
            </w:pPr>
          </w:p>
        </w:tc>
      </w:tr>
      <w:tr>
        <w:trPr>
          <w:trHeight w:val="369" w:hRule="atLeast"/>
        </w:trPr>
        <w:tc>
          <w:tcPr>
            <w:tcW w:w="2610" w:type="dxa"/>
          </w:tcPr>
          <w:p>
            <w:pPr>
              <w:pStyle w:val="TableParagraph"/>
              <w:spacing w:line="247" w:lineRule="exact"/>
              <w:ind w:left="247" w:right="182"/>
              <w:jc w:val="center"/>
              <w:rPr>
                <w:b/>
                <w:sz w:val="22"/>
              </w:rPr>
            </w:pPr>
            <w:r>
              <w:rPr>
                <w:b/>
                <w:sz w:val="22"/>
              </w:rPr>
              <w:t>Ortalaması</w:t>
            </w:r>
          </w:p>
        </w:tc>
        <w:tc>
          <w:tcPr>
            <w:tcW w:w="2622" w:type="dxa"/>
            <w:vMerge/>
            <w:tcBorders>
              <w:top w:val="nil"/>
              <w:bottom w:val="single" w:sz="4" w:space="0" w:color="000000"/>
            </w:tcBorders>
          </w:tcPr>
          <w:p>
            <w:pPr>
              <w:rPr>
                <w:sz w:val="2"/>
                <w:szCs w:val="2"/>
              </w:rPr>
            </w:pPr>
          </w:p>
        </w:tc>
        <w:tc>
          <w:tcPr>
            <w:tcW w:w="1720" w:type="dxa"/>
          </w:tcPr>
          <w:p>
            <w:pPr>
              <w:pStyle w:val="TableParagraph"/>
              <w:rPr>
                <w:sz w:val="22"/>
              </w:rPr>
            </w:pPr>
          </w:p>
        </w:tc>
        <w:tc>
          <w:tcPr>
            <w:tcW w:w="1558" w:type="dxa"/>
          </w:tcPr>
          <w:p>
            <w:pPr>
              <w:pStyle w:val="TableParagraph"/>
              <w:spacing w:line="242" w:lineRule="exact"/>
              <w:ind w:left="642"/>
              <w:rPr>
                <w:sz w:val="22"/>
              </w:rPr>
            </w:pPr>
            <w:r>
              <w:rPr>
                <w:sz w:val="22"/>
              </w:rPr>
              <w:t>0,000</w:t>
            </w:r>
          </w:p>
        </w:tc>
      </w:tr>
      <w:tr>
        <w:trPr>
          <w:trHeight w:val="712" w:hRule="atLeast"/>
        </w:trPr>
        <w:tc>
          <w:tcPr>
            <w:tcW w:w="2610" w:type="dxa"/>
            <w:tcBorders>
              <w:bottom w:val="single" w:sz="4" w:space="0" w:color="000000"/>
            </w:tcBorders>
          </w:tcPr>
          <w:p>
            <w:pPr>
              <w:pStyle w:val="TableParagraph"/>
              <w:rPr>
                <w:sz w:val="22"/>
              </w:rPr>
            </w:pPr>
          </w:p>
        </w:tc>
        <w:tc>
          <w:tcPr>
            <w:tcW w:w="2622" w:type="dxa"/>
            <w:vMerge/>
            <w:tcBorders>
              <w:top w:val="nil"/>
              <w:bottom w:val="single" w:sz="4" w:space="0" w:color="000000"/>
            </w:tcBorders>
          </w:tcPr>
          <w:p>
            <w:pPr>
              <w:rPr>
                <w:sz w:val="2"/>
                <w:szCs w:val="2"/>
              </w:rPr>
            </w:pPr>
          </w:p>
        </w:tc>
        <w:tc>
          <w:tcPr>
            <w:tcW w:w="1720" w:type="dxa"/>
            <w:tcBorders>
              <w:bottom w:val="single" w:sz="4" w:space="0" w:color="000000"/>
            </w:tcBorders>
          </w:tcPr>
          <w:p>
            <w:pPr>
              <w:pStyle w:val="TableParagraph"/>
              <w:spacing w:before="113"/>
              <w:ind w:left="540"/>
              <w:rPr>
                <w:sz w:val="22"/>
              </w:rPr>
            </w:pPr>
            <w:r>
              <w:rPr>
                <w:sz w:val="22"/>
              </w:rPr>
              <w:t>105</w:t>
            </w:r>
          </w:p>
        </w:tc>
        <w:tc>
          <w:tcPr>
            <w:tcW w:w="1558" w:type="dxa"/>
            <w:tcBorders>
              <w:bottom w:val="single" w:sz="4" w:space="0" w:color="000000"/>
            </w:tcBorders>
          </w:tcPr>
          <w:p>
            <w:pPr>
              <w:pStyle w:val="TableParagraph"/>
              <w:spacing w:before="113"/>
              <w:ind w:left="177" w:right="177"/>
              <w:jc w:val="center"/>
              <w:rPr>
                <w:sz w:val="22"/>
              </w:rPr>
            </w:pPr>
            <w:r>
              <w:rPr>
                <w:sz w:val="22"/>
              </w:rPr>
              <w:t>105</w:t>
            </w:r>
          </w:p>
        </w:tc>
      </w:tr>
      <w:tr>
        <w:trPr>
          <w:trHeight w:val="504" w:hRule="atLeast"/>
        </w:trPr>
        <w:tc>
          <w:tcPr>
            <w:tcW w:w="2610" w:type="dxa"/>
            <w:tcBorders>
              <w:top w:val="single" w:sz="4" w:space="0" w:color="000000"/>
            </w:tcBorders>
          </w:tcPr>
          <w:p>
            <w:pPr>
              <w:pStyle w:val="TableParagraph"/>
              <w:spacing w:before="11"/>
              <w:rPr>
                <w:b/>
                <w:sz w:val="21"/>
              </w:rPr>
            </w:pPr>
          </w:p>
          <w:p>
            <w:pPr>
              <w:pStyle w:val="TableParagraph"/>
              <w:spacing w:line="232" w:lineRule="exact"/>
              <w:ind w:left="248" w:right="182"/>
              <w:jc w:val="center"/>
              <w:rPr>
                <w:b/>
                <w:sz w:val="22"/>
              </w:rPr>
            </w:pPr>
            <w:r>
              <w:rPr>
                <w:b/>
                <w:sz w:val="22"/>
              </w:rPr>
              <w:t>Triaj, Kayıtlar ve Özel</w:t>
            </w:r>
          </w:p>
        </w:tc>
        <w:tc>
          <w:tcPr>
            <w:tcW w:w="2622" w:type="dxa"/>
            <w:vMerge w:val="restart"/>
            <w:tcBorders>
              <w:top w:val="single" w:sz="4" w:space="0" w:color="000000"/>
              <w:bottom w:val="single" w:sz="4" w:space="0" w:color="000000"/>
            </w:tcBorders>
          </w:tcPr>
          <w:p>
            <w:pPr>
              <w:pStyle w:val="TableParagraph"/>
              <w:spacing w:before="11"/>
              <w:rPr>
                <w:b/>
                <w:sz w:val="21"/>
              </w:rPr>
            </w:pPr>
          </w:p>
          <w:p>
            <w:pPr>
              <w:pStyle w:val="TableParagraph"/>
              <w:ind w:left="1119" w:right="438" w:hanging="917"/>
              <w:rPr>
                <w:b/>
                <w:sz w:val="22"/>
              </w:rPr>
            </w:pPr>
            <w:r>
              <w:rPr>
                <w:b/>
                <w:sz w:val="22"/>
              </w:rPr>
              <w:t>Pearson korelasyonu (r)</w:t>
            </w:r>
          </w:p>
          <w:p>
            <w:pPr>
              <w:pStyle w:val="TableParagraph"/>
              <w:ind w:right="13"/>
              <w:jc w:val="center"/>
              <w:rPr>
                <w:b/>
                <w:sz w:val="22"/>
              </w:rPr>
            </w:pPr>
            <w:r>
              <w:rPr>
                <w:b/>
                <w:w w:val="100"/>
                <w:sz w:val="22"/>
              </w:rPr>
              <w:t>p</w:t>
            </w:r>
          </w:p>
          <w:p>
            <w:pPr>
              <w:pStyle w:val="TableParagraph"/>
              <w:spacing w:before="1"/>
              <w:rPr>
                <w:b/>
                <w:sz w:val="22"/>
              </w:rPr>
            </w:pPr>
          </w:p>
          <w:p>
            <w:pPr>
              <w:pStyle w:val="TableParagraph"/>
              <w:ind w:right="48"/>
              <w:jc w:val="center"/>
              <w:rPr>
                <w:b/>
                <w:sz w:val="22"/>
              </w:rPr>
            </w:pPr>
            <w:r>
              <w:rPr>
                <w:b/>
                <w:w w:val="100"/>
                <w:sz w:val="22"/>
              </w:rPr>
              <w:t>N</w:t>
            </w:r>
          </w:p>
        </w:tc>
        <w:tc>
          <w:tcPr>
            <w:tcW w:w="1720" w:type="dxa"/>
            <w:tcBorders>
              <w:top w:val="single" w:sz="4" w:space="0" w:color="000000"/>
            </w:tcBorders>
          </w:tcPr>
          <w:p>
            <w:pPr>
              <w:pStyle w:val="TableParagraph"/>
              <w:spacing w:before="6"/>
              <w:rPr>
                <w:b/>
                <w:sz w:val="21"/>
              </w:rPr>
            </w:pPr>
          </w:p>
          <w:p>
            <w:pPr>
              <w:pStyle w:val="TableParagraph"/>
              <w:spacing w:line="237" w:lineRule="exact"/>
              <w:ind w:left="458"/>
              <w:rPr>
                <w:sz w:val="22"/>
              </w:rPr>
            </w:pPr>
            <w:r>
              <w:rPr>
                <w:sz w:val="22"/>
              </w:rPr>
              <w:t>0,743**</w:t>
            </w:r>
          </w:p>
        </w:tc>
        <w:tc>
          <w:tcPr>
            <w:tcW w:w="1558" w:type="dxa"/>
            <w:tcBorders>
              <w:top w:val="single" w:sz="4" w:space="0" w:color="000000"/>
            </w:tcBorders>
          </w:tcPr>
          <w:p>
            <w:pPr>
              <w:pStyle w:val="TableParagraph"/>
              <w:spacing w:before="6"/>
              <w:rPr>
                <w:b/>
                <w:sz w:val="21"/>
              </w:rPr>
            </w:pPr>
          </w:p>
          <w:p>
            <w:pPr>
              <w:pStyle w:val="TableParagraph"/>
              <w:spacing w:line="237" w:lineRule="exact"/>
              <w:ind w:left="221"/>
              <w:jc w:val="center"/>
              <w:rPr>
                <w:sz w:val="22"/>
              </w:rPr>
            </w:pPr>
            <w:r>
              <w:rPr>
                <w:w w:val="100"/>
                <w:sz w:val="22"/>
              </w:rPr>
              <w:t>1</w:t>
            </w:r>
          </w:p>
        </w:tc>
      </w:tr>
      <w:tr>
        <w:trPr>
          <w:trHeight w:val="240" w:hRule="atLeast"/>
        </w:trPr>
        <w:tc>
          <w:tcPr>
            <w:tcW w:w="2610" w:type="dxa"/>
          </w:tcPr>
          <w:p>
            <w:pPr>
              <w:pStyle w:val="TableParagraph"/>
              <w:spacing w:line="221" w:lineRule="exact"/>
              <w:ind w:left="248" w:right="180"/>
              <w:jc w:val="center"/>
              <w:rPr>
                <w:b/>
                <w:sz w:val="22"/>
              </w:rPr>
            </w:pPr>
            <w:r>
              <w:rPr>
                <w:b/>
                <w:sz w:val="22"/>
              </w:rPr>
              <w:t>Patolojilerin Puan</w:t>
            </w:r>
          </w:p>
        </w:tc>
        <w:tc>
          <w:tcPr>
            <w:tcW w:w="2622" w:type="dxa"/>
            <w:vMerge/>
            <w:tcBorders>
              <w:top w:val="nil"/>
              <w:bottom w:val="single" w:sz="4" w:space="0" w:color="000000"/>
            </w:tcBorders>
          </w:tcPr>
          <w:p>
            <w:pPr>
              <w:rPr>
                <w:sz w:val="2"/>
                <w:szCs w:val="2"/>
              </w:rPr>
            </w:pPr>
          </w:p>
        </w:tc>
        <w:tc>
          <w:tcPr>
            <w:tcW w:w="1720" w:type="dxa"/>
          </w:tcPr>
          <w:p>
            <w:pPr>
              <w:pStyle w:val="TableParagraph"/>
              <w:rPr>
                <w:sz w:val="16"/>
              </w:rPr>
            </w:pPr>
          </w:p>
        </w:tc>
        <w:tc>
          <w:tcPr>
            <w:tcW w:w="1558" w:type="dxa"/>
          </w:tcPr>
          <w:p>
            <w:pPr>
              <w:pStyle w:val="TableParagraph"/>
              <w:rPr>
                <w:sz w:val="16"/>
              </w:rPr>
            </w:pPr>
          </w:p>
        </w:tc>
      </w:tr>
      <w:tr>
        <w:trPr>
          <w:trHeight w:val="370" w:hRule="atLeast"/>
        </w:trPr>
        <w:tc>
          <w:tcPr>
            <w:tcW w:w="2610" w:type="dxa"/>
          </w:tcPr>
          <w:p>
            <w:pPr>
              <w:pStyle w:val="TableParagraph"/>
              <w:spacing w:line="247" w:lineRule="exact"/>
              <w:ind w:left="247" w:right="182"/>
              <w:jc w:val="center"/>
              <w:rPr>
                <w:b/>
                <w:sz w:val="22"/>
              </w:rPr>
            </w:pPr>
            <w:r>
              <w:rPr>
                <w:b/>
                <w:sz w:val="22"/>
              </w:rPr>
              <w:t>Ortalaması</w:t>
            </w:r>
          </w:p>
        </w:tc>
        <w:tc>
          <w:tcPr>
            <w:tcW w:w="2622" w:type="dxa"/>
            <w:vMerge/>
            <w:tcBorders>
              <w:top w:val="nil"/>
              <w:bottom w:val="single" w:sz="4" w:space="0" w:color="000000"/>
            </w:tcBorders>
          </w:tcPr>
          <w:p>
            <w:pPr>
              <w:rPr>
                <w:sz w:val="2"/>
                <w:szCs w:val="2"/>
              </w:rPr>
            </w:pPr>
          </w:p>
        </w:tc>
        <w:tc>
          <w:tcPr>
            <w:tcW w:w="1720" w:type="dxa"/>
          </w:tcPr>
          <w:p>
            <w:pPr>
              <w:pStyle w:val="TableParagraph"/>
              <w:spacing w:line="242" w:lineRule="exact"/>
              <w:ind w:left="569"/>
              <w:rPr>
                <w:sz w:val="22"/>
              </w:rPr>
            </w:pPr>
            <w:r>
              <w:rPr>
                <w:sz w:val="22"/>
              </w:rPr>
              <w:t>0,000</w:t>
            </w:r>
          </w:p>
        </w:tc>
        <w:tc>
          <w:tcPr>
            <w:tcW w:w="1558" w:type="dxa"/>
          </w:tcPr>
          <w:p>
            <w:pPr>
              <w:pStyle w:val="TableParagraph"/>
              <w:rPr>
                <w:sz w:val="22"/>
              </w:rPr>
            </w:pPr>
          </w:p>
        </w:tc>
      </w:tr>
      <w:tr>
        <w:trPr>
          <w:trHeight w:val="627" w:hRule="atLeast"/>
        </w:trPr>
        <w:tc>
          <w:tcPr>
            <w:tcW w:w="2610" w:type="dxa"/>
            <w:tcBorders>
              <w:bottom w:val="single" w:sz="4" w:space="0" w:color="000000"/>
            </w:tcBorders>
          </w:tcPr>
          <w:p>
            <w:pPr>
              <w:pStyle w:val="TableParagraph"/>
              <w:rPr>
                <w:sz w:val="22"/>
              </w:rPr>
            </w:pPr>
          </w:p>
        </w:tc>
        <w:tc>
          <w:tcPr>
            <w:tcW w:w="2622" w:type="dxa"/>
            <w:vMerge/>
            <w:tcBorders>
              <w:top w:val="nil"/>
              <w:bottom w:val="single" w:sz="4" w:space="0" w:color="000000"/>
            </w:tcBorders>
          </w:tcPr>
          <w:p>
            <w:pPr>
              <w:rPr>
                <w:sz w:val="2"/>
                <w:szCs w:val="2"/>
              </w:rPr>
            </w:pPr>
          </w:p>
        </w:tc>
        <w:tc>
          <w:tcPr>
            <w:tcW w:w="1720" w:type="dxa"/>
            <w:tcBorders>
              <w:bottom w:val="single" w:sz="4" w:space="0" w:color="000000"/>
            </w:tcBorders>
          </w:tcPr>
          <w:p>
            <w:pPr>
              <w:pStyle w:val="TableParagraph"/>
              <w:spacing w:before="115"/>
              <w:ind w:left="540"/>
              <w:rPr>
                <w:sz w:val="22"/>
              </w:rPr>
            </w:pPr>
            <w:r>
              <w:rPr>
                <w:sz w:val="22"/>
              </w:rPr>
              <w:t>105</w:t>
            </w:r>
          </w:p>
        </w:tc>
        <w:tc>
          <w:tcPr>
            <w:tcW w:w="1558" w:type="dxa"/>
            <w:tcBorders>
              <w:bottom w:val="single" w:sz="4" w:space="0" w:color="000000"/>
            </w:tcBorders>
          </w:tcPr>
          <w:p>
            <w:pPr>
              <w:pStyle w:val="TableParagraph"/>
              <w:spacing w:before="115"/>
              <w:ind w:left="177" w:right="177"/>
              <w:jc w:val="center"/>
              <w:rPr>
                <w:sz w:val="22"/>
              </w:rPr>
            </w:pPr>
            <w:r>
              <w:rPr>
                <w:sz w:val="22"/>
              </w:rPr>
              <w:t>105</w:t>
            </w:r>
          </w:p>
        </w:tc>
      </w:tr>
    </w:tbl>
    <w:p>
      <w:pPr>
        <w:pStyle w:val="BodyText"/>
        <w:ind w:left="1128"/>
      </w:pPr>
      <w:r>
        <w:rPr/>
        <w:t>** : Korelasyon 0,01 düzeyinde anlamlı ilişki vardır.</w:t>
      </w:r>
    </w:p>
    <w:p>
      <w:pPr>
        <w:pStyle w:val="BodyText"/>
        <w:spacing w:line="360" w:lineRule="auto" w:before="182"/>
        <w:ind w:left="1128" w:right="609" w:firstLine="708"/>
        <w:jc w:val="both"/>
      </w:pPr>
      <w:r>
        <w:rPr/>
        <w:t>Korelasyon testi sonucunda p değeri 0,000 bulunmuştur.%99 güven aralığında anlamlılık değeri 0,01’den küçük olduğu için aralarında anlamlı bir ilişki olduğu saptanmıştır. Çalışmaya katılan personellerin triaj, kayıtlar ve özel patolojiler ile çevre sağlığı, ruh sağlığı ve toplum sağlığı arasında, pozitif yönde 0,743’lük bir ilişki olduğu ve bu ilişkinin anlamlı düzeyde olduğu sonucuna ulaşılmıştır (r=0,743). Elde edilen verilere göre on birinci hipotez kabul edilmiştir.</w:t>
      </w:r>
    </w:p>
    <w:p>
      <w:pPr>
        <w:spacing w:after="0" w:line="360" w:lineRule="auto"/>
        <w:jc w:val="both"/>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4"/>
        <w:rPr>
          <w:sz w:val="19"/>
        </w:rPr>
      </w:pPr>
    </w:p>
    <w:p>
      <w:pPr>
        <w:pStyle w:val="Heading1"/>
        <w:numPr>
          <w:ilvl w:val="1"/>
          <w:numId w:val="12"/>
        </w:numPr>
        <w:tabs>
          <w:tab w:pos="2377" w:val="left" w:leader="none"/>
        </w:tabs>
        <w:spacing w:line="240" w:lineRule="auto" w:before="90" w:after="0"/>
        <w:ind w:left="2376" w:right="0" w:hanging="540"/>
        <w:jc w:val="left"/>
      </w:pPr>
      <w:r>
        <w:rPr/>
        <w:t>Tartışma</w:t>
      </w:r>
    </w:p>
    <w:p>
      <w:pPr>
        <w:pStyle w:val="BodyText"/>
        <w:spacing w:line="360" w:lineRule="auto" w:before="132"/>
        <w:ind w:left="1128" w:right="611" w:firstLine="708"/>
        <w:jc w:val="both"/>
      </w:pPr>
      <w:r>
        <w:rPr/>
        <w:t>Türkiye afetlere sık sık maruz kalmaktadır. Afetlerin oluşumu toplumda can ve mal kayıplarına neden olmaktadır. Afetlerden oluşan riskleri en aza indirmek için afet öncesinde ve sonrasında gerekli tedbirlerin alınması gerekmektedir. Afetlere gerekli müdahalenin yapılabilmesi için sağlık kurumlarında yeterli müdahale çalışmaları çok önemlidir. Bu alanda yapılan çalışmanın sonuçları aşağıda yorumlanmıştır.</w:t>
      </w:r>
    </w:p>
    <w:p>
      <w:pPr>
        <w:pStyle w:val="BodyText"/>
        <w:spacing w:line="360" w:lineRule="auto" w:before="1"/>
        <w:ind w:left="1128" w:right="613" w:firstLine="708"/>
        <w:jc w:val="both"/>
      </w:pPr>
      <w:r>
        <w:rPr/>
        <w:t>Bu çalışmada Gümüşhane 112’de bulunan personelin afete hazırlık düzeyi araştırılmıştır. Çalışmada sağlık personelinin afete hazır olup olmadıkları hakkında araştırma yapılmıştır. Yapılan araştırmada çalışmaya katılan personelin orta düzeyde (3,09) afete hazır oldukları bulunmuştur.</w:t>
      </w:r>
    </w:p>
    <w:p>
      <w:pPr>
        <w:pStyle w:val="BodyText"/>
        <w:tabs>
          <w:tab w:pos="2128" w:val="left" w:leader="none"/>
          <w:tab w:pos="2636" w:val="left" w:leader="none"/>
          <w:tab w:pos="3361" w:val="left" w:leader="none"/>
          <w:tab w:pos="4239" w:val="left" w:leader="none"/>
          <w:tab w:pos="5303" w:val="left" w:leader="none"/>
          <w:tab w:pos="8099" w:val="left" w:leader="none"/>
          <w:tab w:pos="8965" w:val="left" w:leader="none"/>
        </w:tabs>
        <w:spacing w:line="360" w:lineRule="auto"/>
        <w:ind w:left="1128" w:right="610" w:firstLine="708"/>
        <w:jc w:val="right"/>
      </w:pPr>
      <w:r>
        <w:rPr/>
        <w:t>Araştırma</w:t>
      </w:r>
      <w:r>
        <w:rPr>
          <w:spacing w:val="-6"/>
        </w:rPr>
        <w:t> </w:t>
      </w:r>
      <w:r>
        <w:rPr/>
        <w:t>ile</w:t>
      </w:r>
      <w:r>
        <w:rPr>
          <w:spacing w:val="-5"/>
        </w:rPr>
        <w:t> </w:t>
      </w:r>
      <w:r>
        <w:rPr/>
        <w:t>ilgili</w:t>
      </w:r>
      <w:r>
        <w:rPr>
          <w:spacing w:val="-4"/>
        </w:rPr>
        <w:t> </w:t>
      </w:r>
      <w:r>
        <w:rPr/>
        <w:t>elde</w:t>
      </w:r>
      <w:r>
        <w:rPr>
          <w:spacing w:val="-4"/>
        </w:rPr>
        <w:t> </w:t>
      </w:r>
      <w:r>
        <w:rPr/>
        <w:t>edilen</w:t>
      </w:r>
      <w:r>
        <w:rPr>
          <w:spacing w:val="-5"/>
        </w:rPr>
        <w:t> </w:t>
      </w:r>
      <w:r>
        <w:rPr/>
        <w:t>veriler</w:t>
      </w:r>
      <w:r>
        <w:rPr>
          <w:spacing w:val="-5"/>
        </w:rPr>
        <w:t> </w:t>
      </w:r>
      <w:r>
        <w:rPr/>
        <w:t>paragraf</w:t>
      </w:r>
      <w:r>
        <w:rPr>
          <w:spacing w:val="-6"/>
        </w:rPr>
        <w:t> </w:t>
      </w:r>
      <w:r>
        <w:rPr/>
        <w:t>şeklinde</w:t>
      </w:r>
      <w:r>
        <w:rPr>
          <w:spacing w:val="-5"/>
        </w:rPr>
        <w:t> </w:t>
      </w:r>
      <w:r>
        <w:rPr/>
        <w:t>ele</w:t>
      </w:r>
      <w:r>
        <w:rPr>
          <w:spacing w:val="-5"/>
        </w:rPr>
        <w:t> </w:t>
      </w:r>
      <w:r>
        <w:rPr/>
        <w:t>alınıp</w:t>
      </w:r>
      <w:r>
        <w:rPr>
          <w:spacing w:val="-3"/>
        </w:rPr>
        <w:t> </w:t>
      </w:r>
      <w:r>
        <w:rPr/>
        <w:t>tartışılmaktadır. Bu</w:t>
      </w:r>
      <w:r>
        <w:rPr>
          <w:spacing w:val="9"/>
        </w:rPr>
        <w:t> </w:t>
      </w:r>
      <w:r>
        <w:rPr/>
        <w:t>çalışmaya</w:t>
      </w:r>
      <w:r>
        <w:rPr>
          <w:spacing w:val="11"/>
        </w:rPr>
        <w:t> </w:t>
      </w:r>
      <w:r>
        <w:rPr/>
        <w:t>katılan</w:t>
      </w:r>
      <w:r>
        <w:rPr>
          <w:spacing w:val="10"/>
        </w:rPr>
        <w:t> </w:t>
      </w:r>
      <w:r>
        <w:rPr/>
        <w:t>sağlık</w:t>
      </w:r>
      <w:r>
        <w:rPr>
          <w:spacing w:val="9"/>
        </w:rPr>
        <w:t> </w:t>
      </w:r>
      <w:r>
        <w:rPr/>
        <w:t>personelinin</w:t>
      </w:r>
      <w:r>
        <w:rPr>
          <w:spacing w:val="10"/>
        </w:rPr>
        <w:t> </w:t>
      </w:r>
      <w:r>
        <w:rPr/>
        <w:t>afet</w:t>
      </w:r>
      <w:r>
        <w:rPr>
          <w:spacing w:val="12"/>
        </w:rPr>
        <w:t> </w:t>
      </w:r>
      <w:r>
        <w:rPr/>
        <w:t>planları</w:t>
      </w:r>
      <w:r>
        <w:rPr>
          <w:spacing w:val="10"/>
        </w:rPr>
        <w:t> </w:t>
      </w:r>
      <w:r>
        <w:rPr/>
        <w:t>ile</w:t>
      </w:r>
      <w:r>
        <w:rPr>
          <w:spacing w:val="8"/>
        </w:rPr>
        <w:t> </w:t>
      </w:r>
      <w:r>
        <w:rPr/>
        <w:t>ilgili</w:t>
      </w:r>
      <w:r>
        <w:rPr>
          <w:spacing w:val="11"/>
        </w:rPr>
        <w:t> </w:t>
      </w:r>
      <w:r>
        <w:rPr/>
        <w:t>düşünceleri, cinsiyete göre anlamlı bir farklılık göstermediği tespit edilmiştir.</w:t>
      </w:r>
      <w:r>
        <w:rPr>
          <w:spacing w:val="3"/>
        </w:rPr>
        <w:t> </w:t>
      </w:r>
      <w:r>
        <w:rPr/>
        <w:t>Çalışmaya</w:t>
      </w:r>
      <w:r>
        <w:rPr>
          <w:spacing w:val="54"/>
        </w:rPr>
        <w:t> </w:t>
      </w:r>
      <w:r>
        <w:rPr/>
        <w:t>katılan personelin afet planlarına verdikleri cevap erkek ortalamasında</w:t>
      </w:r>
      <w:r>
        <w:rPr>
          <w:spacing w:val="39"/>
        </w:rPr>
        <w:t> </w:t>
      </w:r>
      <w:r>
        <w:rPr/>
        <w:t>2,91’iken</w:t>
      </w:r>
      <w:r>
        <w:rPr>
          <w:spacing w:val="49"/>
        </w:rPr>
        <w:t> </w:t>
      </w:r>
      <w:r>
        <w:rPr/>
        <w:t>kadın ortalamasında 3,01’dir. Afet planları ile cinsiyet arasında anlamlı fark</w:t>
      </w:r>
      <w:r>
        <w:rPr>
          <w:spacing w:val="-3"/>
        </w:rPr>
        <w:t> </w:t>
      </w:r>
      <w:r>
        <w:rPr/>
        <w:t>olmamasının, afet planları</w:t>
        <w:tab/>
        <w:t>ile</w:t>
        <w:tab/>
        <w:t>ilgili</w:t>
        <w:tab/>
        <w:t>yeterli</w:t>
        <w:tab/>
        <w:t>düzeyde</w:t>
        <w:tab/>
        <w:t>bilgilendirilmediklerinden</w:t>
        <w:tab/>
        <w:t>dolayı</w:t>
        <w:tab/>
      </w:r>
      <w:r>
        <w:rPr>
          <w:spacing w:val="-1"/>
        </w:rPr>
        <w:t>olduğu </w:t>
      </w:r>
      <w:r>
        <w:rPr/>
        <w:t>düşünülmektedir. Literatürde bu çalışmaya benzer bir çalışmaya</w:t>
      </w:r>
      <w:r>
        <w:rPr>
          <w:spacing w:val="13"/>
        </w:rPr>
        <w:t> </w:t>
      </w:r>
      <w:r>
        <w:rPr/>
        <w:t>rastlanmıştır.</w:t>
      </w:r>
      <w:r>
        <w:rPr>
          <w:spacing w:val="4"/>
        </w:rPr>
        <w:t> </w:t>
      </w:r>
      <w:r>
        <w:rPr/>
        <w:t>Afyon’da 2011’de yapılan çalışmada afet planları ile ilgili düşünceleri ile cinsiyet</w:t>
      </w:r>
      <w:r>
        <w:rPr>
          <w:spacing w:val="-27"/>
        </w:rPr>
        <w:t> </w:t>
      </w:r>
      <w:r>
        <w:rPr/>
        <w:t>arasında</w:t>
      </w:r>
      <w:r>
        <w:rPr>
          <w:spacing w:val="-3"/>
        </w:rPr>
        <w:t> </w:t>
      </w:r>
      <w:r>
        <w:rPr/>
        <w:t>anlamlı fark olmadığı tespit edilmiştir (Özaslantaş, 2011: 60). Genel olarak afet planları</w:t>
      </w:r>
      <w:r>
        <w:rPr>
          <w:spacing w:val="-13"/>
        </w:rPr>
        <w:t> </w:t>
      </w:r>
      <w:r>
        <w:rPr/>
        <w:t>ile</w:t>
      </w:r>
    </w:p>
    <w:p>
      <w:pPr>
        <w:pStyle w:val="BodyText"/>
        <w:spacing w:before="1"/>
        <w:ind w:left="1128"/>
      </w:pPr>
      <w:r>
        <w:rPr/>
        <w:t>cinsiyet arasında anlamlı fark bulunmadığı söylenebilir.</w:t>
      </w:r>
    </w:p>
    <w:p>
      <w:pPr>
        <w:pStyle w:val="BodyText"/>
        <w:spacing w:line="360" w:lineRule="auto" w:before="136"/>
        <w:ind w:left="1128" w:right="609" w:firstLine="708"/>
        <w:jc w:val="both"/>
      </w:pPr>
      <w:r>
        <w:rPr/>
        <w:t>Bu çalışmaya katılan sağlık personelinin afet planları ile ilgili düşünceleri, öğrenim</w:t>
      </w:r>
      <w:r>
        <w:rPr>
          <w:spacing w:val="-11"/>
        </w:rPr>
        <w:t> </w:t>
      </w:r>
      <w:r>
        <w:rPr/>
        <w:t>durumuna</w:t>
      </w:r>
      <w:r>
        <w:rPr>
          <w:spacing w:val="-10"/>
        </w:rPr>
        <w:t> </w:t>
      </w:r>
      <w:r>
        <w:rPr/>
        <w:t>göre</w:t>
      </w:r>
      <w:r>
        <w:rPr>
          <w:spacing w:val="-10"/>
        </w:rPr>
        <w:t> </w:t>
      </w:r>
      <w:r>
        <w:rPr/>
        <w:t>anlamlı</w:t>
      </w:r>
      <w:r>
        <w:rPr>
          <w:spacing w:val="-11"/>
        </w:rPr>
        <w:t> </w:t>
      </w:r>
      <w:r>
        <w:rPr/>
        <w:t>bir</w:t>
      </w:r>
      <w:r>
        <w:rPr>
          <w:spacing w:val="-11"/>
        </w:rPr>
        <w:t> </w:t>
      </w:r>
      <w:r>
        <w:rPr/>
        <w:t>farklılık</w:t>
      </w:r>
      <w:r>
        <w:rPr>
          <w:spacing w:val="-11"/>
        </w:rPr>
        <w:t> </w:t>
      </w:r>
      <w:r>
        <w:rPr/>
        <w:t>göstermemektedir.</w:t>
      </w:r>
      <w:r>
        <w:rPr>
          <w:spacing w:val="-11"/>
        </w:rPr>
        <w:t> </w:t>
      </w:r>
      <w:r>
        <w:rPr/>
        <w:t>Yapılan</w:t>
      </w:r>
      <w:r>
        <w:rPr>
          <w:spacing w:val="-12"/>
        </w:rPr>
        <w:t> </w:t>
      </w:r>
      <w:r>
        <w:rPr/>
        <w:t>çalışmada</w:t>
      </w:r>
      <w:r>
        <w:rPr>
          <w:spacing w:val="-12"/>
        </w:rPr>
        <w:t> </w:t>
      </w:r>
      <w:r>
        <w:rPr/>
        <w:t>sağlık personelinin</w:t>
      </w:r>
      <w:r>
        <w:rPr>
          <w:spacing w:val="-17"/>
        </w:rPr>
        <w:t> </w:t>
      </w:r>
      <w:r>
        <w:rPr/>
        <w:t>öğrenim</w:t>
      </w:r>
      <w:r>
        <w:rPr>
          <w:spacing w:val="-16"/>
        </w:rPr>
        <w:t> </w:t>
      </w:r>
      <w:r>
        <w:rPr/>
        <w:t>durumuna</w:t>
      </w:r>
      <w:r>
        <w:rPr>
          <w:spacing w:val="-15"/>
        </w:rPr>
        <w:t> </w:t>
      </w:r>
      <w:r>
        <w:rPr/>
        <w:t>göre</w:t>
      </w:r>
      <w:r>
        <w:rPr>
          <w:spacing w:val="-15"/>
        </w:rPr>
        <w:t> </w:t>
      </w:r>
      <w:r>
        <w:rPr/>
        <w:t>afet</w:t>
      </w:r>
      <w:r>
        <w:rPr>
          <w:spacing w:val="-16"/>
        </w:rPr>
        <w:t> </w:t>
      </w:r>
      <w:r>
        <w:rPr/>
        <w:t>planı</w:t>
      </w:r>
      <w:r>
        <w:rPr>
          <w:spacing w:val="-17"/>
        </w:rPr>
        <w:t> </w:t>
      </w:r>
      <w:r>
        <w:rPr/>
        <w:t>boyutu</w:t>
      </w:r>
      <w:r>
        <w:rPr>
          <w:spacing w:val="-13"/>
        </w:rPr>
        <w:t> </w:t>
      </w:r>
      <w:r>
        <w:rPr/>
        <w:t>arasında</w:t>
      </w:r>
      <w:r>
        <w:rPr>
          <w:spacing w:val="-11"/>
        </w:rPr>
        <w:t> </w:t>
      </w:r>
      <w:r>
        <w:rPr/>
        <w:t>anlamlı</w:t>
      </w:r>
      <w:r>
        <w:rPr>
          <w:spacing w:val="-14"/>
        </w:rPr>
        <w:t> </w:t>
      </w:r>
      <w:r>
        <w:rPr/>
        <w:t>fark</w:t>
      </w:r>
      <w:r>
        <w:rPr>
          <w:spacing w:val="-17"/>
        </w:rPr>
        <w:t> </w:t>
      </w:r>
      <w:r>
        <w:rPr/>
        <w:t>olmamasının sebebi</w:t>
      </w:r>
      <w:r>
        <w:rPr>
          <w:spacing w:val="-7"/>
        </w:rPr>
        <w:t> </w:t>
      </w:r>
      <w:r>
        <w:rPr/>
        <w:t>afete</w:t>
      </w:r>
      <w:r>
        <w:rPr>
          <w:spacing w:val="-7"/>
        </w:rPr>
        <w:t> </w:t>
      </w:r>
      <w:r>
        <w:rPr/>
        <w:t>hazırlık</w:t>
      </w:r>
      <w:r>
        <w:rPr>
          <w:spacing w:val="-5"/>
        </w:rPr>
        <w:t> </w:t>
      </w:r>
      <w:r>
        <w:rPr/>
        <w:t>düzeyinin</w:t>
      </w:r>
      <w:r>
        <w:rPr>
          <w:spacing w:val="-6"/>
        </w:rPr>
        <w:t> </w:t>
      </w:r>
      <w:r>
        <w:rPr/>
        <w:t>orta</w:t>
      </w:r>
      <w:r>
        <w:rPr>
          <w:spacing w:val="-8"/>
        </w:rPr>
        <w:t> </w:t>
      </w:r>
      <w:r>
        <w:rPr/>
        <w:t>düzeyde</w:t>
      </w:r>
      <w:r>
        <w:rPr>
          <w:spacing w:val="-6"/>
        </w:rPr>
        <w:t> </w:t>
      </w:r>
      <w:r>
        <w:rPr/>
        <w:t>olması</w:t>
      </w:r>
      <w:r>
        <w:rPr>
          <w:spacing w:val="-6"/>
        </w:rPr>
        <w:t> </w:t>
      </w:r>
      <w:r>
        <w:rPr/>
        <w:t>olduğu</w:t>
      </w:r>
      <w:r>
        <w:rPr>
          <w:spacing w:val="-6"/>
        </w:rPr>
        <w:t> </w:t>
      </w:r>
      <w:r>
        <w:rPr/>
        <w:t>söylenebilir.</w:t>
      </w:r>
      <w:r>
        <w:rPr>
          <w:spacing w:val="-6"/>
        </w:rPr>
        <w:t> </w:t>
      </w:r>
      <w:r>
        <w:rPr/>
        <w:t>Yapılan</w:t>
      </w:r>
      <w:r>
        <w:rPr>
          <w:spacing w:val="-5"/>
        </w:rPr>
        <w:t> </w:t>
      </w:r>
      <w:r>
        <w:rPr/>
        <w:t>literatür araştırmasında</w:t>
      </w:r>
      <w:r>
        <w:rPr>
          <w:spacing w:val="-14"/>
        </w:rPr>
        <w:t> </w:t>
      </w:r>
      <w:r>
        <w:rPr/>
        <w:t>benzer</w:t>
      </w:r>
      <w:r>
        <w:rPr>
          <w:spacing w:val="-14"/>
        </w:rPr>
        <w:t> </w:t>
      </w:r>
      <w:r>
        <w:rPr/>
        <w:t>çalışmalara</w:t>
      </w:r>
      <w:r>
        <w:rPr>
          <w:spacing w:val="-14"/>
        </w:rPr>
        <w:t> </w:t>
      </w:r>
      <w:r>
        <w:rPr/>
        <w:t>rastlanmıştır.</w:t>
      </w:r>
      <w:r>
        <w:rPr>
          <w:spacing w:val="-13"/>
        </w:rPr>
        <w:t> </w:t>
      </w:r>
      <w:r>
        <w:rPr/>
        <w:t>Afyon’da</w:t>
      </w:r>
      <w:r>
        <w:rPr>
          <w:spacing w:val="-13"/>
        </w:rPr>
        <w:t> </w:t>
      </w:r>
      <w:r>
        <w:rPr/>
        <w:t>yapılan</w:t>
      </w:r>
      <w:r>
        <w:rPr>
          <w:spacing w:val="-12"/>
        </w:rPr>
        <w:t> </w:t>
      </w:r>
      <w:r>
        <w:rPr/>
        <w:t>çalışmada</w:t>
      </w:r>
      <w:r>
        <w:rPr>
          <w:spacing w:val="-13"/>
        </w:rPr>
        <w:t> </w:t>
      </w:r>
      <w:r>
        <w:rPr/>
        <w:t>afet</w:t>
      </w:r>
      <w:r>
        <w:rPr>
          <w:spacing w:val="-13"/>
        </w:rPr>
        <w:t> </w:t>
      </w:r>
      <w:r>
        <w:rPr/>
        <w:t>planı</w:t>
      </w:r>
      <w:r>
        <w:rPr>
          <w:spacing w:val="-13"/>
        </w:rPr>
        <w:t> </w:t>
      </w:r>
      <w:r>
        <w:rPr/>
        <w:t>ile öğrenim durumu arasında anlamlı bir farklılık olmadığı görülmüştür (Özaslantaş, 2011: 61).</w:t>
      </w:r>
      <w:r>
        <w:rPr>
          <w:spacing w:val="-10"/>
        </w:rPr>
        <w:t> </w:t>
      </w:r>
      <w:r>
        <w:rPr/>
        <w:t>Karabıyık’ın</w:t>
      </w:r>
      <w:r>
        <w:rPr>
          <w:spacing w:val="-9"/>
        </w:rPr>
        <w:t> </w:t>
      </w:r>
      <w:r>
        <w:rPr/>
        <w:t>2010</w:t>
      </w:r>
      <w:r>
        <w:rPr>
          <w:spacing w:val="-2"/>
        </w:rPr>
        <w:t> </w:t>
      </w:r>
      <w:r>
        <w:rPr/>
        <w:t>yılında</w:t>
      </w:r>
      <w:r>
        <w:rPr>
          <w:spacing w:val="-8"/>
        </w:rPr>
        <w:t> </w:t>
      </w:r>
      <w:r>
        <w:rPr/>
        <w:t>yüksek</w:t>
      </w:r>
      <w:r>
        <w:rPr>
          <w:spacing w:val="-10"/>
        </w:rPr>
        <w:t> </w:t>
      </w:r>
      <w:r>
        <w:rPr/>
        <w:t>lisans</w:t>
      </w:r>
      <w:r>
        <w:rPr>
          <w:spacing w:val="-8"/>
        </w:rPr>
        <w:t> </w:t>
      </w:r>
      <w:r>
        <w:rPr/>
        <w:t>tezinde</w:t>
      </w:r>
      <w:r>
        <w:rPr>
          <w:spacing w:val="-4"/>
        </w:rPr>
        <w:t> </w:t>
      </w:r>
      <w:r>
        <w:rPr/>
        <w:t>yaptığı</w:t>
      </w:r>
      <w:r>
        <w:rPr>
          <w:spacing w:val="-9"/>
        </w:rPr>
        <w:t> </w:t>
      </w:r>
      <w:r>
        <w:rPr/>
        <w:t>çalışmada</w:t>
      </w:r>
      <w:r>
        <w:rPr>
          <w:spacing w:val="-11"/>
        </w:rPr>
        <w:t> </w:t>
      </w:r>
      <w:r>
        <w:rPr/>
        <w:t>da</w:t>
      </w:r>
      <w:r>
        <w:rPr>
          <w:spacing w:val="-8"/>
        </w:rPr>
        <w:t> </w:t>
      </w:r>
      <w:r>
        <w:rPr/>
        <w:t>afet</w:t>
      </w:r>
      <w:r>
        <w:rPr>
          <w:spacing w:val="-9"/>
        </w:rPr>
        <w:t> </w:t>
      </w:r>
      <w:r>
        <w:rPr/>
        <w:t>planları</w:t>
      </w:r>
      <w:r>
        <w:rPr>
          <w:spacing w:val="-7"/>
        </w:rPr>
        <w:t> </w:t>
      </w:r>
      <w:r>
        <w:rPr/>
        <w:t>ile ilgili düşünceleri ile öğrenim durumu arasında anlamlı fark olmadığı tespit</w:t>
      </w:r>
      <w:r>
        <w:rPr>
          <w:spacing w:val="-12"/>
        </w:rPr>
        <w:t> </w:t>
      </w:r>
      <w:r>
        <w:rPr/>
        <w:t>edilmiştir.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firstLine="708"/>
        <w:jc w:val="both"/>
      </w:pPr>
      <w:r>
        <w:rPr/>
        <w:t>Bu araştırmada sağlık personelinin afet eğitimleri ve tatbikatları ile ilgili düşünceleri, daha önce afet eğitimi alıp almama durumuna göre anlamlı bir farklılık göstermiştir. Eğitim alanların afet eğitim ve tatbikatı boyutuna verdiği cevap ortalaması 3,19 ve eğitim almayanların bu boyuta verdiği cevap ortalamasının 2,70 olduğu bulunmuştur. Çalışmaya katılan sağlık personelinden eğitim alanların bilgi düzeyinin almayanlara göre daha yüksek olduğu belirlenmiştir. Çalışmaya katılan personelin genelinin eğitim seviyesinin yüksek olduğu bulunmuştur. Böylelikle kurum tarafından yeterli seviyede eğitim verildiği düşünülebilir. Karabıyık’ın 2010 yılında yüksek lisans tezinde yaptığı çalışmada afet eğitim ve tatbikatlı ile daha önce afet eğitimi alıp almama durumuna göre kısmı olarak anlamlı farklılık gösterip kısmı olarak anlamlı farklılık göstermediği tespit edilmiştir.</w:t>
      </w:r>
    </w:p>
    <w:p>
      <w:pPr>
        <w:pStyle w:val="BodyText"/>
        <w:spacing w:line="360" w:lineRule="auto"/>
        <w:ind w:left="1128" w:right="610" w:firstLine="708"/>
        <w:jc w:val="both"/>
      </w:pPr>
      <w:r>
        <w:rPr/>
        <w:t>Bu araştırmada sağlık personelinin koordinasyon ile ilgili düşüncelerinin, kurumdaki görevine göre anlamlı farklılık göstermediği tespit edilmiştir. Çalışmaya katılan personelin kurumdaki görevi açısından koordinasyon ile arasında anlamlı fark olmadığı tespit edilmiştir. Yapılan literatür çalışması sonucunda bu çalışma ile ilgili benzer olan Karabıyık’ın yüksek lisans tezinde de koordinasyonun kurumdaki görevine göre anlamlı farklılık göstermediği tespit edilmiştir.</w:t>
      </w:r>
    </w:p>
    <w:p>
      <w:pPr>
        <w:pStyle w:val="BodyText"/>
        <w:spacing w:line="360" w:lineRule="auto"/>
        <w:ind w:left="1128" w:right="608" w:firstLine="708"/>
        <w:jc w:val="both"/>
      </w:pPr>
      <w:r>
        <w:rPr/>
        <w:t>Bu araştırmada sağlık personelinin afete hazırlık düzeyinin orta düzeyde (3,09) olduğu tespit edilmiştir. Literatür araştırmasında benzer çalışamaya rastlanmıştır. Afet durumunda, afet öncesi ve sonrasında sağlık kuruluşlarının büyük önemi bulunmaktadır. Gümüşhane</w:t>
      </w:r>
      <w:r>
        <w:rPr>
          <w:spacing w:val="-15"/>
        </w:rPr>
        <w:t> </w:t>
      </w:r>
      <w:r>
        <w:rPr/>
        <w:t>konum</w:t>
      </w:r>
      <w:r>
        <w:rPr>
          <w:spacing w:val="-13"/>
        </w:rPr>
        <w:t> </w:t>
      </w:r>
      <w:r>
        <w:rPr/>
        <w:t>olarak</w:t>
      </w:r>
      <w:r>
        <w:rPr>
          <w:spacing w:val="-13"/>
        </w:rPr>
        <w:t> </w:t>
      </w:r>
      <w:r>
        <w:rPr/>
        <w:t>heyelan,</w:t>
      </w:r>
      <w:r>
        <w:rPr>
          <w:spacing w:val="-12"/>
        </w:rPr>
        <w:t> </w:t>
      </w:r>
      <w:r>
        <w:rPr/>
        <w:t>deprem</w:t>
      </w:r>
      <w:r>
        <w:rPr>
          <w:spacing w:val="-13"/>
        </w:rPr>
        <w:t> </w:t>
      </w:r>
      <w:r>
        <w:rPr/>
        <w:t>vb.</w:t>
      </w:r>
      <w:r>
        <w:rPr>
          <w:spacing w:val="-13"/>
        </w:rPr>
        <w:t> </w:t>
      </w:r>
      <w:r>
        <w:rPr/>
        <w:t>afetlere</w:t>
      </w:r>
      <w:r>
        <w:rPr>
          <w:spacing w:val="-15"/>
        </w:rPr>
        <w:t> </w:t>
      </w:r>
      <w:r>
        <w:rPr/>
        <w:t>büyük</w:t>
      </w:r>
      <w:r>
        <w:rPr>
          <w:spacing w:val="-13"/>
        </w:rPr>
        <w:t> </w:t>
      </w:r>
      <w:r>
        <w:rPr/>
        <w:t>oranda</w:t>
      </w:r>
      <w:r>
        <w:rPr>
          <w:spacing w:val="-13"/>
        </w:rPr>
        <w:t> </w:t>
      </w:r>
      <w:r>
        <w:rPr/>
        <w:t>maruz</w:t>
      </w:r>
      <w:r>
        <w:rPr>
          <w:spacing w:val="-10"/>
        </w:rPr>
        <w:t> </w:t>
      </w:r>
      <w:r>
        <w:rPr/>
        <w:t>kalmaktadır. Bu</w:t>
      </w:r>
      <w:r>
        <w:rPr>
          <w:spacing w:val="-6"/>
        </w:rPr>
        <w:t> </w:t>
      </w:r>
      <w:r>
        <w:rPr/>
        <w:t>yönden</w:t>
      </w:r>
      <w:r>
        <w:rPr>
          <w:spacing w:val="-10"/>
        </w:rPr>
        <w:t> </w:t>
      </w:r>
      <w:r>
        <w:rPr/>
        <w:t>afete</w:t>
      </w:r>
      <w:r>
        <w:rPr>
          <w:spacing w:val="-11"/>
        </w:rPr>
        <w:t> </w:t>
      </w:r>
      <w:r>
        <w:rPr/>
        <w:t>hazırlık</w:t>
      </w:r>
      <w:r>
        <w:rPr>
          <w:spacing w:val="-9"/>
        </w:rPr>
        <w:t> </w:t>
      </w:r>
      <w:r>
        <w:rPr/>
        <w:t>düzeyini</w:t>
      </w:r>
      <w:r>
        <w:rPr>
          <w:spacing w:val="-7"/>
        </w:rPr>
        <w:t> </w:t>
      </w:r>
      <w:r>
        <w:rPr/>
        <w:t>yüksek</w:t>
      </w:r>
      <w:r>
        <w:rPr>
          <w:spacing w:val="-11"/>
        </w:rPr>
        <w:t> </w:t>
      </w:r>
      <w:r>
        <w:rPr/>
        <w:t>tutmak</w:t>
      </w:r>
      <w:r>
        <w:rPr>
          <w:spacing w:val="-10"/>
        </w:rPr>
        <w:t> </w:t>
      </w:r>
      <w:r>
        <w:rPr/>
        <w:t>gerekmektedir.</w:t>
      </w:r>
      <w:r>
        <w:rPr>
          <w:spacing w:val="-10"/>
        </w:rPr>
        <w:t> </w:t>
      </w:r>
      <w:r>
        <w:rPr/>
        <w:t>Gürsoy’un</w:t>
      </w:r>
      <w:r>
        <w:rPr>
          <w:spacing w:val="-9"/>
        </w:rPr>
        <w:t> </w:t>
      </w:r>
      <w:r>
        <w:rPr/>
        <w:t>2018</w:t>
      </w:r>
      <w:r>
        <w:rPr>
          <w:spacing w:val="-6"/>
        </w:rPr>
        <w:t> </w:t>
      </w:r>
      <w:r>
        <w:rPr/>
        <w:t>yılında Gümüşhane’de ‘Gümüşhane Devlet Hastanesinin Afete Hazırlık Düzeyi’ adlı yüksek lisans çalışmasında hastanenin afete hazırlık düzeyi hakkında benzer sonuçlar tespit edilmiştir. Araştırma Gümüşhane devlet hastanesinde çalışan 203 personele uygulanmıştır. Çalışma sonucunda Gümüşhane devlet hastanesinde çalışan personelin afete hazırlık düzeyinin orta düzeyde olduğu tespit edilmiştir. Fung ve arkadaşları 2008 yılında</w:t>
      </w:r>
      <w:r>
        <w:rPr>
          <w:spacing w:val="-17"/>
        </w:rPr>
        <w:t> </w:t>
      </w:r>
      <w:r>
        <w:rPr/>
        <w:t>Çin’deki</w:t>
      </w:r>
      <w:r>
        <w:rPr>
          <w:spacing w:val="-15"/>
        </w:rPr>
        <w:t> </w:t>
      </w:r>
      <w:r>
        <w:rPr/>
        <w:t>Hong</w:t>
      </w:r>
      <w:r>
        <w:rPr>
          <w:spacing w:val="-16"/>
        </w:rPr>
        <w:t> </w:t>
      </w:r>
      <w:r>
        <w:rPr/>
        <w:t>Kong</w:t>
      </w:r>
      <w:r>
        <w:rPr>
          <w:spacing w:val="-15"/>
        </w:rPr>
        <w:t> </w:t>
      </w:r>
      <w:r>
        <w:rPr/>
        <w:t>adasında,</w:t>
      </w:r>
      <w:r>
        <w:rPr>
          <w:spacing w:val="-16"/>
        </w:rPr>
        <w:t> </w:t>
      </w:r>
      <w:r>
        <w:rPr/>
        <w:t>174</w:t>
      </w:r>
      <w:r>
        <w:rPr>
          <w:spacing w:val="-16"/>
        </w:rPr>
        <w:t> </w:t>
      </w:r>
      <w:r>
        <w:rPr/>
        <w:t>hemşireye</w:t>
      </w:r>
      <w:r>
        <w:rPr>
          <w:spacing w:val="-15"/>
        </w:rPr>
        <w:t> </w:t>
      </w:r>
      <w:r>
        <w:rPr/>
        <w:t>anket</w:t>
      </w:r>
      <w:r>
        <w:rPr>
          <w:spacing w:val="-15"/>
        </w:rPr>
        <w:t> </w:t>
      </w:r>
      <w:r>
        <w:rPr/>
        <w:t>uygulamıştır.</w:t>
      </w:r>
      <w:r>
        <w:rPr>
          <w:spacing w:val="-17"/>
        </w:rPr>
        <w:t> </w:t>
      </w:r>
      <w:r>
        <w:rPr/>
        <w:t>Ancak</w:t>
      </w:r>
      <w:r>
        <w:rPr>
          <w:spacing w:val="-16"/>
        </w:rPr>
        <w:t> </w:t>
      </w:r>
      <w:r>
        <w:rPr/>
        <w:t>164</w:t>
      </w:r>
      <w:r>
        <w:rPr>
          <w:spacing w:val="-16"/>
        </w:rPr>
        <w:t> </w:t>
      </w:r>
      <w:r>
        <w:rPr/>
        <w:t>tane hemşire geri dönüş yapmış ve bu hemşirelerin afete hazırlık düzeyi tespit edilmeye çalışılmıştır. Çalışmadan elde edilen verilere göre hemşirelerin %84,8’inin kurumdaki afet planı ve protokolden haberdar oldukları belirtilmiştir. Fakat neredeyse tüm hemşirelerin %97’lik kısmı kendilerinin afete hazırlıklı olmadıklarını</w:t>
      </w:r>
      <w:r>
        <w:rPr>
          <w:spacing w:val="4"/>
        </w:rPr>
        <w:t> </w:t>
      </w:r>
      <w:r>
        <w:rPr/>
        <w:t>değerlendirmiştir.</w:t>
      </w:r>
    </w:p>
    <w:p>
      <w:pPr>
        <w:spacing w:after="0" w:line="360" w:lineRule="auto"/>
        <w:jc w:val="both"/>
        <w:sectPr>
          <w:pgSz w:w="11910" w:h="16840"/>
          <w:pgMar w:header="0" w:footer="976" w:top="1580" w:bottom="1240" w:left="1140" w:right="520"/>
        </w:sectPr>
      </w:pPr>
    </w:p>
    <w:p>
      <w:pPr>
        <w:pStyle w:val="BodyText"/>
        <w:spacing w:line="360" w:lineRule="auto" w:before="98"/>
        <w:ind w:left="1128" w:right="609"/>
        <w:jc w:val="both"/>
      </w:pPr>
      <w:r>
        <w:rPr/>
        <w:t>Hemşirelerin %84,1’lik kısmı afete hazırlık düzeyi hakkında yapılan eğitim ve tatbikatların yararlı olduğunu kabul etmektedir. Demirkasımoğlu’nun 2015 yılında ‘Ankara’daki Hastanelerin Afete Hazırlık Durumları’ adlı tezinde 52 hastaneden onay alınmış ancak 38 hastanenin sağlık çalışanına anket uygulanmıştır. Çalışma sonrasında elde edilen verilere göre sağlık çalışanlarının büyük bir kısmı tam olarak afete hazır olmadıklarını belirtmiştir. Özcan’ın 2013 yılında İstanbul’da bulunan iki tıp</w:t>
      </w:r>
      <w:r>
        <w:rPr>
          <w:spacing w:val="-34"/>
        </w:rPr>
        <w:t> </w:t>
      </w:r>
      <w:r>
        <w:rPr/>
        <w:t>fakültesinde yapılan “Hemşirelerin Afete Hazır Olma Durumu ve Hazırlık Algısı” isimli Yüksek Lisans Tezi adlı çalışmaya 500 hemşirenin katılımı sağlanmıştır. Çalışmadan elde edilen verilere</w:t>
      </w:r>
      <w:r>
        <w:rPr>
          <w:spacing w:val="-11"/>
        </w:rPr>
        <w:t> </w:t>
      </w:r>
      <w:r>
        <w:rPr/>
        <w:t>göre</w:t>
      </w:r>
      <w:r>
        <w:rPr>
          <w:spacing w:val="-14"/>
        </w:rPr>
        <w:t> </w:t>
      </w:r>
      <w:r>
        <w:rPr/>
        <w:t>hemşirelerin</w:t>
      </w:r>
      <w:r>
        <w:rPr>
          <w:spacing w:val="-11"/>
        </w:rPr>
        <w:t> </w:t>
      </w:r>
      <w:r>
        <w:rPr/>
        <w:t>hazırlıkları</w:t>
      </w:r>
      <w:r>
        <w:rPr>
          <w:spacing w:val="-10"/>
        </w:rPr>
        <w:t> </w:t>
      </w:r>
      <w:r>
        <w:rPr/>
        <w:t>afete</w:t>
      </w:r>
      <w:r>
        <w:rPr>
          <w:spacing w:val="-12"/>
        </w:rPr>
        <w:t> </w:t>
      </w:r>
      <w:r>
        <w:rPr/>
        <w:t>hazırlık</w:t>
      </w:r>
      <w:r>
        <w:rPr>
          <w:spacing w:val="-11"/>
        </w:rPr>
        <w:t> </w:t>
      </w:r>
      <w:r>
        <w:rPr/>
        <w:t>evresinde</w:t>
      </w:r>
      <w:r>
        <w:rPr>
          <w:spacing w:val="-8"/>
        </w:rPr>
        <w:t> </w:t>
      </w:r>
      <w:r>
        <w:rPr/>
        <w:t>yüksek</w:t>
      </w:r>
      <w:r>
        <w:rPr>
          <w:spacing w:val="-11"/>
        </w:rPr>
        <w:t> </w:t>
      </w:r>
      <w:r>
        <w:rPr/>
        <w:t>düzeyde</w:t>
      </w:r>
      <w:r>
        <w:rPr>
          <w:spacing w:val="-13"/>
        </w:rPr>
        <w:t> </w:t>
      </w:r>
      <w:r>
        <w:rPr/>
        <w:t>iken,</w:t>
      </w:r>
      <w:r>
        <w:rPr>
          <w:spacing w:val="38"/>
        </w:rPr>
        <w:t> </w:t>
      </w:r>
      <w:r>
        <w:rPr/>
        <w:t>afete müdahale ve afet sonrası evrelerinde ise orta düzeyde (3,21) hazırlıklı oldukları belirlenmiştir. Labrague ve arkadaşları tarafından 2015 yılında yapılan çalışmada, çalışmaya katılan personellerin %80’lik kısmının afete hazır olmadıkları</w:t>
      </w:r>
      <w:r>
        <w:rPr>
          <w:spacing w:val="-11"/>
        </w:rPr>
        <w:t> </w:t>
      </w:r>
      <w:r>
        <w:rPr/>
        <w:t>bulunmuştur.</w:t>
      </w:r>
    </w:p>
    <w:p>
      <w:pPr>
        <w:pStyle w:val="BodyText"/>
        <w:spacing w:line="360" w:lineRule="auto" w:before="1"/>
        <w:ind w:left="1128" w:right="609" w:firstLine="708"/>
        <w:jc w:val="both"/>
      </w:pPr>
      <w:r>
        <w:rPr/>
        <w:t>Bu araştırmada sağlık personellerinin KBRN olaylarına ve tehlikeli maddelere müdahale ile ilgili düşüncelerinin, cinsiyete göre anlamlı farklılık göstermediği tespit edilmiştir. Çalışmaya katılan personelin KBRN ve tehlikeli maddelere kadınların</w:t>
      </w:r>
      <w:r>
        <w:rPr>
          <w:spacing w:val="-38"/>
        </w:rPr>
        <w:t> </w:t>
      </w:r>
      <w:r>
        <w:rPr/>
        <w:t>verdiği cevap</w:t>
      </w:r>
      <w:r>
        <w:rPr>
          <w:spacing w:val="-14"/>
        </w:rPr>
        <w:t> </w:t>
      </w:r>
      <w:r>
        <w:rPr/>
        <w:t>ortalaması</w:t>
      </w:r>
      <w:r>
        <w:rPr>
          <w:spacing w:val="-14"/>
        </w:rPr>
        <w:t> </w:t>
      </w:r>
      <w:r>
        <w:rPr/>
        <w:t>2,8</w:t>
      </w:r>
      <w:r>
        <w:rPr>
          <w:spacing w:val="-14"/>
        </w:rPr>
        <w:t> </w:t>
      </w:r>
      <w:r>
        <w:rPr/>
        <w:t>iken</w:t>
      </w:r>
      <w:r>
        <w:rPr>
          <w:spacing w:val="-14"/>
        </w:rPr>
        <w:t> </w:t>
      </w:r>
      <w:r>
        <w:rPr/>
        <w:t>erkeklerin</w:t>
      </w:r>
      <w:r>
        <w:rPr>
          <w:spacing w:val="-14"/>
        </w:rPr>
        <w:t> </w:t>
      </w:r>
      <w:r>
        <w:rPr/>
        <w:t>verdiği</w:t>
      </w:r>
      <w:r>
        <w:rPr>
          <w:spacing w:val="-13"/>
        </w:rPr>
        <w:t> </w:t>
      </w:r>
      <w:r>
        <w:rPr/>
        <w:t>cevap</w:t>
      </w:r>
      <w:r>
        <w:rPr>
          <w:spacing w:val="-12"/>
        </w:rPr>
        <w:t> </w:t>
      </w:r>
      <w:r>
        <w:rPr/>
        <w:t>ortalamasının</w:t>
      </w:r>
      <w:r>
        <w:rPr>
          <w:spacing w:val="-14"/>
        </w:rPr>
        <w:t> </w:t>
      </w:r>
      <w:r>
        <w:rPr/>
        <w:t>2,7</w:t>
      </w:r>
      <w:r>
        <w:rPr>
          <w:spacing w:val="-14"/>
        </w:rPr>
        <w:t> </w:t>
      </w:r>
      <w:r>
        <w:rPr/>
        <w:t>olduğu</w:t>
      </w:r>
      <w:r>
        <w:rPr>
          <w:spacing w:val="-14"/>
        </w:rPr>
        <w:t> </w:t>
      </w:r>
      <w:r>
        <w:rPr/>
        <w:t>bulunmuştur. KBRN ve tehlikeli maddelere müdahale ile cinsiyet arasında anlamlı farklılık olmamasının afete hazırlık düzeyiyle ilgili olduğu söylenebilir. Literatür araştırmasında benzer bir çalışma olarak Ayvazoğlu’nun 2015 yılında Gümüşhane’de KBRN için hazırlık ve gönüllülük düzeyi belirleme çalışmasında cinsiyet grupları arasında anlamlı bir farklılık olmadığı tespit</w:t>
      </w:r>
      <w:r>
        <w:rPr>
          <w:spacing w:val="-1"/>
        </w:rPr>
        <w:t> </w:t>
      </w:r>
      <w:r>
        <w:rPr/>
        <w:t>edilmiştir.</w:t>
      </w:r>
    </w:p>
    <w:p>
      <w:pPr>
        <w:pStyle w:val="BodyText"/>
        <w:spacing w:line="360" w:lineRule="auto"/>
        <w:ind w:left="1128" w:right="611" w:firstLine="708"/>
        <w:jc w:val="right"/>
      </w:pPr>
      <w:r>
        <w:rPr/>
        <w:t>Bu çalışmada sağlık personelinin KBRN olaylarına ve</w:t>
      </w:r>
      <w:r>
        <w:rPr>
          <w:spacing w:val="32"/>
        </w:rPr>
        <w:t> </w:t>
      </w:r>
      <w:r>
        <w:rPr/>
        <w:t>tehlikeli</w:t>
      </w:r>
      <w:r>
        <w:rPr>
          <w:spacing w:val="23"/>
        </w:rPr>
        <w:t> </w:t>
      </w:r>
      <w:r>
        <w:rPr/>
        <w:t>maddelere müdahale</w:t>
      </w:r>
      <w:r>
        <w:rPr>
          <w:spacing w:val="40"/>
        </w:rPr>
        <w:t> </w:t>
      </w:r>
      <w:r>
        <w:rPr/>
        <w:t>ile</w:t>
      </w:r>
      <w:r>
        <w:rPr>
          <w:spacing w:val="40"/>
        </w:rPr>
        <w:t> </w:t>
      </w:r>
      <w:r>
        <w:rPr/>
        <w:t>ilgili</w:t>
      </w:r>
      <w:r>
        <w:rPr>
          <w:spacing w:val="42"/>
        </w:rPr>
        <w:t> </w:t>
      </w:r>
      <w:r>
        <w:rPr/>
        <w:t>düşüncelerinin,</w:t>
      </w:r>
      <w:r>
        <w:rPr>
          <w:spacing w:val="40"/>
        </w:rPr>
        <w:t> </w:t>
      </w:r>
      <w:r>
        <w:rPr/>
        <w:t>mesleğe</w:t>
      </w:r>
      <w:r>
        <w:rPr>
          <w:spacing w:val="43"/>
        </w:rPr>
        <w:t> </w:t>
      </w:r>
      <w:r>
        <w:rPr/>
        <w:t>göre</w:t>
      </w:r>
      <w:r>
        <w:rPr>
          <w:spacing w:val="41"/>
        </w:rPr>
        <w:t> </w:t>
      </w:r>
      <w:r>
        <w:rPr/>
        <w:t>anlamlı</w:t>
      </w:r>
      <w:r>
        <w:rPr>
          <w:spacing w:val="42"/>
        </w:rPr>
        <w:t> </w:t>
      </w:r>
      <w:r>
        <w:rPr/>
        <w:t>farklılık</w:t>
      </w:r>
      <w:r>
        <w:rPr>
          <w:spacing w:val="40"/>
        </w:rPr>
        <w:t> </w:t>
      </w:r>
      <w:r>
        <w:rPr/>
        <w:t>göstermediği</w:t>
      </w:r>
      <w:r>
        <w:rPr>
          <w:spacing w:val="42"/>
        </w:rPr>
        <w:t> </w:t>
      </w:r>
      <w:r>
        <w:rPr/>
        <w:t>tespit edilmiştir.</w:t>
      </w:r>
      <w:r>
        <w:rPr>
          <w:spacing w:val="16"/>
        </w:rPr>
        <w:t> </w:t>
      </w:r>
      <w:r>
        <w:rPr/>
        <w:t>KBRN</w:t>
      </w:r>
      <w:r>
        <w:rPr>
          <w:spacing w:val="16"/>
        </w:rPr>
        <w:t> </w:t>
      </w:r>
      <w:r>
        <w:rPr/>
        <w:t>ve</w:t>
      </w:r>
      <w:r>
        <w:rPr>
          <w:spacing w:val="16"/>
        </w:rPr>
        <w:t> </w:t>
      </w:r>
      <w:r>
        <w:rPr/>
        <w:t>tehlikeli</w:t>
      </w:r>
      <w:r>
        <w:rPr>
          <w:spacing w:val="17"/>
        </w:rPr>
        <w:t> </w:t>
      </w:r>
      <w:r>
        <w:rPr/>
        <w:t>maddelere</w:t>
      </w:r>
      <w:r>
        <w:rPr>
          <w:spacing w:val="16"/>
        </w:rPr>
        <w:t> </w:t>
      </w:r>
      <w:r>
        <w:rPr/>
        <w:t>müdahalenin</w:t>
      </w:r>
      <w:r>
        <w:rPr>
          <w:spacing w:val="17"/>
        </w:rPr>
        <w:t> </w:t>
      </w:r>
      <w:r>
        <w:rPr/>
        <w:t>meslek</w:t>
      </w:r>
      <w:r>
        <w:rPr>
          <w:spacing w:val="16"/>
        </w:rPr>
        <w:t> </w:t>
      </w:r>
      <w:r>
        <w:rPr/>
        <w:t>grupları</w:t>
      </w:r>
      <w:r>
        <w:rPr>
          <w:spacing w:val="16"/>
        </w:rPr>
        <w:t> </w:t>
      </w:r>
      <w:r>
        <w:rPr/>
        <w:t>arasında</w:t>
      </w:r>
      <w:r>
        <w:rPr>
          <w:spacing w:val="17"/>
        </w:rPr>
        <w:t> </w:t>
      </w:r>
      <w:r>
        <w:rPr/>
        <w:t>farlılık göstermediği</w:t>
      </w:r>
      <w:r>
        <w:rPr>
          <w:spacing w:val="-18"/>
        </w:rPr>
        <w:t> </w:t>
      </w:r>
      <w:r>
        <w:rPr/>
        <w:t>bulunmuştur.</w:t>
      </w:r>
      <w:r>
        <w:rPr>
          <w:spacing w:val="-16"/>
        </w:rPr>
        <w:t> </w:t>
      </w:r>
      <w:r>
        <w:rPr/>
        <w:t>Literatür</w:t>
      </w:r>
      <w:r>
        <w:rPr>
          <w:spacing w:val="-17"/>
        </w:rPr>
        <w:t> </w:t>
      </w:r>
      <w:r>
        <w:rPr/>
        <w:t>araştırmasında</w:t>
      </w:r>
      <w:r>
        <w:rPr>
          <w:spacing w:val="-17"/>
        </w:rPr>
        <w:t> </w:t>
      </w:r>
      <w:r>
        <w:rPr/>
        <w:t>benzer</w:t>
      </w:r>
      <w:r>
        <w:rPr>
          <w:spacing w:val="-19"/>
        </w:rPr>
        <w:t> </w:t>
      </w:r>
      <w:r>
        <w:rPr/>
        <w:t>bir</w:t>
      </w:r>
      <w:r>
        <w:rPr>
          <w:spacing w:val="-18"/>
        </w:rPr>
        <w:t> </w:t>
      </w:r>
      <w:r>
        <w:rPr/>
        <w:t>çalışmaya</w:t>
      </w:r>
      <w:r>
        <w:rPr>
          <w:spacing w:val="-19"/>
        </w:rPr>
        <w:t> </w:t>
      </w:r>
      <w:r>
        <w:rPr/>
        <w:t>rastlanmamıştır.</w:t>
      </w:r>
    </w:p>
    <w:p>
      <w:pPr>
        <w:pStyle w:val="BodyText"/>
        <w:spacing w:line="360" w:lineRule="auto"/>
        <w:ind w:left="1128" w:right="611" w:firstLine="708"/>
        <w:jc w:val="both"/>
      </w:pPr>
      <w:r>
        <w:rPr/>
        <w:t>Bu çalışmada personel ve yöneticiler ile liderlik, ekip yönetimi, çalışma</w:t>
      </w:r>
      <w:r>
        <w:rPr>
          <w:spacing w:val="-38"/>
        </w:rPr>
        <w:t> </w:t>
      </w:r>
      <w:r>
        <w:rPr/>
        <w:t>yönetimi ve</w:t>
      </w:r>
      <w:r>
        <w:rPr>
          <w:spacing w:val="-14"/>
        </w:rPr>
        <w:t> </w:t>
      </w:r>
      <w:r>
        <w:rPr/>
        <w:t>stres</w:t>
      </w:r>
      <w:r>
        <w:rPr>
          <w:spacing w:val="-12"/>
        </w:rPr>
        <w:t> </w:t>
      </w:r>
      <w:r>
        <w:rPr/>
        <w:t>altında</w:t>
      </w:r>
      <w:r>
        <w:rPr>
          <w:spacing w:val="-13"/>
        </w:rPr>
        <w:t> </w:t>
      </w:r>
      <w:r>
        <w:rPr/>
        <w:t>çalışma</w:t>
      </w:r>
      <w:r>
        <w:rPr>
          <w:spacing w:val="-12"/>
        </w:rPr>
        <w:t> </w:t>
      </w:r>
      <w:r>
        <w:rPr/>
        <w:t>arasında</w:t>
      </w:r>
      <w:r>
        <w:rPr>
          <w:spacing w:val="-12"/>
        </w:rPr>
        <w:t> </w:t>
      </w:r>
      <w:r>
        <w:rPr/>
        <w:t>pozitif</w:t>
      </w:r>
      <w:r>
        <w:rPr>
          <w:spacing w:val="-11"/>
        </w:rPr>
        <w:t> </w:t>
      </w:r>
      <w:r>
        <w:rPr/>
        <w:t>yönde</w:t>
      </w:r>
      <w:r>
        <w:rPr>
          <w:spacing w:val="-13"/>
        </w:rPr>
        <w:t> </w:t>
      </w:r>
      <w:r>
        <w:rPr/>
        <w:t>bir</w:t>
      </w:r>
      <w:r>
        <w:rPr>
          <w:spacing w:val="-13"/>
        </w:rPr>
        <w:t> </w:t>
      </w:r>
      <w:r>
        <w:rPr/>
        <w:t>ilişki</w:t>
      </w:r>
      <w:r>
        <w:rPr>
          <w:spacing w:val="-11"/>
        </w:rPr>
        <w:t> </w:t>
      </w:r>
      <w:r>
        <w:rPr/>
        <w:t>olduğu</w:t>
      </w:r>
      <w:r>
        <w:rPr>
          <w:spacing w:val="-12"/>
        </w:rPr>
        <w:t> </w:t>
      </w:r>
      <w:r>
        <w:rPr/>
        <w:t>saptanmıştır.</w:t>
      </w:r>
      <w:r>
        <w:rPr>
          <w:spacing w:val="-16"/>
        </w:rPr>
        <w:t> </w:t>
      </w:r>
      <w:r>
        <w:rPr/>
        <w:t>Sonuç</w:t>
      </w:r>
      <w:r>
        <w:rPr>
          <w:spacing w:val="-8"/>
        </w:rPr>
        <w:t> </w:t>
      </w:r>
      <w:r>
        <w:rPr/>
        <w:t>olarak personel ve yönetici arasında ilişki düzeyi arttıkça ekip ve çalışma yönetimi arasında ilişkinin daha çok artacağı saptanmıştır. Herhangi bir afet ortamında personeller arası ilişki</w:t>
      </w:r>
      <w:r>
        <w:rPr>
          <w:spacing w:val="-3"/>
        </w:rPr>
        <w:t> </w:t>
      </w:r>
      <w:r>
        <w:rPr/>
        <w:t>arttığı</w:t>
      </w:r>
      <w:r>
        <w:rPr>
          <w:spacing w:val="-3"/>
        </w:rPr>
        <w:t> </w:t>
      </w:r>
      <w:r>
        <w:rPr/>
        <w:t>durumda</w:t>
      </w:r>
      <w:r>
        <w:rPr>
          <w:spacing w:val="-5"/>
        </w:rPr>
        <w:t> </w:t>
      </w:r>
      <w:r>
        <w:rPr/>
        <w:t>afete</w:t>
      </w:r>
      <w:r>
        <w:rPr>
          <w:spacing w:val="-4"/>
        </w:rPr>
        <w:t> </w:t>
      </w:r>
      <w:r>
        <w:rPr/>
        <w:t>hazırlık</w:t>
      </w:r>
      <w:r>
        <w:rPr>
          <w:spacing w:val="-3"/>
        </w:rPr>
        <w:t> </w:t>
      </w:r>
      <w:r>
        <w:rPr/>
        <w:t>düzeyinde</w:t>
      </w:r>
      <w:r>
        <w:rPr>
          <w:spacing w:val="-4"/>
        </w:rPr>
        <w:t> </w:t>
      </w:r>
      <w:r>
        <w:rPr/>
        <w:t>ekip</w:t>
      </w:r>
      <w:r>
        <w:rPr>
          <w:spacing w:val="-1"/>
        </w:rPr>
        <w:t> </w:t>
      </w:r>
      <w:r>
        <w:rPr/>
        <w:t>ve</w:t>
      </w:r>
      <w:r>
        <w:rPr>
          <w:spacing w:val="-5"/>
        </w:rPr>
        <w:t> </w:t>
      </w:r>
      <w:r>
        <w:rPr/>
        <w:t>çalışma</w:t>
      </w:r>
      <w:r>
        <w:rPr>
          <w:spacing w:val="-3"/>
        </w:rPr>
        <w:t> </w:t>
      </w:r>
      <w:r>
        <w:rPr/>
        <w:t>ortamında</w:t>
      </w:r>
      <w:r>
        <w:rPr>
          <w:spacing w:val="-5"/>
        </w:rPr>
        <w:t> </w:t>
      </w:r>
      <w:r>
        <w:rPr/>
        <w:t>pozitif</w:t>
      </w:r>
      <w:r>
        <w:rPr>
          <w:spacing w:val="-4"/>
        </w:rPr>
        <w:t> </w:t>
      </w:r>
      <w:r>
        <w:rPr/>
        <w:t>bir</w:t>
      </w:r>
      <w:r>
        <w:rPr>
          <w:spacing w:val="-4"/>
        </w:rPr>
        <w:t> </w:t>
      </w:r>
      <w:r>
        <w:rPr/>
        <w:t>ilişki olduğu söylenebilir. Literatür taramasında benzer bir çalışmaya rastlanmamıştır. Bu çalışmada sağlık personelinin triaj, kayıtlar ve özel patolojiler ile ilgili düşünceleri,</w:t>
      </w:r>
      <w:r>
        <w:rPr>
          <w:spacing w:val="-8"/>
        </w:rPr>
        <w:t> </w:t>
      </w:r>
      <w:r>
        <w:rPr/>
        <w:t>daha</w:t>
      </w:r>
    </w:p>
    <w:p>
      <w:pPr>
        <w:spacing w:after="0" w:line="360" w:lineRule="auto"/>
        <w:jc w:val="both"/>
        <w:sectPr>
          <w:pgSz w:w="11910" w:h="16840"/>
          <w:pgMar w:header="0" w:footer="976" w:top="1580" w:bottom="1240" w:left="1140" w:right="520"/>
        </w:sectPr>
      </w:pPr>
    </w:p>
    <w:p>
      <w:pPr>
        <w:pStyle w:val="BodyText"/>
        <w:spacing w:line="360" w:lineRule="auto" w:before="98"/>
        <w:ind w:left="1128" w:right="612"/>
        <w:jc w:val="both"/>
      </w:pPr>
      <w:r>
        <w:rPr/>
        <w:t>önce bir afette veya olağan dışı durumda görev alıp almama durumuna göre anlamlı bir farklılık göstermemektedir. Yapılan literatür araştırmasına bakıldığında benzer bir çalışmaya rastlanmamıştır.</w:t>
      </w:r>
    </w:p>
    <w:p>
      <w:pPr>
        <w:pStyle w:val="BodyText"/>
        <w:spacing w:line="360" w:lineRule="auto"/>
        <w:ind w:left="1128" w:right="612" w:firstLine="708"/>
        <w:jc w:val="both"/>
      </w:pPr>
      <w:r>
        <w:rPr/>
        <w:t>Bu</w:t>
      </w:r>
      <w:r>
        <w:rPr>
          <w:spacing w:val="-18"/>
        </w:rPr>
        <w:t> </w:t>
      </w:r>
      <w:r>
        <w:rPr/>
        <w:t>çalışmada</w:t>
      </w:r>
      <w:r>
        <w:rPr>
          <w:spacing w:val="-18"/>
        </w:rPr>
        <w:t> </w:t>
      </w:r>
      <w:r>
        <w:rPr/>
        <w:t>sağlık</w:t>
      </w:r>
      <w:r>
        <w:rPr>
          <w:spacing w:val="-16"/>
        </w:rPr>
        <w:t> </w:t>
      </w:r>
      <w:r>
        <w:rPr/>
        <w:t>personelinin</w:t>
      </w:r>
      <w:r>
        <w:rPr>
          <w:spacing w:val="-18"/>
        </w:rPr>
        <w:t> </w:t>
      </w:r>
      <w:r>
        <w:rPr/>
        <w:t>liderlik,</w:t>
      </w:r>
      <w:r>
        <w:rPr>
          <w:spacing w:val="-17"/>
        </w:rPr>
        <w:t> </w:t>
      </w:r>
      <w:r>
        <w:rPr/>
        <w:t>ekip</w:t>
      </w:r>
      <w:r>
        <w:rPr>
          <w:spacing w:val="-13"/>
        </w:rPr>
        <w:t> </w:t>
      </w:r>
      <w:r>
        <w:rPr/>
        <w:t>yönetimi,</w:t>
      </w:r>
      <w:r>
        <w:rPr>
          <w:spacing w:val="-18"/>
        </w:rPr>
        <w:t> </w:t>
      </w:r>
      <w:r>
        <w:rPr/>
        <w:t>çalışma</w:t>
      </w:r>
      <w:r>
        <w:rPr>
          <w:spacing w:val="-12"/>
        </w:rPr>
        <w:t> </w:t>
      </w:r>
      <w:r>
        <w:rPr/>
        <w:t>yönetimi</w:t>
      </w:r>
      <w:r>
        <w:rPr>
          <w:spacing w:val="-17"/>
        </w:rPr>
        <w:t> </w:t>
      </w:r>
      <w:r>
        <w:rPr/>
        <w:t>ve</w:t>
      </w:r>
      <w:r>
        <w:rPr>
          <w:spacing w:val="-18"/>
        </w:rPr>
        <w:t> </w:t>
      </w:r>
      <w:r>
        <w:rPr/>
        <w:t>stres altında çalışma ile ilgili düşünceleri, çalıştığı kurumun durumuna göre anlamlı bir farklılık göstermemektedir. Yapılan literatür araştırması sonucunda bu çalışmaya benzer bir çalışma bulunmaktadır. Karabıyık’ın 2010 yılında yaptığı yüksek lisans tezinde liderlik, ekip yönetimi ile ilgili düşüncelerin çalıştığı kuruma göre anlamlı farklılık gösterdiği tespit</w:t>
      </w:r>
      <w:r>
        <w:rPr>
          <w:spacing w:val="-1"/>
        </w:rPr>
        <w:t> </w:t>
      </w:r>
      <w:r>
        <w:rPr/>
        <w:t>edilmiştir.</w:t>
      </w:r>
    </w:p>
    <w:p>
      <w:pPr>
        <w:pStyle w:val="BodyText"/>
        <w:spacing w:line="360" w:lineRule="auto"/>
        <w:ind w:left="1128" w:right="613" w:firstLine="708"/>
        <w:jc w:val="both"/>
      </w:pPr>
      <w:r>
        <w:rPr/>
        <w:t>Bu çalışmada triaj, kayıtlar ve özel patolojiler ile çevre sağlığı, ruh sağlığı ve toplum sağlığı arasında pozitif yönde anlamlı bir ilişki olduğu saptanmıştır. Kısaca afet durumunda tiraj, kayıtlar ne kadar başarılı bir şekilde yürütülürse afetten etkilenen toplumun ruhsal sağlığının da daha çok artacağı saptanmıştır. Sonuç olarak bir afet ortamında triaj ve kayıt konusunda başarı düzeyi arttığında afetten etkilenen toplumun ruh, toplum ve çevre sağlığının pozitif yönde etkilendiği söylenebilir. Literatür taramasında benzer bir çalışmaya rastlanmamıştır.</w:t>
      </w:r>
    </w:p>
    <w:p>
      <w:pPr>
        <w:pStyle w:val="BodyText"/>
        <w:spacing w:line="360" w:lineRule="auto" w:before="1"/>
        <w:ind w:left="1128" w:right="608" w:firstLine="708"/>
        <w:jc w:val="both"/>
      </w:pPr>
      <w:r>
        <w:rPr/>
        <w:t>Çalışmaya katılan sağlık personelinin %58,1’lik kısmının 25-30 yaş grubu arasında</w:t>
      </w:r>
      <w:r>
        <w:rPr>
          <w:spacing w:val="-14"/>
        </w:rPr>
        <w:t> </w:t>
      </w:r>
      <w:r>
        <w:rPr/>
        <w:t>olduğu</w:t>
      </w:r>
      <w:r>
        <w:rPr>
          <w:spacing w:val="-13"/>
        </w:rPr>
        <w:t> </w:t>
      </w:r>
      <w:r>
        <w:rPr/>
        <w:t>bulunmuştur.</w:t>
      </w:r>
      <w:r>
        <w:rPr>
          <w:spacing w:val="-13"/>
        </w:rPr>
        <w:t> </w:t>
      </w:r>
      <w:r>
        <w:rPr/>
        <w:t>Bu</w:t>
      </w:r>
      <w:r>
        <w:rPr>
          <w:spacing w:val="-14"/>
        </w:rPr>
        <w:t> </w:t>
      </w:r>
      <w:r>
        <w:rPr/>
        <w:t>araştırmaya</w:t>
      </w:r>
      <w:r>
        <w:rPr>
          <w:spacing w:val="-12"/>
        </w:rPr>
        <w:t> </w:t>
      </w:r>
      <w:r>
        <w:rPr/>
        <w:t>göre</w:t>
      </w:r>
      <w:r>
        <w:rPr>
          <w:spacing w:val="-14"/>
        </w:rPr>
        <w:t> </w:t>
      </w:r>
      <w:r>
        <w:rPr/>
        <w:t>çalışmadaki</w:t>
      </w:r>
      <w:r>
        <w:rPr>
          <w:spacing w:val="-13"/>
        </w:rPr>
        <w:t> </w:t>
      </w:r>
      <w:r>
        <w:rPr/>
        <w:t>sağlık</w:t>
      </w:r>
      <w:r>
        <w:rPr>
          <w:spacing w:val="-14"/>
        </w:rPr>
        <w:t> </w:t>
      </w:r>
      <w:r>
        <w:rPr/>
        <w:t>personeli</w:t>
      </w:r>
      <w:r>
        <w:rPr>
          <w:spacing w:val="-11"/>
        </w:rPr>
        <w:t> </w:t>
      </w:r>
      <w:r>
        <w:rPr/>
        <w:t>çoğunluk olarak genç bireylerden oluşmaktadır. Yaş oranı arttıkça afete hazırlık düzeyi azalmaktadır. Çalışmaya katılan erkek personelin oranı (%52,4) kadın personelin oranından (%47,6) daha yüksektir. Çalışmaya katılan personelin öğrenim durumunun genel olarak ön lisans düzeyinde olduğu söylenebilir. Meslek grubuna bakıldığında teknisyen grubunda çalışmaya katılan personel oranı %78,1’dir. Bu araştırmaya göre sağlık personelinin genelinin teknisyen grubundan acil tıp teknisyenleri ve paramedikler olduğu</w:t>
      </w:r>
      <w:r>
        <w:rPr>
          <w:spacing w:val="-1"/>
        </w:rPr>
        <w:t> </w:t>
      </w:r>
      <w:r>
        <w:rPr/>
        <w:t>söylenebilir.</w:t>
      </w:r>
    </w:p>
    <w:p>
      <w:pPr>
        <w:pStyle w:val="BodyText"/>
        <w:spacing w:line="360" w:lineRule="auto"/>
        <w:ind w:left="1128" w:right="611" w:firstLine="708"/>
        <w:jc w:val="both"/>
      </w:pPr>
      <w:r>
        <w:rPr/>
        <w:t>Bu araştırmaya katılan personelin yaşadığı yerde afet meydana gelmeyenlerin oranının %73,3 olduğu tespit edilmiştir. Bu sonuca göre yaşadığı yerde afete maruz kalmayanların afet tecrübesi olmadığı sonucuna varılabilir. Çalışmaya katılan personelin daha öncesinde afetle ilgili eğitim alanların oranının %56,2 olduğu tespit edilmiştir. Kurum tarafından çalışan personellere yeterli eğitim verildiği söylenebilir.</w:t>
      </w:r>
    </w:p>
    <w:p>
      <w:pPr>
        <w:spacing w:after="0" w:line="360" w:lineRule="auto"/>
        <w:jc w:val="both"/>
        <w:sectPr>
          <w:pgSz w:w="11910" w:h="16840"/>
          <w:pgMar w:header="0" w:footer="976" w:top="1580" w:bottom="1240" w:left="1140" w:right="520"/>
        </w:sectPr>
      </w:pPr>
    </w:p>
    <w:p>
      <w:pPr>
        <w:pStyle w:val="BodyText"/>
        <w:spacing w:line="360" w:lineRule="auto" w:before="98"/>
        <w:ind w:left="1128" w:right="611" w:firstLine="768"/>
        <w:jc w:val="both"/>
      </w:pPr>
      <w:r>
        <w:rPr/>
        <w:t>Çalışmaya</w:t>
      </w:r>
      <w:r>
        <w:rPr>
          <w:spacing w:val="-17"/>
        </w:rPr>
        <w:t> </w:t>
      </w:r>
      <w:r>
        <w:rPr/>
        <w:t>katılan</w:t>
      </w:r>
      <w:r>
        <w:rPr>
          <w:spacing w:val="-16"/>
        </w:rPr>
        <w:t> </w:t>
      </w:r>
      <w:r>
        <w:rPr/>
        <w:t>personelden</w:t>
      </w:r>
      <w:r>
        <w:rPr>
          <w:spacing w:val="-15"/>
        </w:rPr>
        <w:t> </w:t>
      </w:r>
      <w:r>
        <w:rPr/>
        <w:t>afetle</w:t>
      </w:r>
      <w:r>
        <w:rPr>
          <w:spacing w:val="-17"/>
        </w:rPr>
        <w:t> </w:t>
      </w:r>
      <w:r>
        <w:rPr/>
        <w:t>ilgili</w:t>
      </w:r>
      <w:r>
        <w:rPr>
          <w:spacing w:val="-14"/>
        </w:rPr>
        <w:t> </w:t>
      </w:r>
      <w:r>
        <w:rPr/>
        <w:t>tatbikata</w:t>
      </w:r>
      <w:r>
        <w:rPr>
          <w:spacing w:val="-15"/>
        </w:rPr>
        <w:t> </w:t>
      </w:r>
      <w:r>
        <w:rPr/>
        <w:t>katılanların</w:t>
      </w:r>
      <w:r>
        <w:rPr>
          <w:spacing w:val="-16"/>
        </w:rPr>
        <w:t> </w:t>
      </w:r>
      <w:r>
        <w:rPr/>
        <w:t>oranı</w:t>
      </w:r>
      <w:r>
        <w:rPr>
          <w:spacing w:val="-15"/>
        </w:rPr>
        <w:t> </w:t>
      </w:r>
      <w:r>
        <w:rPr/>
        <w:t>%36,2</w:t>
      </w:r>
      <w:r>
        <w:rPr>
          <w:spacing w:val="-13"/>
        </w:rPr>
        <w:t> </w:t>
      </w:r>
      <w:r>
        <w:rPr/>
        <w:t>iken, katılmayanların oranının %63,8 olduğu bulunmuştur. Kurumun afete hazırlık düzeyini artırmak için afet tatbikatlarına daha fazla katılımın sağlaması gerektiği</w:t>
      </w:r>
      <w:r>
        <w:rPr>
          <w:spacing w:val="-8"/>
        </w:rPr>
        <w:t> </w:t>
      </w:r>
      <w:r>
        <w:rPr/>
        <w:t>söylenebilir.</w:t>
      </w:r>
    </w:p>
    <w:p>
      <w:pPr>
        <w:spacing w:after="0" w:line="360" w:lineRule="auto"/>
        <w:jc w:val="both"/>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3646"/>
      </w:pPr>
      <w:r>
        <w:rPr/>
        <w:t>SONUÇ VE DEĞERLENDİRME</w:t>
      </w:r>
    </w:p>
    <w:p>
      <w:pPr>
        <w:pStyle w:val="BodyText"/>
        <w:spacing w:before="5"/>
        <w:rPr>
          <w:b/>
          <w:sz w:val="35"/>
        </w:rPr>
      </w:pPr>
    </w:p>
    <w:p>
      <w:pPr>
        <w:pStyle w:val="BodyText"/>
        <w:spacing w:line="360" w:lineRule="auto"/>
        <w:ind w:left="1128" w:right="610" w:firstLine="708"/>
        <w:jc w:val="both"/>
      </w:pPr>
      <w:r>
        <w:rPr/>
        <w:t>Bu</w:t>
      </w:r>
      <w:r>
        <w:rPr>
          <w:spacing w:val="-13"/>
        </w:rPr>
        <w:t> </w:t>
      </w:r>
      <w:r>
        <w:rPr/>
        <w:t>araştırmada</w:t>
      </w:r>
      <w:r>
        <w:rPr>
          <w:spacing w:val="-9"/>
        </w:rPr>
        <w:t> </w:t>
      </w:r>
      <w:r>
        <w:rPr/>
        <w:t>aşağıdaki</w:t>
      </w:r>
      <w:r>
        <w:rPr>
          <w:spacing w:val="-10"/>
        </w:rPr>
        <w:t> </w:t>
      </w:r>
      <w:r>
        <w:rPr/>
        <w:t>sonuçlar</w:t>
      </w:r>
      <w:r>
        <w:rPr>
          <w:spacing w:val="-13"/>
        </w:rPr>
        <w:t> </w:t>
      </w:r>
      <w:r>
        <w:rPr/>
        <w:t>bulunmuştur.</w:t>
      </w:r>
      <w:r>
        <w:rPr>
          <w:spacing w:val="-12"/>
        </w:rPr>
        <w:t> </w:t>
      </w:r>
      <w:r>
        <w:rPr/>
        <w:t>Sağlık</w:t>
      </w:r>
      <w:r>
        <w:rPr>
          <w:spacing w:val="-12"/>
        </w:rPr>
        <w:t> </w:t>
      </w:r>
      <w:r>
        <w:rPr/>
        <w:t>personelinin</w:t>
      </w:r>
      <w:r>
        <w:rPr>
          <w:spacing w:val="-12"/>
        </w:rPr>
        <w:t> </w:t>
      </w:r>
      <w:r>
        <w:rPr/>
        <w:t>afete</w:t>
      </w:r>
      <w:r>
        <w:rPr>
          <w:spacing w:val="-13"/>
        </w:rPr>
        <w:t> </w:t>
      </w:r>
      <w:r>
        <w:rPr/>
        <w:t>hazırlık düzeyi orta düzeyde</w:t>
      </w:r>
      <w:r>
        <w:rPr>
          <w:spacing w:val="-3"/>
        </w:rPr>
        <w:t> </w:t>
      </w:r>
      <w:r>
        <w:rPr/>
        <w:t>bulunmuştur.</w:t>
      </w:r>
    </w:p>
    <w:p>
      <w:pPr>
        <w:pStyle w:val="BodyText"/>
        <w:spacing w:line="360" w:lineRule="auto"/>
        <w:ind w:left="1128" w:right="609" w:firstLine="708"/>
        <w:jc w:val="both"/>
      </w:pPr>
      <w:r>
        <w:rPr/>
        <w:t>Sağlık personelinin afet planı ile ilgili düşünceleri cinsiyete göre anlamlı</w:t>
      </w:r>
      <w:r>
        <w:rPr>
          <w:spacing w:val="-31"/>
        </w:rPr>
        <w:t> </w:t>
      </w:r>
      <w:r>
        <w:rPr/>
        <w:t>farklılık göstermediği tespit edilmiş ve kadın ve erkek oranlarının afete hazırlıklarının aynı düzeyde olduğu</w:t>
      </w:r>
      <w:r>
        <w:rPr>
          <w:spacing w:val="-2"/>
        </w:rPr>
        <w:t> </w:t>
      </w:r>
      <w:r>
        <w:rPr/>
        <w:t>bulunmuştur.</w:t>
      </w:r>
    </w:p>
    <w:p>
      <w:pPr>
        <w:pStyle w:val="BodyText"/>
        <w:spacing w:line="360" w:lineRule="auto" w:before="2"/>
        <w:ind w:left="1128" w:right="612" w:firstLine="708"/>
        <w:jc w:val="both"/>
      </w:pPr>
      <w:r>
        <w:rPr/>
        <w:t>Sağlık personelinin afet planı ile ilgili düşünceleri öğrenim durumuna göre anlamlı farklılık göstermediği tespit edilmiştir. Afete hazırlık düzeyinde öğrenim durumunun etkili olmadığı tespit edilmiştir.</w:t>
      </w:r>
    </w:p>
    <w:p>
      <w:pPr>
        <w:pStyle w:val="BodyText"/>
        <w:spacing w:line="360" w:lineRule="auto"/>
        <w:ind w:left="1128" w:right="609" w:firstLine="708"/>
        <w:jc w:val="both"/>
      </w:pPr>
      <w:r>
        <w:rPr/>
        <w:t>Sağlık personelinin afet eğitim ve tatbikatlarının etkin olarak gerçekleştirildiği düşüncesine katılımlarının, daha önce afetle ilgili eğitim alıp almama durumuna göre anlamlı farklılık gösterdiği tespit edilmiştir. Eğitim alan sağlık personellerinin eğitim almayanlara oranla afete hazırlık düzeyinin daha yüksek olduğu tespit edilmiştir. Kurum tarafında yeterli düzeyde eğitim verildiği söylenebilir.</w:t>
      </w:r>
    </w:p>
    <w:p>
      <w:pPr>
        <w:pStyle w:val="BodyText"/>
        <w:spacing w:line="360" w:lineRule="auto"/>
        <w:ind w:left="1128" w:right="612" w:firstLine="708"/>
        <w:jc w:val="both"/>
      </w:pPr>
      <w:r>
        <w:rPr/>
        <w:t>Sağlık personelinin koordinasyon ile ilgili düşüncelerinin, kurumdaki görevine göre anlamlı farklılık göstermediği tespit edilmiştir. Afete hazırlık düzeyinde kurumdaki görevin koordinasyonda etkili olmadığı tespit edilmiştir.</w:t>
      </w:r>
    </w:p>
    <w:p>
      <w:pPr>
        <w:pStyle w:val="BodyText"/>
        <w:spacing w:line="360" w:lineRule="auto"/>
        <w:ind w:left="1128" w:right="610" w:firstLine="708"/>
        <w:jc w:val="both"/>
      </w:pPr>
      <w:r>
        <w:rPr/>
        <w:t>Sağlık personelinin KBRN olaylarına ve tehlikeli maddelere müdahale ile ilgili düşüncelerinin,</w:t>
      </w:r>
      <w:r>
        <w:rPr>
          <w:spacing w:val="-17"/>
        </w:rPr>
        <w:t> </w:t>
      </w:r>
      <w:r>
        <w:rPr/>
        <w:t>cinsiye</w:t>
      </w:r>
      <w:r>
        <w:rPr>
          <w:spacing w:val="-15"/>
        </w:rPr>
        <w:t> </w:t>
      </w:r>
      <w:r>
        <w:rPr/>
        <w:t>göre</w:t>
      </w:r>
      <w:r>
        <w:rPr>
          <w:spacing w:val="-19"/>
        </w:rPr>
        <w:t> </w:t>
      </w:r>
      <w:r>
        <w:rPr/>
        <w:t>anlamlı</w:t>
      </w:r>
      <w:r>
        <w:rPr>
          <w:spacing w:val="-16"/>
        </w:rPr>
        <w:t> </w:t>
      </w:r>
      <w:r>
        <w:rPr/>
        <w:t>farklılık</w:t>
      </w:r>
      <w:r>
        <w:rPr>
          <w:spacing w:val="-16"/>
        </w:rPr>
        <w:t> </w:t>
      </w:r>
      <w:r>
        <w:rPr/>
        <w:t>göstermediği</w:t>
      </w:r>
      <w:r>
        <w:rPr>
          <w:spacing w:val="-16"/>
        </w:rPr>
        <w:t> </w:t>
      </w:r>
      <w:r>
        <w:rPr/>
        <w:t>tespit</w:t>
      </w:r>
      <w:r>
        <w:rPr>
          <w:spacing w:val="-16"/>
        </w:rPr>
        <w:t> </w:t>
      </w:r>
      <w:r>
        <w:rPr/>
        <w:t>edilmiştir.</w:t>
      </w:r>
      <w:r>
        <w:rPr>
          <w:spacing w:val="-15"/>
        </w:rPr>
        <w:t> </w:t>
      </w:r>
      <w:r>
        <w:rPr/>
        <w:t>Afete</w:t>
      </w:r>
      <w:r>
        <w:rPr>
          <w:spacing w:val="-16"/>
        </w:rPr>
        <w:t> </w:t>
      </w:r>
      <w:r>
        <w:rPr/>
        <w:t>hazırlık düzeyinde kadın ve erkek oranlarının aynı düzeyde olduğu</w:t>
      </w:r>
      <w:r>
        <w:rPr>
          <w:spacing w:val="-5"/>
        </w:rPr>
        <w:t> </w:t>
      </w:r>
      <w:r>
        <w:rPr/>
        <w:t>söylenebilir.</w:t>
      </w:r>
    </w:p>
    <w:p>
      <w:pPr>
        <w:pStyle w:val="BodyText"/>
        <w:spacing w:line="360" w:lineRule="auto"/>
        <w:ind w:left="1128" w:right="614" w:firstLine="708"/>
        <w:jc w:val="both"/>
      </w:pPr>
      <w:r>
        <w:rPr/>
        <w:t>Sağlık personelinin KBRN olaylarına ve tehlikeli maddelere müdahale ile ilgili düşüncelerinin, mesleğe göre anlamlı farklılık göstermediği tespit edilmiştir.</w:t>
      </w:r>
    </w:p>
    <w:p>
      <w:pPr>
        <w:pStyle w:val="BodyText"/>
        <w:spacing w:line="360" w:lineRule="auto"/>
        <w:ind w:left="1128" w:right="610" w:firstLine="708"/>
        <w:jc w:val="both"/>
      </w:pPr>
      <w:r>
        <w:rPr/>
        <w:t>Sağlık personelinin personel ve yöneticiler hakkında düşünceleri ile liderlik, ekip yönetimi, çalışma yönetimi ve stres altında çalışma arasında anlamlı yani pozitif yönde bir ilişki olduğu tespit edilmiştir.</w:t>
      </w:r>
    </w:p>
    <w:p>
      <w:pPr>
        <w:pStyle w:val="BodyText"/>
        <w:spacing w:line="360" w:lineRule="auto" w:before="1"/>
        <w:ind w:left="1128" w:right="611" w:firstLine="708"/>
        <w:jc w:val="both"/>
      </w:pPr>
      <w:r>
        <w:rPr/>
        <w:t>Sağlık personelinin triaj, kayıtlar ve özel patolojiler ile ilgili düşüncelerinin,</w:t>
      </w:r>
      <w:r>
        <w:rPr>
          <w:spacing w:val="-35"/>
        </w:rPr>
        <w:t> </w:t>
      </w:r>
      <w:r>
        <w:rPr/>
        <w:t>daha önce bir afette veya olağan dışı durumda görev alıp almama durumuna göre anlamlı bir farklılık olmadığı tespit edilmiştir. Triaj, kayıtlar ve özel patolojilerle ilgili daha önce afette </w:t>
      </w:r>
      <w:r>
        <w:rPr>
          <w:spacing w:val="-3"/>
        </w:rPr>
        <w:t>ya </w:t>
      </w:r>
      <w:r>
        <w:rPr/>
        <w:t>da olağandışı durumda görev alanlar ile almayan ortalaması hemen hemen aynı düzeyde olduğu için anlamlı fark olmadığı</w:t>
      </w:r>
      <w:r>
        <w:rPr>
          <w:spacing w:val="-2"/>
        </w:rPr>
        <w:t> </w:t>
      </w:r>
      <w:r>
        <w:rPr/>
        <w:t>söylenebilir.</w:t>
      </w:r>
    </w:p>
    <w:p>
      <w:pPr>
        <w:spacing w:after="0" w:line="360" w:lineRule="auto"/>
        <w:jc w:val="both"/>
        <w:sectPr>
          <w:pgSz w:w="11910" w:h="16840"/>
          <w:pgMar w:header="0" w:footer="976" w:top="1580" w:bottom="1240" w:left="1140" w:right="520"/>
        </w:sectPr>
      </w:pPr>
    </w:p>
    <w:p>
      <w:pPr>
        <w:pStyle w:val="BodyText"/>
        <w:spacing w:line="360" w:lineRule="auto" w:before="98"/>
        <w:ind w:left="1128" w:right="612" w:firstLine="708"/>
        <w:jc w:val="both"/>
      </w:pPr>
      <w:r>
        <w:rPr/>
        <w:t>Sağlık personelinin liderlik, ekip yönetimi, çalışma yönetimi ve stres altında çalışma ile ilgili düşüncelerinin, çalıştığı kurumun durumuna göre anlamlı bir farklılık göstermediği tespit edilmiştir. Afete hazırlık düzeyinde liderlik boyutunun çalıştığı kurumdan etkilenmediği söylenebilir</w:t>
      </w:r>
    </w:p>
    <w:p>
      <w:pPr>
        <w:pStyle w:val="BodyText"/>
        <w:spacing w:line="360" w:lineRule="auto"/>
        <w:ind w:left="1128" w:right="613" w:firstLine="708"/>
      </w:pPr>
      <w:r>
        <w:rPr/>
        <w:t>Sağlık personelinin triaj, kayıtlar ve özel patolojiler ile çevre sağlığı, ruh sağlığı ve toplum sağlığı arasında pozitif yönde bir ilişki olduğu tespit edilmiştir.</w:t>
      </w:r>
    </w:p>
    <w:p>
      <w:pPr>
        <w:pStyle w:val="BodyText"/>
        <w:spacing w:before="10"/>
        <w:rPr>
          <w:sz w:val="35"/>
        </w:rPr>
      </w:pPr>
    </w:p>
    <w:p>
      <w:pPr>
        <w:pStyle w:val="BodyText"/>
        <w:ind w:left="1836"/>
      </w:pPr>
      <w:r>
        <w:rPr/>
        <w:t>Öneriler;</w:t>
      </w:r>
    </w:p>
    <w:p>
      <w:pPr>
        <w:pStyle w:val="ListParagraph"/>
        <w:numPr>
          <w:ilvl w:val="1"/>
          <w:numId w:val="16"/>
        </w:numPr>
        <w:tabs>
          <w:tab w:pos="2544" w:val="left" w:leader="none"/>
          <w:tab w:pos="2545" w:val="left" w:leader="none"/>
        </w:tabs>
        <w:spacing w:line="240" w:lineRule="auto" w:before="139" w:after="0"/>
        <w:ind w:left="1128" w:right="0" w:firstLine="708"/>
        <w:jc w:val="left"/>
        <w:rPr>
          <w:sz w:val="24"/>
        </w:rPr>
      </w:pPr>
      <w:r>
        <w:rPr>
          <w:sz w:val="24"/>
        </w:rPr>
        <w:t>Personelin afet planları hakkında bilgi ve becerileri</w:t>
      </w:r>
      <w:r>
        <w:rPr>
          <w:spacing w:val="-3"/>
          <w:sz w:val="24"/>
        </w:rPr>
        <w:t> </w:t>
      </w:r>
      <w:r>
        <w:rPr>
          <w:sz w:val="24"/>
        </w:rPr>
        <w:t>artırılmalıdır.</w:t>
      </w:r>
    </w:p>
    <w:p>
      <w:pPr>
        <w:pStyle w:val="ListParagraph"/>
        <w:numPr>
          <w:ilvl w:val="1"/>
          <w:numId w:val="16"/>
        </w:numPr>
        <w:tabs>
          <w:tab w:pos="2544" w:val="left" w:leader="none"/>
          <w:tab w:pos="2545" w:val="left" w:leader="none"/>
        </w:tabs>
        <w:spacing w:line="360" w:lineRule="auto" w:before="138" w:after="0"/>
        <w:ind w:left="1128" w:right="614" w:firstLine="708"/>
        <w:jc w:val="left"/>
        <w:rPr>
          <w:sz w:val="24"/>
        </w:rPr>
      </w:pPr>
      <w:r>
        <w:rPr>
          <w:sz w:val="24"/>
        </w:rPr>
        <w:t>KBRN</w:t>
      </w:r>
      <w:r>
        <w:rPr>
          <w:spacing w:val="-11"/>
          <w:sz w:val="24"/>
        </w:rPr>
        <w:t> </w:t>
      </w:r>
      <w:r>
        <w:rPr>
          <w:sz w:val="24"/>
        </w:rPr>
        <w:t>olaylarında</w:t>
      </w:r>
      <w:r>
        <w:rPr>
          <w:spacing w:val="-9"/>
          <w:sz w:val="24"/>
        </w:rPr>
        <w:t> </w:t>
      </w:r>
      <w:r>
        <w:rPr>
          <w:sz w:val="24"/>
        </w:rPr>
        <w:t>gerekli</w:t>
      </w:r>
      <w:r>
        <w:rPr>
          <w:spacing w:val="-9"/>
          <w:sz w:val="24"/>
        </w:rPr>
        <w:t> </w:t>
      </w:r>
      <w:r>
        <w:rPr>
          <w:sz w:val="24"/>
        </w:rPr>
        <w:t>müdahalenin</w:t>
      </w:r>
      <w:r>
        <w:rPr>
          <w:spacing w:val="-8"/>
          <w:sz w:val="24"/>
        </w:rPr>
        <w:t> </w:t>
      </w:r>
      <w:r>
        <w:rPr>
          <w:sz w:val="24"/>
        </w:rPr>
        <w:t>yapılabilmesi</w:t>
      </w:r>
      <w:r>
        <w:rPr>
          <w:spacing w:val="-9"/>
          <w:sz w:val="24"/>
        </w:rPr>
        <w:t> </w:t>
      </w:r>
      <w:r>
        <w:rPr>
          <w:sz w:val="24"/>
        </w:rPr>
        <w:t>için</w:t>
      </w:r>
      <w:r>
        <w:rPr>
          <w:spacing w:val="-8"/>
          <w:sz w:val="24"/>
        </w:rPr>
        <w:t> </w:t>
      </w:r>
      <w:r>
        <w:rPr>
          <w:sz w:val="24"/>
        </w:rPr>
        <w:t>yeterli</w:t>
      </w:r>
      <w:r>
        <w:rPr>
          <w:spacing w:val="-10"/>
          <w:sz w:val="24"/>
        </w:rPr>
        <w:t> </w:t>
      </w:r>
      <w:r>
        <w:rPr>
          <w:sz w:val="24"/>
        </w:rPr>
        <w:t>düzeyde önlemler</w:t>
      </w:r>
      <w:r>
        <w:rPr>
          <w:spacing w:val="-2"/>
          <w:sz w:val="24"/>
        </w:rPr>
        <w:t> </w:t>
      </w:r>
      <w:r>
        <w:rPr>
          <w:sz w:val="24"/>
        </w:rPr>
        <w:t>alınmalıdır.</w:t>
      </w:r>
    </w:p>
    <w:p>
      <w:pPr>
        <w:pStyle w:val="ListParagraph"/>
        <w:numPr>
          <w:ilvl w:val="1"/>
          <w:numId w:val="16"/>
        </w:numPr>
        <w:tabs>
          <w:tab w:pos="2604" w:val="left" w:leader="none"/>
          <w:tab w:pos="2605" w:val="left" w:leader="none"/>
        </w:tabs>
        <w:spacing w:line="360" w:lineRule="auto" w:before="0" w:after="0"/>
        <w:ind w:left="1128" w:right="615" w:firstLine="708"/>
        <w:jc w:val="left"/>
        <w:rPr>
          <w:sz w:val="24"/>
        </w:rPr>
      </w:pPr>
      <w:r>
        <w:rPr>
          <w:sz w:val="24"/>
        </w:rPr>
        <w:t>Afet eğitim ve tatbikatlarında afet bilincini oluşturmak için eğitimler verilmeli ve tatbikatlar</w:t>
      </w:r>
      <w:r>
        <w:rPr>
          <w:spacing w:val="1"/>
          <w:sz w:val="24"/>
        </w:rPr>
        <w:t> </w:t>
      </w:r>
      <w:r>
        <w:rPr>
          <w:sz w:val="24"/>
        </w:rPr>
        <w:t>yapılmalıdır.</w:t>
      </w:r>
    </w:p>
    <w:p>
      <w:pPr>
        <w:pStyle w:val="ListParagraph"/>
        <w:numPr>
          <w:ilvl w:val="1"/>
          <w:numId w:val="16"/>
        </w:numPr>
        <w:tabs>
          <w:tab w:pos="2544" w:val="left" w:leader="none"/>
          <w:tab w:pos="2545" w:val="left" w:leader="none"/>
        </w:tabs>
        <w:spacing w:line="360" w:lineRule="auto" w:before="0" w:after="0"/>
        <w:ind w:left="1128" w:right="610" w:firstLine="708"/>
        <w:jc w:val="left"/>
        <w:rPr>
          <w:sz w:val="24"/>
        </w:rPr>
      </w:pPr>
      <w:r>
        <w:rPr>
          <w:sz w:val="24"/>
        </w:rPr>
        <w:t>Koordinasyon</w:t>
      </w:r>
      <w:r>
        <w:rPr>
          <w:spacing w:val="-12"/>
          <w:sz w:val="24"/>
        </w:rPr>
        <w:t> </w:t>
      </w:r>
      <w:r>
        <w:rPr>
          <w:sz w:val="24"/>
        </w:rPr>
        <w:t>arttırılarak</w:t>
      </w:r>
      <w:r>
        <w:rPr>
          <w:spacing w:val="-9"/>
          <w:sz w:val="24"/>
        </w:rPr>
        <w:t> </w:t>
      </w:r>
      <w:r>
        <w:rPr>
          <w:sz w:val="24"/>
        </w:rPr>
        <w:t>personeller</w:t>
      </w:r>
      <w:r>
        <w:rPr>
          <w:spacing w:val="-10"/>
          <w:sz w:val="24"/>
        </w:rPr>
        <w:t> </w:t>
      </w:r>
      <w:r>
        <w:rPr>
          <w:sz w:val="24"/>
        </w:rPr>
        <w:t>arası,</w:t>
      </w:r>
      <w:r>
        <w:rPr>
          <w:spacing w:val="-10"/>
          <w:sz w:val="24"/>
        </w:rPr>
        <w:t> </w:t>
      </w:r>
      <w:r>
        <w:rPr>
          <w:sz w:val="24"/>
        </w:rPr>
        <w:t>kurum</w:t>
      </w:r>
      <w:r>
        <w:rPr>
          <w:spacing w:val="-10"/>
          <w:sz w:val="24"/>
        </w:rPr>
        <w:t> </w:t>
      </w:r>
      <w:r>
        <w:rPr>
          <w:sz w:val="24"/>
        </w:rPr>
        <w:t>ve</w:t>
      </w:r>
      <w:r>
        <w:rPr>
          <w:spacing w:val="-13"/>
          <w:sz w:val="24"/>
        </w:rPr>
        <w:t> </w:t>
      </w:r>
      <w:r>
        <w:rPr>
          <w:sz w:val="24"/>
        </w:rPr>
        <w:t>kuruluşlar</w:t>
      </w:r>
      <w:r>
        <w:rPr>
          <w:spacing w:val="-12"/>
          <w:sz w:val="24"/>
        </w:rPr>
        <w:t> </w:t>
      </w:r>
      <w:r>
        <w:rPr>
          <w:sz w:val="24"/>
        </w:rPr>
        <w:t>arası</w:t>
      </w:r>
      <w:r>
        <w:rPr>
          <w:spacing w:val="-10"/>
          <w:sz w:val="24"/>
        </w:rPr>
        <w:t> </w:t>
      </w:r>
      <w:r>
        <w:rPr>
          <w:sz w:val="24"/>
        </w:rPr>
        <w:t>daha koordineli çalışma</w:t>
      </w:r>
      <w:r>
        <w:rPr>
          <w:spacing w:val="-1"/>
          <w:sz w:val="24"/>
        </w:rPr>
        <w:t> </w:t>
      </w:r>
      <w:r>
        <w:rPr>
          <w:sz w:val="24"/>
        </w:rPr>
        <w:t>sağlanmalıdır.</w:t>
      </w:r>
    </w:p>
    <w:p>
      <w:pPr>
        <w:pStyle w:val="ListParagraph"/>
        <w:numPr>
          <w:ilvl w:val="1"/>
          <w:numId w:val="16"/>
        </w:numPr>
        <w:tabs>
          <w:tab w:pos="2544" w:val="left" w:leader="none"/>
          <w:tab w:pos="2545" w:val="left" w:leader="none"/>
        </w:tabs>
        <w:spacing w:line="360" w:lineRule="auto" w:before="0" w:after="0"/>
        <w:ind w:left="1128" w:right="614" w:firstLine="708"/>
        <w:jc w:val="left"/>
        <w:rPr>
          <w:sz w:val="24"/>
        </w:rPr>
      </w:pPr>
      <w:r>
        <w:rPr>
          <w:sz w:val="24"/>
        </w:rPr>
        <w:t>Triajla</w:t>
      </w:r>
      <w:r>
        <w:rPr>
          <w:spacing w:val="-5"/>
          <w:sz w:val="24"/>
        </w:rPr>
        <w:t> </w:t>
      </w:r>
      <w:r>
        <w:rPr>
          <w:sz w:val="24"/>
        </w:rPr>
        <w:t>ilgili</w:t>
      </w:r>
      <w:r>
        <w:rPr>
          <w:spacing w:val="-4"/>
          <w:sz w:val="24"/>
        </w:rPr>
        <w:t> </w:t>
      </w:r>
      <w:r>
        <w:rPr>
          <w:sz w:val="24"/>
        </w:rPr>
        <w:t>daha</w:t>
      </w:r>
      <w:r>
        <w:rPr>
          <w:spacing w:val="-6"/>
          <w:sz w:val="24"/>
        </w:rPr>
        <w:t> </w:t>
      </w:r>
      <w:r>
        <w:rPr>
          <w:sz w:val="24"/>
        </w:rPr>
        <w:t>fazla</w:t>
      </w:r>
      <w:r>
        <w:rPr>
          <w:spacing w:val="-4"/>
          <w:sz w:val="24"/>
        </w:rPr>
        <w:t> </w:t>
      </w:r>
      <w:r>
        <w:rPr>
          <w:sz w:val="24"/>
        </w:rPr>
        <w:t>bilgi</w:t>
      </w:r>
      <w:r>
        <w:rPr>
          <w:spacing w:val="-4"/>
          <w:sz w:val="24"/>
        </w:rPr>
        <w:t> </w:t>
      </w:r>
      <w:r>
        <w:rPr>
          <w:sz w:val="24"/>
        </w:rPr>
        <w:t>verilerek</w:t>
      </w:r>
      <w:r>
        <w:rPr>
          <w:spacing w:val="-5"/>
          <w:sz w:val="24"/>
        </w:rPr>
        <w:t> </w:t>
      </w:r>
      <w:r>
        <w:rPr>
          <w:sz w:val="24"/>
        </w:rPr>
        <w:t>afet</w:t>
      </w:r>
      <w:r>
        <w:rPr>
          <w:spacing w:val="-4"/>
          <w:sz w:val="24"/>
        </w:rPr>
        <w:t> </w:t>
      </w:r>
      <w:r>
        <w:rPr>
          <w:sz w:val="24"/>
        </w:rPr>
        <w:t>ortamında</w:t>
      </w:r>
      <w:r>
        <w:rPr>
          <w:spacing w:val="-5"/>
          <w:sz w:val="24"/>
        </w:rPr>
        <w:t> </w:t>
      </w:r>
      <w:r>
        <w:rPr>
          <w:sz w:val="24"/>
        </w:rPr>
        <w:t>daha</w:t>
      </w:r>
      <w:r>
        <w:rPr>
          <w:spacing w:val="-6"/>
          <w:sz w:val="24"/>
        </w:rPr>
        <w:t> </w:t>
      </w:r>
      <w:r>
        <w:rPr>
          <w:sz w:val="24"/>
        </w:rPr>
        <w:t>verimli</w:t>
      </w:r>
      <w:r>
        <w:rPr>
          <w:spacing w:val="-4"/>
          <w:sz w:val="24"/>
        </w:rPr>
        <w:t> </w:t>
      </w:r>
      <w:r>
        <w:rPr>
          <w:sz w:val="24"/>
        </w:rPr>
        <w:t>çalışma sağlanmalıdır.</w:t>
      </w:r>
    </w:p>
    <w:p>
      <w:pPr>
        <w:spacing w:after="0" w:line="360" w:lineRule="auto"/>
        <w:jc w:val="left"/>
        <w:rPr>
          <w:sz w:val="24"/>
        </w:rPr>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1456" w:right="943"/>
        <w:jc w:val="center"/>
      </w:pPr>
      <w:r>
        <w:rPr/>
        <w:t>KAYNAKÇA</w:t>
      </w:r>
    </w:p>
    <w:p>
      <w:pPr>
        <w:pStyle w:val="BodyText"/>
        <w:rPr>
          <w:b/>
          <w:sz w:val="26"/>
        </w:rPr>
      </w:pPr>
    </w:p>
    <w:p>
      <w:pPr>
        <w:pStyle w:val="BodyText"/>
        <w:spacing w:before="6"/>
        <w:rPr>
          <w:b/>
          <w:sz w:val="21"/>
        </w:rPr>
      </w:pPr>
    </w:p>
    <w:p>
      <w:pPr>
        <w:pStyle w:val="BodyText"/>
        <w:spacing w:line="360" w:lineRule="auto"/>
        <w:ind w:left="1836" w:right="612" w:hanging="708"/>
        <w:jc w:val="both"/>
      </w:pPr>
      <w:r>
        <w:rPr/>
        <w:t>5902</w:t>
      </w:r>
      <w:r>
        <w:rPr>
          <w:spacing w:val="-7"/>
        </w:rPr>
        <w:t> </w:t>
      </w:r>
      <w:r>
        <w:rPr/>
        <w:t>Sayılı</w:t>
      </w:r>
      <w:r>
        <w:rPr>
          <w:spacing w:val="-5"/>
        </w:rPr>
        <w:t> </w:t>
      </w:r>
      <w:r>
        <w:rPr/>
        <w:t>Afet</w:t>
      </w:r>
      <w:r>
        <w:rPr>
          <w:spacing w:val="-6"/>
        </w:rPr>
        <w:t> </w:t>
      </w:r>
      <w:r>
        <w:rPr/>
        <w:t>ve</w:t>
      </w:r>
      <w:r>
        <w:rPr>
          <w:spacing w:val="-7"/>
        </w:rPr>
        <w:t> </w:t>
      </w:r>
      <w:r>
        <w:rPr/>
        <w:t>Acil</w:t>
      </w:r>
      <w:r>
        <w:rPr>
          <w:spacing w:val="-6"/>
        </w:rPr>
        <w:t> </w:t>
      </w:r>
      <w:r>
        <w:rPr/>
        <w:t>Durum</w:t>
      </w:r>
      <w:r>
        <w:rPr>
          <w:spacing w:val="-6"/>
        </w:rPr>
        <w:t> </w:t>
      </w:r>
      <w:r>
        <w:rPr/>
        <w:t>Yönetimi</w:t>
      </w:r>
      <w:r>
        <w:rPr>
          <w:spacing w:val="-2"/>
        </w:rPr>
        <w:t> </w:t>
      </w:r>
      <w:r>
        <w:rPr/>
        <w:t>Başkanlığının</w:t>
      </w:r>
      <w:r>
        <w:rPr>
          <w:spacing w:val="-7"/>
        </w:rPr>
        <w:t> </w:t>
      </w:r>
      <w:r>
        <w:rPr/>
        <w:t>Teşkilat</w:t>
      </w:r>
      <w:r>
        <w:rPr>
          <w:spacing w:val="-5"/>
        </w:rPr>
        <w:t> </w:t>
      </w:r>
      <w:r>
        <w:rPr/>
        <w:t>ve</w:t>
      </w:r>
      <w:r>
        <w:rPr>
          <w:spacing w:val="-8"/>
        </w:rPr>
        <w:t> </w:t>
      </w:r>
      <w:r>
        <w:rPr/>
        <w:t>Görevleri</w:t>
      </w:r>
      <w:r>
        <w:rPr>
          <w:spacing w:val="-5"/>
        </w:rPr>
        <w:t> </w:t>
      </w:r>
      <w:r>
        <w:rPr/>
        <w:t>Hakkında Kanun, 17.06.2009 gün ve 27261 sayılı nüsha.</w:t>
      </w:r>
    </w:p>
    <w:p>
      <w:pPr>
        <w:spacing w:line="360" w:lineRule="auto" w:before="0"/>
        <w:ind w:left="1836" w:right="613" w:hanging="708"/>
        <w:jc w:val="both"/>
        <w:rPr>
          <w:sz w:val="24"/>
        </w:rPr>
      </w:pPr>
      <w:r>
        <w:rPr>
          <w:sz w:val="24"/>
        </w:rPr>
        <w:t>AFAD; (2014a), </w:t>
      </w:r>
      <w:r>
        <w:rPr>
          <w:b/>
          <w:sz w:val="24"/>
        </w:rPr>
        <w:t>“Açıklamalı Afet Yönetimi Terimleri Sözlüğü”, </w:t>
      </w:r>
      <w:hyperlink r:id="rId33">
        <w:r>
          <w:rPr>
            <w:sz w:val="24"/>
          </w:rPr>
          <w:t>https://www.afad.gov.tr/upload/Node/3495/xfiles/sozluk.pdf</w:t>
        </w:r>
      </w:hyperlink>
      <w:r>
        <w:rPr>
          <w:sz w:val="24"/>
        </w:rPr>
        <w:t>, Erişim Tarihi: 01.04.2019.</w:t>
      </w:r>
    </w:p>
    <w:p>
      <w:pPr>
        <w:spacing w:line="360" w:lineRule="auto" w:before="0"/>
        <w:ind w:left="1836" w:right="617" w:hanging="708"/>
        <w:jc w:val="left"/>
        <w:rPr>
          <w:sz w:val="24"/>
        </w:rPr>
      </w:pPr>
      <w:r>
        <w:rPr>
          <w:sz w:val="24"/>
        </w:rPr>
        <w:t>AFAD; (2014c), </w:t>
      </w:r>
      <w:r>
        <w:rPr>
          <w:b/>
          <w:sz w:val="24"/>
        </w:rPr>
        <w:t>Türkiye Afet Farkındalığı ve Afetlere Hazırlık Araştırması, </w:t>
      </w:r>
      <w:r>
        <w:rPr>
          <w:sz w:val="24"/>
        </w:rPr>
        <w:t>htt</w:t>
      </w:r>
      <w:hyperlink r:id="rId34">
        <w:r>
          <w:rPr>
            <w:sz w:val="24"/>
          </w:rPr>
          <w:t>ps://www.afad.</w:t>
        </w:r>
      </w:hyperlink>
      <w:r>
        <w:rPr>
          <w:sz w:val="24"/>
        </w:rPr>
        <w:t>g</w:t>
      </w:r>
      <w:hyperlink r:id="rId34">
        <w:r>
          <w:rPr>
            <w:sz w:val="24"/>
          </w:rPr>
          <w:t>ov.tr/upload/Node/3923/xfiles/turkiye-afet-farkindaligi-</w:t>
        </w:r>
      </w:hyperlink>
      <w:r>
        <w:rPr>
          <w:sz w:val="24"/>
        </w:rPr>
        <w:t> veafetlere-hazirlik-arastirmasi_-2014-edited.pdf, Erişim Tarihi: 01.04.2019</w:t>
      </w:r>
    </w:p>
    <w:p>
      <w:pPr>
        <w:pStyle w:val="BodyText"/>
        <w:spacing w:before="1"/>
        <w:ind w:left="1128"/>
      </w:pPr>
      <w:r>
        <w:rPr/>
        <w:t>Afet ve Acil Durum Yönetimi Başkanlığı,</w:t>
      </w:r>
    </w:p>
    <w:p>
      <w:pPr>
        <w:pStyle w:val="BodyText"/>
        <w:spacing w:before="137"/>
        <w:ind w:left="1836"/>
      </w:pPr>
      <w:hyperlink r:id="rId35">
        <w:r>
          <w:rPr/>
          <w:t>https://deprem.afad.gov.tr</w:t>
        </w:r>
      </w:hyperlink>
      <w:r>
        <w:rPr/>
        <w:t> deprem-tehlike-haritası, Erişim Tarihi: 01.04.2019.</w:t>
      </w:r>
    </w:p>
    <w:p>
      <w:pPr>
        <w:pStyle w:val="BodyText"/>
        <w:spacing w:before="139"/>
        <w:ind w:left="1128"/>
      </w:pPr>
      <w:r>
        <w:rPr/>
        <w:t>Afet ve Acil Durum Yönetimi Başkanlığı,</w:t>
      </w:r>
    </w:p>
    <w:p>
      <w:pPr>
        <w:pStyle w:val="BodyText"/>
        <w:spacing w:before="137"/>
        <w:ind w:left="1836"/>
      </w:pPr>
      <w:hyperlink r:id="rId21">
        <w:r>
          <w:rPr/>
          <w:t>https://www.afad.gov.tr/tr/2218/Teskilat-Semasi,</w:t>
        </w:r>
      </w:hyperlink>
      <w:r>
        <w:rPr/>
        <w:t> Erişim Tarihi: 01.04.2019.</w:t>
      </w:r>
    </w:p>
    <w:p>
      <w:pPr>
        <w:pStyle w:val="BodyText"/>
        <w:spacing w:line="360" w:lineRule="auto" w:before="139"/>
        <w:ind w:left="1836" w:right="620" w:hanging="708"/>
        <w:jc w:val="both"/>
      </w:pPr>
      <w:r>
        <w:rPr/>
        <w:t>Afet ve Acil Durum Yönetimi Başkanlığı, </w:t>
      </w:r>
      <w:hyperlink r:id="rId36">
        <w:r>
          <w:rPr/>
          <w:t>www.deprem.gov.tr/sarbis/depbolge/gumushane.gif/ </w:t>
        </w:r>
      </w:hyperlink>
      <w:r>
        <w:rPr/>
        <w:t>, Erişim Tarihi: 01.04.2019.</w:t>
      </w:r>
    </w:p>
    <w:p>
      <w:pPr>
        <w:pStyle w:val="BodyText"/>
        <w:spacing w:line="274" w:lineRule="exact"/>
        <w:ind w:left="1128"/>
      </w:pPr>
      <w:r>
        <w:rPr/>
        <w:t>AFAD; </w:t>
      </w:r>
      <w:hyperlink r:id="rId30">
        <w:r>
          <w:rPr/>
          <w:t>www.gumushane.afad.gov.tr </w:t>
        </w:r>
      </w:hyperlink>
      <w:r>
        <w:rPr/>
        <w:t>, Erişim Tarihi: 20.12.2018.</w:t>
      </w:r>
    </w:p>
    <w:p>
      <w:pPr>
        <w:spacing w:before="139"/>
        <w:ind w:left="1128" w:right="0" w:firstLine="0"/>
        <w:jc w:val="left"/>
        <w:rPr>
          <w:b/>
          <w:sz w:val="24"/>
        </w:rPr>
      </w:pPr>
      <w:r>
        <w:rPr>
          <w:sz w:val="24"/>
        </w:rPr>
        <w:t>AKDAĞ Emre; (2002), </w:t>
      </w:r>
      <w:r>
        <w:rPr>
          <w:b/>
          <w:sz w:val="24"/>
        </w:rPr>
        <w:t>Mali Yapı ve Denetim Boyutlarıyla Afet Yönetimi Sayıştay</w:t>
      </w:r>
    </w:p>
    <w:p>
      <w:pPr>
        <w:pStyle w:val="BodyText"/>
        <w:spacing w:before="137"/>
        <w:ind w:left="1836"/>
      </w:pPr>
      <w:r>
        <w:rPr/>
        <w:t>Yayın İşleri Müdürlüğü, 1. Baskı, Ankara.</w:t>
      </w:r>
    </w:p>
    <w:p>
      <w:pPr>
        <w:pStyle w:val="BodyText"/>
        <w:spacing w:line="360" w:lineRule="auto" w:before="140"/>
        <w:ind w:left="1836" w:right="610" w:hanging="708"/>
        <w:jc w:val="both"/>
      </w:pPr>
      <w:r>
        <w:rPr/>
        <w:t>AKINCI Ferhat; (2004), “The Aftermath of Disaster in Urban Areas: An Evaluation of the 1999 Earthquake in Turkey”, </w:t>
      </w:r>
      <w:r>
        <w:rPr>
          <w:b/>
        </w:rPr>
        <w:t>Cities, </w:t>
      </w:r>
      <w:r>
        <w:rPr/>
        <w:t>Volume: 21, No:</w:t>
      </w:r>
      <w:r>
        <w:rPr>
          <w:spacing w:val="-3"/>
        </w:rPr>
        <w:t> </w:t>
      </w:r>
      <w:r>
        <w:rPr/>
        <w:t>6.</w:t>
      </w:r>
    </w:p>
    <w:p>
      <w:pPr>
        <w:spacing w:line="360" w:lineRule="auto" w:before="0"/>
        <w:ind w:left="1836" w:right="613" w:hanging="708"/>
        <w:jc w:val="both"/>
        <w:rPr>
          <w:sz w:val="24"/>
        </w:rPr>
      </w:pPr>
      <w:r>
        <w:rPr>
          <w:sz w:val="24"/>
        </w:rPr>
        <w:t>AKTEL Mehmet ve ÇAĞLAR Nedret; (2007), </w:t>
      </w:r>
      <w:r>
        <w:rPr>
          <w:b/>
          <w:sz w:val="24"/>
        </w:rPr>
        <w:t>Isparta İli Afet (Kriz) Yönetim Yapılanması üzerine bir makale çalışması, </w:t>
      </w:r>
      <w:r>
        <w:rPr>
          <w:sz w:val="24"/>
        </w:rPr>
        <w:t>s. 153,</w:t>
      </w:r>
      <w:r>
        <w:rPr>
          <w:spacing w:val="-1"/>
          <w:sz w:val="24"/>
        </w:rPr>
        <w:t> </w:t>
      </w:r>
      <w:r>
        <w:rPr>
          <w:sz w:val="24"/>
        </w:rPr>
        <w:t>Isparta.</w:t>
      </w:r>
    </w:p>
    <w:p>
      <w:pPr>
        <w:spacing w:line="360" w:lineRule="auto" w:before="0"/>
        <w:ind w:left="1836" w:right="614" w:hanging="708"/>
        <w:jc w:val="both"/>
        <w:rPr>
          <w:sz w:val="24"/>
        </w:rPr>
      </w:pPr>
      <w:r>
        <w:rPr>
          <w:sz w:val="24"/>
        </w:rPr>
        <w:t>AKTEL Mehmet; (2010), “5902 Sayılı Yasa ile Türkiye’de Afet Yönetiminde Oluşan Değişim”, </w:t>
      </w:r>
      <w:r>
        <w:rPr>
          <w:b/>
          <w:sz w:val="24"/>
        </w:rPr>
        <w:t>Dumlupınar Üniversitesi Sosyal Bilimler Dergisi, </w:t>
      </w:r>
      <w:r>
        <w:rPr>
          <w:sz w:val="24"/>
        </w:rPr>
        <w:t>Sayı:27, Sayfa:169-180.</w:t>
      </w:r>
    </w:p>
    <w:p>
      <w:pPr>
        <w:pStyle w:val="BodyText"/>
        <w:spacing w:line="362" w:lineRule="auto"/>
        <w:ind w:left="1836" w:right="610" w:hanging="708"/>
        <w:jc w:val="both"/>
        <w:rPr>
          <w:b/>
        </w:rPr>
      </w:pPr>
      <w:r>
        <w:rPr/>
        <w:t>AKYEL Recai; (2007), Afet Yönetim Sistemi: Türk Afet Yönetiminde Karşılaşılan Sorunların Tespit ve Çözümüne İlişkin Bir Araştırma, Çukurova Üniversitesi- </w:t>
      </w:r>
      <w:r>
        <w:rPr>
          <w:b/>
        </w:rPr>
        <w:t>Adana, Doktora Tezi.</w:t>
      </w:r>
    </w:p>
    <w:p>
      <w:pPr>
        <w:spacing w:after="0" w:line="362" w:lineRule="auto"/>
        <w:jc w:val="both"/>
        <w:sectPr>
          <w:pgSz w:w="11910" w:h="16840"/>
          <w:pgMar w:header="0" w:footer="976" w:top="1580" w:bottom="1240" w:left="1140" w:right="520"/>
        </w:sectPr>
      </w:pPr>
    </w:p>
    <w:p>
      <w:pPr>
        <w:spacing w:line="360" w:lineRule="auto" w:before="98"/>
        <w:ind w:left="1836" w:right="608" w:hanging="708"/>
        <w:jc w:val="both"/>
        <w:rPr>
          <w:sz w:val="24"/>
        </w:rPr>
      </w:pPr>
      <w:r>
        <w:rPr>
          <w:sz w:val="24"/>
        </w:rPr>
        <w:t>ALAAĞAÇLI Sinem; (2006), </w:t>
      </w:r>
      <w:r>
        <w:rPr>
          <w:b/>
          <w:sz w:val="24"/>
        </w:rPr>
        <w:t>“Kriz ve Afet Yönetimi: Türkiye Örneği”, </w:t>
      </w:r>
      <w:r>
        <w:rPr>
          <w:sz w:val="24"/>
        </w:rPr>
        <w:t>Yüksek Lisans Tezi, Kocaeli Üniversitesi SBE, Kocaeli.</w:t>
      </w:r>
    </w:p>
    <w:p>
      <w:pPr>
        <w:pStyle w:val="BodyText"/>
        <w:spacing w:line="360" w:lineRule="auto"/>
        <w:ind w:left="1836" w:right="610" w:hanging="708"/>
        <w:jc w:val="both"/>
      </w:pPr>
      <w:r>
        <w:rPr/>
        <w:t>AYÇİÇEK</w:t>
      </w:r>
      <w:r>
        <w:rPr>
          <w:spacing w:val="-17"/>
        </w:rPr>
        <w:t> </w:t>
      </w:r>
      <w:r>
        <w:rPr/>
        <w:t>Seyfettin;</w:t>
      </w:r>
      <w:r>
        <w:rPr>
          <w:spacing w:val="-14"/>
        </w:rPr>
        <w:t> </w:t>
      </w:r>
      <w:r>
        <w:rPr/>
        <w:t>(2002),</w:t>
      </w:r>
      <w:r>
        <w:rPr>
          <w:spacing w:val="-16"/>
        </w:rPr>
        <w:t> </w:t>
      </w:r>
      <w:r>
        <w:rPr>
          <w:b/>
        </w:rPr>
        <w:t>“Heyelanlar”</w:t>
      </w:r>
      <w:r>
        <w:rPr>
          <w:b/>
          <w:spacing w:val="-16"/>
        </w:rPr>
        <w:t> </w:t>
      </w:r>
      <w:r>
        <w:rPr/>
        <w:t>Afet</w:t>
      </w:r>
      <w:r>
        <w:rPr>
          <w:spacing w:val="-16"/>
        </w:rPr>
        <w:t> </w:t>
      </w:r>
      <w:r>
        <w:rPr/>
        <w:t>ve</w:t>
      </w:r>
      <w:r>
        <w:rPr>
          <w:spacing w:val="-16"/>
        </w:rPr>
        <w:t> </w:t>
      </w:r>
      <w:r>
        <w:rPr/>
        <w:t>Afet</w:t>
      </w:r>
      <w:r>
        <w:rPr>
          <w:spacing w:val="-14"/>
        </w:rPr>
        <w:t> </w:t>
      </w:r>
      <w:r>
        <w:rPr/>
        <w:t>İşleri</w:t>
      </w:r>
      <w:r>
        <w:rPr>
          <w:spacing w:val="-15"/>
        </w:rPr>
        <w:t> </w:t>
      </w:r>
      <w:r>
        <w:rPr/>
        <w:t>Genel</w:t>
      </w:r>
      <w:r>
        <w:rPr>
          <w:spacing w:val="-16"/>
        </w:rPr>
        <w:t> </w:t>
      </w:r>
      <w:r>
        <w:rPr/>
        <w:t>Müdürlüğü</w:t>
      </w:r>
      <w:r>
        <w:rPr>
          <w:spacing w:val="-15"/>
        </w:rPr>
        <w:t> </w:t>
      </w:r>
      <w:r>
        <w:rPr/>
        <w:t>Eğitim- Haber Bilim Dergisi, sayı 2, s. 22, Ankara.</w:t>
      </w:r>
    </w:p>
    <w:p>
      <w:pPr>
        <w:pStyle w:val="BodyText"/>
        <w:spacing w:line="360" w:lineRule="auto"/>
        <w:ind w:left="1836" w:right="610" w:hanging="708"/>
        <w:jc w:val="both"/>
      </w:pPr>
      <w:r>
        <w:rPr/>
        <w:t>AYDINER Tolgahan; (2014), Doğal Afet Yönetişimi: Türkiye’de Doğal Afet Yönetimi Uygulamalarının Tarihsel Bağlamda Değerlendirilmesi, Yüksek Lisans Tezi, Pamukkale Üniversitesi, SBE, Denizli.</w:t>
      </w:r>
    </w:p>
    <w:p>
      <w:pPr>
        <w:spacing w:line="360" w:lineRule="auto" w:before="0"/>
        <w:ind w:left="1836" w:right="611" w:hanging="708"/>
        <w:jc w:val="both"/>
        <w:rPr>
          <w:sz w:val="24"/>
        </w:rPr>
      </w:pPr>
      <w:r>
        <w:rPr>
          <w:sz w:val="24"/>
        </w:rPr>
        <w:t>AYVAZOĞLU Gülşah; (2015), </w:t>
      </w:r>
      <w:r>
        <w:rPr>
          <w:b/>
          <w:sz w:val="24"/>
        </w:rPr>
        <w:t>‘‘KBRN İçin Hazırlılık ve Gönüllülük Düzeyi Belirleme</w:t>
      </w:r>
      <w:r>
        <w:rPr>
          <w:b/>
          <w:spacing w:val="-17"/>
          <w:sz w:val="24"/>
        </w:rPr>
        <w:t> </w:t>
      </w:r>
      <w:r>
        <w:rPr>
          <w:b/>
          <w:sz w:val="24"/>
        </w:rPr>
        <w:t>Çalışması:</w:t>
      </w:r>
      <w:r>
        <w:rPr>
          <w:b/>
          <w:spacing w:val="-14"/>
          <w:sz w:val="24"/>
        </w:rPr>
        <w:t> </w:t>
      </w:r>
      <w:r>
        <w:rPr>
          <w:b/>
          <w:sz w:val="24"/>
        </w:rPr>
        <w:t>Gümüşhane</w:t>
      </w:r>
      <w:r>
        <w:rPr>
          <w:b/>
          <w:spacing w:val="-16"/>
          <w:sz w:val="24"/>
        </w:rPr>
        <w:t> </w:t>
      </w:r>
      <w:r>
        <w:rPr>
          <w:b/>
          <w:sz w:val="24"/>
        </w:rPr>
        <w:t>İli</w:t>
      </w:r>
      <w:r>
        <w:rPr>
          <w:b/>
          <w:spacing w:val="-15"/>
          <w:sz w:val="24"/>
        </w:rPr>
        <w:t> </w:t>
      </w:r>
      <w:r>
        <w:rPr>
          <w:b/>
          <w:sz w:val="24"/>
        </w:rPr>
        <w:t>Örneği’’,</w:t>
      </w:r>
      <w:r>
        <w:rPr>
          <w:b/>
          <w:spacing w:val="-14"/>
          <w:sz w:val="24"/>
        </w:rPr>
        <w:t> </w:t>
      </w:r>
      <w:r>
        <w:rPr>
          <w:sz w:val="24"/>
        </w:rPr>
        <w:t>Yüksek</w:t>
      </w:r>
      <w:r>
        <w:rPr>
          <w:spacing w:val="-14"/>
          <w:sz w:val="24"/>
        </w:rPr>
        <w:t> </w:t>
      </w:r>
      <w:r>
        <w:rPr>
          <w:sz w:val="24"/>
        </w:rPr>
        <w:t>Lisans</w:t>
      </w:r>
      <w:r>
        <w:rPr>
          <w:spacing w:val="-15"/>
          <w:sz w:val="24"/>
        </w:rPr>
        <w:t> </w:t>
      </w:r>
      <w:r>
        <w:rPr>
          <w:sz w:val="24"/>
        </w:rPr>
        <w:t>Tezi</w:t>
      </w:r>
      <w:r>
        <w:rPr>
          <w:spacing w:val="-15"/>
          <w:sz w:val="24"/>
        </w:rPr>
        <w:t> </w:t>
      </w:r>
      <w:r>
        <w:rPr>
          <w:sz w:val="24"/>
        </w:rPr>
        <w:t>Gümüşhane Üniversitesi SBE,</w:t>
      </w:r>
      <w:r>
        <w:rPr>
          <w:spacing w:val="-1"/>
          <w:sz w:val="24"/>
        </w:rPr>
        <w:t> </w:t>
      </w:r>
      <w:r>
        <w:rPr>
          <w:sz w:val="24"/>
        </w:rPr>
        <w:t>Gümüşhane.</w:t>
      </w:r>
    </w:p>
    <w:p>
      <w:pPr>
        <w:spacing w:line="360" w:lineRule="auto" w:before="1"/>
        <w:ind w:left="1836" w:right="615" w:hanging="708"/>
        <w:jc w:val="both"/>
        <w:rPr>
          <w:sz w:val="24"/>
        </w:rPr>
      </w:pPr>
      <w:r>
        <w:rPr>
          <w:sz w:val="24"/>
        </w:rPr>
        <w:t>BAŞBAKANLIK; (1997), </w:t>
      </w:r>
      <w:r>
        <w:rPr>
          <w:b/>
          <w:sz w:val="24"/>
        </w:rPr>
        <w:t>Doğal Afetler Genel Raporu</w:t>
      </w:r>
      <w:r>
        <w:rPr>
          <w:sz w:val="24"/>
        </w:rPr>
        <w:t>, Başbakanlık Doğal Afetler Koordinasyon Başmüşavirliği, Ankara.</w:t>
      </w:r>
    </w:p>
    <w:p>
      <w:pPr>
        <w:spacing w:line="360" w:lineRule="auto" w:before="0"/>
        <w:ind w:left="1836" w:right="613" w:hanging="708"/>
        <w:jc w:val="both"/>
        <w:rPr>
          <w:sz w:val="24"/>
        </w:rPr>
      </w:pPr>
      <w:r>
        <w:rPr>
          <w:sz w:val="24"/>
        </w:rPr>
        <w:t>BALAMİR</w:t>
      </w:r>
      <w:r>
        <w:rPr>
          <w:spacing w:val="-12"/>
          <w:sz w:val="24"/>
        </w:rPr>
        <w:t> </w:t>
      </w:r>
      <w:r>
        <w:rPr>
          <w:sz w:val="24"/>
        </w:rPr>
        <w:t>Murat;</w:t>
      </w:r>
      <w:r>
        <w:rPr>
          <w:spacing w:val="-10"/>
          <w:sz w:val="24"/>
        </w:rPr>
        <w:t> </w:t>
      </w:r>
      <w:r>
        <w:rPr>
          <w:sz w:val="24"/>
        </w:rPr>
        <w:t>(2001</w:t>
      </w:r>
      <w:r>
        <w:rPr>
          <w:b/>
          <w:sz w:val="24"/>
        </w:rPr>
        <w:t>),</w:t>
      </w:r>
      <w:r>
        <w:rPr>
          <w:b/>
          <w:spacing w:val="-13"/>
          <w:sz w:val="24"/>
        </w:rPr>
        <w:t> </w:t>
      </w:r>
      <w:r>
        <w:rPr>
          <w:b/>
          <w:sz w:val="24"/>
        </w:rPr>
        <w:t>Recent</w:t>
      </w:r>
      <w:r>
        <w:rPr>
          <w:b/>
          <w:spacing w:val="-12"/>
          <w:sz w:val="24"/>
        </w:rPr>
        <w:t> </w:t>
      </w:r>
      <w:r>
        <w:rPr>
          <w:b/>
          <w:sz w:val="24"/>
        </w:rPr>
        <w:t>Changes</w:t>
      </w:r>
      <w:r>
        <w:rPr>
          <w:b/>
          <w:spacing w:val="-11"/>
          <w:sz w:val="24"/>
        </w:rPr>
        <w:t> </w:t>
      </w:r>
      <w:r>
        <w:rPr>
          <w:b/>
          <w:sz w:val="24"/>
        </w:rPr>
        <w:t>in</w:t>
      </w:r>
      <w:r>
        <w:rPr>
          <w:b/>
          <w:spacing w:val="-11"/>
          <w:sz w:val="24"/>
        </w:rPr>
        <w:t> </w:t>
      </w:r>
      <w:r>
        <w:rPr>
          <w:b/>
          <w:sz w:val="24"/>
        </w:rPr>
        <w:t>Turkish</w:t>
      </w:r>
      <w:r>
        <w:rPr>
          <w:b/>
          <w:spacing w:val="-10"/>
          <w:sz w:val="24"/>
        </w:rPr>
        <w:t> </w:t>
      </w:r>
      <w:r>
        <w:rPr>
          <w:b/>
          <w:sz w:val="24"/>
        </w:rPr>
        <w:t>Disasters</w:t>
      </w:r>
      <w:r>
        <w:rPr>
          <w:b/>
          <w:spacing w:val="-9"/>
          <w:sz w:val="24"/>
        </w:rPr>
        <w:t> </w:t>
      </w:r>
      <w:r>
        <w:rPr>
          <w:b/>
          <w:sz w:val="24"/>
        </w:rPr>
        <w:t>Policy:</w:t>
      </w:r>
      <w:r>
        <w:rPr>
          <w:b/>
          <w:spacing w:val="-9"/>
          <w:sz w:val="24"/>
        </w:rPr>
        <w:t> </w:t>
      </w:r>
      <w:r>
        <w:rPr>
          <w:b/>
          <w:sz w:val="24"/>
        </w:rPr>
        <w:t>A</w:t>
      </w:r>
      <w:r>
        <w:rPr>
          <w:b/>
          <w:spacing w:val="-12"/>
          <w:sz w:val="24"/>
        </w:rPr>
        <w:t> </w:t>
      </w:r>
      <w:r>
        <w:rPr>
          <w:b/>
          <w:sz w:val="24"/>
        </w:rPr>
        <w:t>Strategical Reorientation?, in P. R. Kleindorfer and M. R. Sertel (Editors), Mitigation and Financing Seismic Risks: </w:t>
      </w:r>
      <w:r>
        <w:rPr>
          <w:sz w:val="24"/>
        </w:rPr>
        <w:t>Turkish and International Perspectives, Dordrecht, Boston, London: Kluwer,</w:t>
      </w:r>
      <w:r>
        <w:rPr>
          <w:spacing w:val="1"/>
          <w:sz w:val="24"/>
        </w:rPr>
        <w:t> </w:t>
      </w:r>
      <w:r>
        <w:rPr>
          <w:sz w:val="24"/>
        </w:rPr>
        <w:t>207-234.</w:t>
      </w:r>
    </w:p>
    <w:p>
      <w:pPr>
        <w:spacing w:line="360" w:lineRule="auto" w:before="0"/>
        <w:ind w:left="1836" w:right="614" w:hanging="708"/>
        <w:jc w:val="both"/>
        <w:rPr>
          <w:sz w:val="24"/>
        </w:rPr>
      </w:pPr>
      <w:r>
        <w:rPr>
          <w:sz w:val="24"/>
        </w:rPr>
        <w:t>Bayındırlık ve İskân Bakanlığı; (1999), </w:t>
      </w:r>
      <w:r>
        <w:rPr>
          <w:b/>
          <w:sz w:val="24"/>
        </w:rPr>
        <w:t>Çığlar, Türkiye’deki Etkileri ve Önlemede Kullanılan Yöntemler, </w:t>
      </w:r>
      <w:r>
        <w:rPr>
          <w:sz w:val="24"/>
        </w:rPr>
        <w:t>Afet İşleri Genel Müdürlüğü Geçici İskân Dairesi Başkanlığı, Ankara.</w:t>
      </w:r>
    </w:p>
    <w:p>
      <w:pPr>
        <w:spacing w:line="360" w:lineRule="auto" w:before="0"/>
        <w:ind w:left="1836" w:right="611" w:hanging="708"/>
        <w:jc w:val="both"/>
        <w:rPr>
          <w:sz w:val="24"/>
        </w:rPr>
      </w:pPr>
      <w:r>
        <w:rPr>
          <w:sz w:val="24"/>
        </w:rPr>
        <w:t>Bayındırlık ve İskân Bakanlığı; (2003), </w:t>
      </w:r>
      <w:r>
        <w:rPr>
          <w:b/>
          <w:sz w:val="24"/>
        </w:rPr>
        <w:t>Gümüşhane İli 2003 Yılı Çevre Durum Raporu</w:t>
      </w:r>
      <w:r>
        <w:rPr>
          <w:sz w:val="24"/>
        </w:rPr>
        <w:t>, Gümüşhane.</w:t>
      </w:r>
    </w:p>
    <w:p>
      <w:pPr>
        <w:spacing w:line="360" w:lineRule="auto" w:before="0"/>
        <w:ind w:left="1836" w:right="608" w:hanging="708"/>
        <w:jc w:val="both"/>
        <w:rPr>
          <w:sz w:val="24"/>
        </w:rPr>
      </w:pPr>
      <w:r>
        <w:rPr>
          <w:sz w:val="24"/>
        </w:rPr>
        <w:t>BAYRAK Temel, ULUKAVAK Mustafa ve AÇAR Selim; (2010), </w:t>
      </w:r>
      <w:r>
        <w:rPr>
          <w:b/>
          <w:sz w:val="24"/>
        </w:rPr>
        <w:t>“Gümüşhane Heyelanları”, Harita Teknolojileri Elektronik Dergisi, </w:t>
      </w:r>
      <w:r>
        <w:rPr>
          <w:sz w:val="24"/>
        </w:rPr>
        <w:t>Cilt:2, No: 1, ss.11.</w:t>
      </w:r>
    </w:p>
    <w:p>
      <w:pPr>
        <w:pStyle w:val="BodyText"/>
        <w:spacing w:line="360" w:lineRule="auto"/>
        <w:ind w:left="1836" w:right="613" w:hanging="708"/>
        <w:jc w:val="both"/>
      </w:pPr>
      <w:r>
        <w:rPr/>
        <w:t>BİB (Bayındırlık ve İskân Bakanlığı); (2009), Kentleşme kurası, Afetlere Hazırlık ve Kentsel Risk Komisyonu Raporu. Ankara.</w:t>
      </w:r>
    </w:p>
    <w:p>
      <w:pPr>
        <w:spacing w:line="360" w:lineRule="auto" w:before="0"/>
        <w:ind w:left="1836" w:right="612" w:hanging="708"/>
        <w:jc w:val="both"/>
        <w:rPr>
          <w:sz w:val="24"/>
        </w:rPr>
      </w:pPr>
      <w:r>
        <w:rPr>
          <w:sz w:val="24"/>
        </w:rPr>
        <w:t>CAL E.M.A. (California Emergency Management Agency); (2008), </w:t>
      </w:r>
      <w:hyperlink r:id="rId37">
        <w:r>
          <w:rPr>
            <w:b/>
            <w:sz w:val="24"/>
          </w:rPr>
          <w:t>http://www.oes.ca.gov</w:t>
        </w:r>
      </w:hyperlink>
      <w:r>
        <w:rPr>
          <w:b/>
          <w:sz w:val="24"/>
        </w:rPr>
        <w:t> Glossary of Emergency Management Terms. </w:t>
      </w:r>
      <w:r>
        <w:rPr>
          <w:sz w:val="24"/>
        </w:rPr>
        <w:t>April 2007, Erişim Tarihi: 24.12.2018.</w:t>
      </w:r>
    </w:p>
    <w:p>
      <w:pPr>
        <w:spacing w:line="275" w:lineRule="exact" w:before="0"/>
        <w:ind w:left="1128" w:right="0" w:firstLine="0"/>
        <w:jc w:val="left"/>
        <w:rPr>
          <w:b/>
          <w:sz w:val="24"/>
        </w:rPr>
      </w:pPr>
      <w:r>
        <w:rPr>
          <w:sz w:val="24"/>
        </w:rPr>
        <w:t>CAN Abdullah; (2014), </w:t>
      </w:r>
      <w:r>
        <w:rPr>
          <w:b/>
          <w:sz w:val="24"/>
        </w:rPr>
        <w:t>SPSS ile Bilimsel Araştırma Sürecinde Nicel Veri Analizi,</w:t>
      </w:r>
    </w:p>
    <w:p>
      <w:pPr>
        <w:pStyle w:val="BodyText"/>
        <w:spacing w:before="139"/>
        <w:ind w:left="1836"/>
      </w:pPr>
      <w:r>
        <w:rPr/>
        <w:t>(Üçüncü Baskı), Pegem Akademi Yayıncılık, Ankara.</w:t>
      </w:r>
    </w:p>
    <w:p>
      <w:pPr>
        <w:spacing w:line="360" w:lineRule="auto" w:before="136"/>
        <w:ind w:left="1836" w:right="613" w:hanging="708"/>
        <w:jc w:val="both"/>
        <w:rPr>
          <w:sz w:val="24"/>
        </w:rPr>
      </w:pPr>
      <w:r>
        <w:rPr>
          <w:sz w:val="24"/>
        </w:rPr>
        <w:t>CREAMER Thomas ve GÜLKAN Polat; (2004), </w:t>
      </w:r>
      <w:r>
        <w:rPr>
          <w:b/>
          <w:sz w:val="24"/>
        </w:rPr>
        <w:t>Disaster Preparedness Glossary, Dunwody Pres, </w:t>
      </w:r>
      <w:r>
        <w:rPr>
          <w:sz w:val="24"/>
        </w:rPr>
        <w:t>USA.</w:t>
      </w:r>
    </w:p>
    <w:p>
      <w:pPr>
        <w:spacing w:after="0" w:line="360" w:lineRule="auto"/>
        <w:jc w:val="both"/>
        <w:rPr>
          <w:sz w:val="24"/>
        </w:rPr>
        <w:sectPr>
          <w:pgSz w:w="11910" w:h="16840"/>
          <w:pgMar w:header="0" w:footer="976" w:top="1580" w:bottom="1240" w:left="1140" w:right="520"/>
        </w:sectPr>
      </w:pPr>
    </w:p>
    <w:p>
      <w:pPr>
        <w:pStyle w:val="BodyText"/>
        <w:spacing w:line="360" w:lineRule="auto" w:before="98"/>
        <w:ind w:left="1836" w:right="609" w:hanging="708"/>
        <w:jc w:val="both"/>
      </w:pPr>
      <w:r>
        <w:rPr/>
        <w:t>ÇAĞLAR Y. ; (2001), ‘‘Türkiye’de Orman Yangınları Sorunu ve Temelleri’’, </w:t>
      </w:r>
      <w:r>
        <w:rPr>
          <w:b/>
        </w:rPr>
        <w:t>Sivil Savunma, </w:t>
      </w:r>
      <w:r>
        <w:rPr/>
        <w:t>Sayı 164, ss.14.</w:t>
      </w:r>
    </w:p>
    <w:p>
      <w:pPr>
        <w:spacing w:line="360" w:lineRule="auto" w:before="0"/>
        <w:ind w:left="1836" w:right="610" w:hanging="708"/>
        <w:jc w:val="both"/>
        <w:rPr>
          <w:sz w:val="24"/>
        </w:rPr>
      </w:pPr>
      <w:r>
        <w:rPr>
          <w:sz w:val="24"/>
        </w:rPr>
        <w:t>ÇORBACIOĞLU Sıtkı ve KAPUCU Naim; (2003), </w:t>
      </w:r>
      <w:r>
        <w:rPr>
          <w:b/>
          <w:sz w:val="24"/>
        </w:rPr>
        <w:t>Critical Evaluation of Turkish Disaster Management System, </w:t>
      </w:r>
      <w:r>
        <w:rPr>
          <w:sz w:val="24"/>
        </w:rPr>
        <w:t>Turkish Public Administration Annual, Vol. 29- 31,pp. 53-72.</w:t>
      </w:r>
    </w:p>
    <w:p>
      <w:pPr>
        <w:pStyle w:val="BodyText"/>
        <w:spacing w:line="360" w:lineRule="auto"/>
        <w:ind w:left="1836" w:right="616" w:hanging="708"/>
        <w:jc w:val="both"/>
      </w:pPr>
      <w:r>
        <w:rPr/>
        <w:t>DEMİRBAŞ Ekrem; (2002), </w:t>
      </w:r>
      <w:r>
        <w:rPr>
          <w:b/>
        </w:rPr>
        <w:t>“Türkiye’de Sel”, </w:t>
      </w:r>
      <w:r>
        <w:rPr/>
        <w:t>Afet ve Afet İşleri Genel Müdürlüğü Eğitim-Haber-Bilim Dergisi, Yıl 2, Sayı 3, s.12, Ankara.</w:t>
      </w:r>
    </w:p>
    <w:p>
      <w:pPr>
        <w:spacing w:line="360" w:lineRule="auto" w:before="0"/>
        <w:ind w:left="1836" w:right="612" w:hanging="708"/>
        <w:jc w:val="both"/>
        <w:rPr>
          <w:sz w:val="24"/>
        </w:rPr>
      </w:pPr>
      <w:r>
        <w:rPr>
          <w:sz w:val="24"/>
        </w:rPr>
        <w:t>DEMİRKASIMOĞLU Muhittin; (2015), </w:t>
      </w:r>
      <w:r>
        <w:rPr>
          <w:b/>
          <w:sz w:val="24"/>
        </w:rPr>
        <w:t>‘‘Ankara'daki Hastanelerin Afete Hazırlık Durumları’’, </w:t>
      </w:r>
      <w:r>
        <w:rPr>
          <w:sz w:val="24"/>
        </w:rPr>
        <w:t>Yüksek Lisans Tezi, Gazi Üniversitesi, SBE, Ankara.</w:t>
      </w:r>
    </w:p>
    <w:p>
      <w:pPr>
        <w:spacing w:line="360" w:lineRule="auto" w:before="0"/>
        <w:ind w:left="1836" w:right="613" w:hanging="708"/>
        <w:jc w:val="both"/>
        <w:rPr>
          <w:sz w:val="24"/>
        </w:rPr>
      </w:pPr>
      <w:r>
        <w:rPr>
          <w:sz w:val="24"/>
        </w:rPr>
        <w:t>DİNÇER Ömer; (1998), </w:t>
      </w:r>
      <w:r>
        <w:rPr>
          <w:b/>
          <w:sz w:val="24"/>
        </w:rPr>
        <w:t>Stratejik Yönetim ve İşletme Politikası, </w:t>
      </w:r>
      <w:r>
        <w:rPr>
          <w:sz w:val="24"/>
        </w:rPr>
        <w:t>Beta Basım Yayım Dağıtım A.Ş., İstanbul.</w:t>
      </w:r>
    </w:p>
    <w:p>
      <w:pPr>
        <w:pStyle w:val="BodyText"/>
        <w:tabs>
          <w:tab w:pos="2429" w:val="left" w:leader="none"/>
          <w:tab w:pos="3404" w:val="left" w:leader="none"/>
          <w:tab w:pos="4756" w:val="left" w:leader="none"/>
          <w:tab w:pos="5735" w:val="left" w:leader="none"/>
          <w:tab w:pos="7059" w:val="left" w:leader="none"/>
          <w:tab w:pos="7965" w:val="left" w:leader="none"/>
        </w:tabs>
        <w:spacing w:line="360" w:lineRule="auto"/>
        <w:ind w:left="1128" w:right="610"/>
        <w:jc w:val="right"/>
      </w:pPr>
      <w:r>
        <w:rPr/>
        <w:t>DRABERK</w:t>
      </w:r>
      <w:r>
        <w:rPr>
          <w:spacing w:val="-17"/>
        </w:rPr>
        <w:t> </w:t>
      </w:r>
      <w:r>
        <w:rPr/>
        <w:t>Thomas</w:t>
      </w:r>
      <w:r>
        <w:rPr>
          <w:spacing w:val="-16"/>
        </w:rPr>
        <w:t> </w:t>
      </w:r>
      <w:r>
        <w:rPr/>
        <w:t>E.;</w:t>
      </w:r>
      <w:r>
        <w:rPr>
          <w:spacing w:val="-17"/>
        </w:rPr>
        <w:t> </w:t>
      </w:r>
      <w:r>
        <w:rPr/>
        <w:t>(1996),</w:t>
      </w:r>
      <w:r>
        <w:rPr>
          <w:spacing w:val="-17"/>
        </w:rPr>
        <w:t> </w:t>
      </w:r>
      <w:r>
        <w:rPr/>
        <w:t>“</w:t>
      </w:r>
      <w:r>
        <w:rPr>
          <w:b/>
        </w:rPr>
        <w:t>The</w:t>
      </w:r>
      <w:r>
        <w:rPr>
          <w:b/>
          <w:spacing w:val="-17"/>
        </w:rPr>
        <w:t> </w:t>
      </w:r>
      <w:r>
        <w:rPr>
          <w:b/>
        </w:rPr>
        <w:t>Social</w:t>
      </w:r>
      <w:r>
        <w:rPr>
          <w:b/>
          <w:spacing w:val="-16"/>
        </w:rPr>
        <w:t> </w:t>
      </w:r>
      <w:r>
        <w:rPr>
          <w:b/>
        </w:rPr>
        <w:t>Dimensions</w:t>
      </w:r>
      <w:r>
        <w:rPr>
          <w:b/>
          <w:spacing w:val="-17"/>
        </w:rPr>
        <w:t> </w:t>
      </w:r>
      <w:r>
        <w:rPr>
          <w:b/>
        </w:rPr>
        <w:t>of</w:t>
      </w:r>
      <w:r>
        <w:rPr>
          <w:b/>
          <w:spacing w:val="-13"/>
        </w:rPr>
        <w:t> </w:t>
      </w:r>
      <w:r>
        <w:rPr>
          <w:b/>
        </w:rPr>
        <w:t>Disaster,</w:t>
      </w:r>
      <w:r>
        <w:rPr>
          <w:b/>
          <w:spacing w:val="-16"/>
        </w:rPr>
        <w:t> </w:t>
      </w:r>
      <w:r>
        <w:rPr>
          <w:b/>
        </w:rPr>
        <w:t>Colerado:</w:t>
      </w:r>
      <w:r>
        <w:rPr>
          <w:b/>
          <w:spacing w:val="-17"/>
        </w:rPr>
        <w:t> </w:t>
      </w:r>
      <w:r>
        <w:rPr/>
        <w:t>FEMA.</w:t>
      </w:r>
      <w:r>
        <w:rPr>
          <w:w w:val="99"/>
        </w:rPr>
        <w:t> </w:t>
      </w:r>
      <w:r>
        <w:rPr/>
        <w:t>ERGÜNAY</w:t>
      </w:r>
      <w:r>
        <w:rPr>
          <w:spacing w:val="12"/>
        </w:rPr>
        <w:t> </w:t>
      </w:r>
      <w:r>
        <w:rPr/>
        <w:t>Oktay;</w:t>
      </w:r>
      <w:r>
        <w:rPr>
          <w:spacing w:val="14"/>
        </w:rPr>
        <w:t> </w:t>
      </w:r>
      <w:r>
        <w:rPr/>
        <w:t>(1996),</w:t>
      </w:r>
      <w:r>
        <w:rPr>
          <w:spacing w:val="13"/>
        </w:rPr>
        <w:t> </w:t>
      </w:r>
      <w:r>
        <w:rPr/>
        <w:t>Afet</w:t>
      </w:r>
      <w:r>
        <w:rPr>
          <w:spacing w:val="15"/>
        </w:rPr>
        <w:t> </w:t>
      </w:r>
      <w:r>
        <w:rPr/>
        <w:t>Yönetimi</w:t>
      </w:r>
      <w:r>
        <w:rPr>
          <w:spacing w:val="14"/>
        </w:rPr>
        <w:t> </w:t>
      </w:r>
      <w:r>
        <w:rPr/>
        <w:t>Nedir?</w:t>
      </w:r>
      <w:r>
        <w:rPr>
          <w:spacing w:val="14"/>
        </w:rPr>
        <w:t> </w:t>
      </w:r>
      <w:r>
        <w:rPr/>
        <w:t>Nasıl</w:t>
      </w:r>
      <w:r>
        <w:rPr>
          <w:spacing w:val="14"/>
        </w:rPr>
        <w:t> </w:t>
      </w:r>
      <w:r>
        <w:rPr/>
        <w:t>Olmalıdır?,</w:t>
      </w:r>
      <w:r>
        <w:rPr>
          <w:spacing w:val="14"/>
        </w:rPr>
        <w:t> </w:t>
      </w:r>
      <w:r>
        <w:rPr/>
        <w:t>Erzincan</w:t>
      </w:r>
      <w:r>
        <w:rPr>
          <w:spacing w:val="13"/>
        </w:rPr>
        <w:t> </w:t>
      </w:r>
      <w:r>
        <w:rPr/>
        <w:t>ve</w:t>
      </w:r>
      <w:r>
        <w:rPr>
          <w:spacing w:val="12"/>
        </w:rPr>
        <w:t> </w:t>
      </w:r>
      <w:r>
        <w:rPr/>
        <w:t>Dinar Depremleri</w:t>
        <w:tab/>
        <w:t>Işığında</w:t>
        <w:tab/>
        <w:t>Türkiye‘nin</w:t>
        <w:tab/>
        <w:t>Deprem</w:t>
        <w:tab/>
        <w:t>Sorunlarına</w:t>
        <w:tab/>
        <w:t>Çözüm</w:t>
        <w:tab/>
      </w:r>
      <w:r>
        <w:rPr>
          <w:spacing w:val="-1"/>
        </w:rPr>
        <w:t>Arayışları</w:t>
      </w:r>
    </w:p>
    <w:p>
      <w:pPr>
        <w:pStyle w:val="BodyText"/>
        <w:spacing w:before="1"/>
        <w:ind w:left="1836"/>
      </w:pPr>
      <w:r>
        <w:rPr/>
        <w:t>TÜBİTAK Deprem Sempozyumu Bildirileri Kitabı, ss. 98-102.</w:t>
      </w:r>
    </w:p>
    <w:p>
      <w:pPr>
        <w:pStyle w:val="BodyText"/>
        <w:spacing w:line="360" w:lineRule="auto" w:before="137"/>
        <w:ind w:left="1836" w:right="614" w:hanging="708"/>
        <w:jc w:val="both"/>
      </w:pPr>
      <w:r>
        <w:rPr/>
        <w:t>ERGÜNAY Oktay; (1998), “Acil Yardım Planlaması ve Afet Yönetimi”, Afet İşleri Genel Müdürlüğü.</w:t>
      </w:r>
    </w:p>
    <w:p>
      <w:pPr>
        <w:pStyle w:val="BodyText"/>
        <w:spacing w:line="360" w:lineRule="auto"/>
        <w:ind w:left="1836" w:right="616" w:hanging="708"/>
        <w:jc w:val="both"/>
      </w:pPr>
      <w:r>
        <w:rPr/>
        <w:t>ERGÜNAY Oktay; (2007), Türkiye’nin Afet Profili, TMMOB Afet Sempozyumu Bildiriler Kitabı.</w:t>
      </w:r>
    </w:p>
    <w:p>
      <w:pPr>
        <w:spacing w:line="360" w:lineRule="auto" w:before="0"/>
        <w:ind w:left="1836" w:right="613" w:hanging="708"/>
        <w:jc w:val="both"/>
        <w:rPr>
          <w:sz w:val="24"/>
        </w:rPr>
      </w:pPr>
      <w:r>
        <w:rPr>
          <w:sz w:val="24"/>
        </w:rPr>
        <w:t>ERGÜNAY Oktay; (2009), </w:t>
      </w:r>
      <w:r>
        <w:rPr>
          <w:b/>
          <w:sz w:val="24"/>
        </w:rPr>
        <w:t>Afet Yönetimi: Genel İlkeler Tanımlar</w:t>
      </w:r>
      <w:r>
        <w:rPr>
          <w:sz w:val="24"/>
        </w:rPr>
        <w:t>, </w:t>
      </w:r>
      <w:r>
        <w:rPr>
          <w:b/>
          <w:sz w:val="24"/>
        </w:rPr>
        <w:t>Kavramlar</w:t>
      </w:r>
      <w:r>
        <w:rPr>
          <w:sz w:val="24"/>
        </w:rPr>
        <w:t>, Ankara.</w:t>
      </w:r>
    </w:p>
    <w:p>
      <w:pPr>
        <w:tabs>
          <w:tab w:pos="4095" w:val="left" w:leader="none"/>
        </w:tabs>
        <w:spacing w:before="0"/>
        <w:ind w:left="1128" w:right="0" w:firstLine="0"/>
        <w:jc w:val="left"/>
        <w:rPr>
          <w:sz w:val="24"/>
        </w:rPr>
      </w:pPr>
      <w:r>
        <w:rPr>
          <w:sz w:val="24"/>
        </w:rPr>
        <w:t>ERGÜNAY</w:t>
      </w:r>
      <w:r>
        <w:rPr>
          <w:spacing w:val="47"/>
          <w:sz w:val="24"/>
        </w:rPr>
        <w:t> </w:t>
      </w:r>
      <w:r>
        <w:rPr>
          <w:sz w:val="24"/>
        </w:rPr>
        <w:t>Oktay;</w:t>
      </w:r>
      <w:r>
        <w:rPr>
          <w:spacing w:val="48"/>
          <w:sz w:val="24"/>
        </w:rPr>
        <w:t> </w:t>
      </w:r>
      <w:r>
        <w:rPr>
          <w:sz w:val="24"/>
        </w:rPr>
        <w:t>(2010),</w:t>
        <w:tab/>
      </w:r>
      <w:r>
        <w:rPr>
          <w:b/>
          <w:sz w:val="24"/>
        </w:rPr>
        <w:t>Risk Azaltma Planlaması Esasları</w:t>
      </w:r>
      <w:r>
        <w:rPr>
          <w:sz w:val="24"/>
        </w:rPr>
        <w:t>,</w:t>
      </w:r>
      <w:r>
        <w:rPr>
          <w:spacing w:val="15"/>
          <w:sz w:val="24"/>
        </w:rPr>
        <w:t> </w:t>
      </w:r>
      <w:hyperlink r:id="rId38">
        <w:r>
          <w:rPr>
            <w:sz w:val="24"/>
          </w:rPr>
          <w:t>www.tepav.org.tr.</w:t>
        </w:r>
      </w:hyperlink>
    </w:p>
    <w:p>
      <w:pPr>
        <w:pStyle w:val="BodyText"/>
        <w:spacing w:before="137"/>
        <w:ind w:left="1836"/>
      </w:pPr>
      <w:r>
        <w:rPr/>
        <w:t>Erişim Tarihi: 25.12.2018.</w:t>
      </w:r>
    </w:p>
    <w:p>
      <w:pPr>
        <w:pStyle w:val="BodyText"/>
        <w:spacing w:before="139"/>
        <w:ind w:left="1128"/>
      </w:pPr>
      <w:r>
        <w:rPr/>
        <w:t>ERKAL Tevfik ve DEĞERLİYURT Mehmet; (2011), ‘‘Türkiye’de Afet Yönetimi”,</w:t>
      </w:r>
    </w:p>
    <w:p>
      <w:pPr>
        <w:spacing w:before="137"/>
        <w:ind w:left="1836" w:right="0" w:firstLine="0"/>
        <w:jc w:val="left"/>
        <w:rPr>
          <w:sz w:val="24"/>
        </w:rPr>
      </w:pPr>
      <w:r>
        <w:rPr>
          <w:b/>
          <w:sz w:val="24"/>
        </w:rPr>
        <w:t>Doğu Coğrafya Dergisi, </w:t>
      </w:r>
      <w:r>
        <w:rPr>
          <w:sz w:val="24"/>
        </w:rPr>
        <w:t>Cilt:14, Sayı:22, Sayfa:147-164.</w:t>
      </w:r>
    </w:p>
    <w:p>
      <w:pPr>
        <w:pStyle w:val="BodyText"/>
        <w:spacing w:line="360" w:lineRule="auto" w:before="139"/>
        <w:ind w:left="1836" w:right="612" w:hanging="708"/>
        <w:jc w:val="both"/>
      </w:pPr>
      <w:r>
        <w:rPr/>
        <w:t>ERKOÇ Turan; (2004), ‘‘Toplu Bakım ve Geçici İskân’’, İçişleri Bakanlığı Eğitim Dairesi</w:t>
      </w:r>
      <w:r>
        <w:rPr>
          <w:spacing w:val="-18"/>
        </w:rPr>
        <w:t> </w:t>
      </w:r>
      <w:r>
        <w:rPr/>
        <w:t>Başkanlığı</w:t>
      </w:r>
      <w:r>
        <w:rPr>
          <w:spacing w:val="-18"/>
        </w:rPr>
        <w:t> </w:t>
      </w:r>
      <w:r>
        <w:rPr/>
        <w:t>Afet</w:t>
      </w:r>
      <w:r>
        <w:rPr>
          <w:spacing w:val="-18"/>
        </w:rPr>
        <w:t> </w:t>
      </w:r>
      <w:r>
        <w:rPr/>
        <w:t>Yönetimi</w:t>
      </w:r>
      <w:r>
        <w:rPr>
          <w:spacing w:val="-17"/>
        </w:rPr>
        <w:t> </w:t>
      </w:r>
      <w:r>
        <w:rPr/>
        <w:t>55.</w:t>
      </w:r>
      <w:r>
        <w:rPr>
          <w:spacing w:val="-19"/>
        </w:rPr>
        <w:t> </w:t>
      </w:r>
      <w:r>
        <w:rPr/>
        <w:t>Dönem</w:t>
      </w:r>
      <w:r>
        <w:rPr>
          <w:spacing w:val="-18"/>
        </w:rPr>
        <w:t> </w:t>
      </w:r>
      <w:r>
        <w:rPr/>
        <w:t>Mülki</w:t>
      </w:r>
      <w:r>
        <w:rPr>
          <w:spacing w:val="-15"/>
        </w:rPr>
        <w:t> </w:t>
      </w:r>
      <w:r>
        <w:rPr/>
        <w:t>İdare</w:t>
      </w:r>
      <w:r>
        <w:rPr>
          <w:spacing w:val="-21"/>
        </w:rPr>
        <w:t> </w:t>
      </w:r>
      <w:r>
        <w:rPr/>
        <w:t>Amirleri</w:t>
      </w:r>
      <w:r>
        <w:rPr>
          <w:spacing w:val="-19"/>
        </w:rPr>
        <w:t> </w:t>
      </w:r>
      <w:r>
        <w:rPr/>
        <w:t>Semineri,</w:t>
      </w:r>
      <w:r>
        <w:rPr>
          <w:spacing w:val="-16"/>
        </w:rPr>
        <w:t> </w:t>
      </w:r>
      <w:r>
        <w:rPr/>
        <w:t>Ders Notu,</w:t>
      </w:r>
      <w:r>
        <w:rPr>
          <w:spacing w:val="-1"/>
        </w:rPr>
        <w:t> </w:t>
      </w:r>
      <w:r>
        <w:rPr/>
        <w:t>Ankara.</w:t>
      </w:r>
    </w:p>
    <w:p>
      <w:pPr>
        <w:pStyle w:val="BodyText"/>
        <w:spacing w:line="360" w:lineRule="auto"/>
        <w:ind w:left="1836" w:right="614" w:hanging="708"/>
        <w:jc w:val="both"/>
      </w:pPr>
      <w:r>
        <w:rPr/>
        <w:t>ERKOÇ Turan; (2004), ‘‘İl ve İlçe Acil Yardım Teşkilatları’’, İçişleri Bakanlığı Eğitim Dairesi Başkanlığı, 88. Dönem Kaymakamlık Kursu, Ders Notları, Ankara.</w:t>
      </w:r>
    </w:p>
    <w:p>
      <w:pPr>
        <w:spacing w:after="0" w:line="360" w:lineRule="auto"/>
        <w:jc w:val="both"/>
        <w:sectPr>
          <w:pgSz w:w="11910" w:h="16840"/>
          <w:pgMar w:header="0" w:footer="976" w:top="1580" w:bottom="1240" w:left="1140" w:right="520"/>
        </w:sectPr>
      </w:pPr>
    </w:p>
    <w:p>
      <w:pPr>
        <w:pStyle w:val="BodyText"/>
        <w:spacing w:line="360" w:lineRule="auto" w:before="98"/>
        <w:ind w:left="1836" w:right="2703" w:hanging="708"/>
      </w:pPr>
      <w:r>
        <w:rPr/>
        <w:t>FEMA;</w:t>
      </w:r>
      <w:hyperlink r:id="rId39">
        <w:r>
          <w:rPr/>
          <w:t>https://www.fema.gov/media-library-data/20130726-1514-</w:t>
        </w:r>
      </w:hyperlink>
      <w:r>
        <w:rPr/>
        <w:t> </w:t>
      </w:r>
      <w:hyperlink r:id="rId39">
        <w:r>
          <w:rPr/>
          <w:t>204909176/this_is_fema.pdf,</w:t>
        </w:r>
      </w:hyperlink>
      <w:r>
        <w:rPr/>
        <w:t> Erişim Tarihi: 01.04.2019.</w:t>
      </w:r>
    </w:p>
    <w:p>
      <w:pPr>
        <w:pStyle w:val="BodyText"/>
        <w:spacing w:line="360" w:lineRule="auto"/>
        <w:ind w:left="1836" w:right="613" w:hanging="708"/>
        <w:jc w:val="both"/>
      </w:pPr>
      <w:r>
        <w:rPr/>
        <w:t>FUNG</w:t>
      </w:r>
      <w:r>
        <w:rPr>
          <w:spacing w:val="-11"/>
        </w:rPr>
        <w:t> </w:t>
      </w:r>
      <w:r>
        <w:rPr/>
        <w:t>Olivia</w:t>
      </w:r>
      <w:r>
        <w:rPr>
          <w:spacing w:val="-11"/>
        </w:rPr>
        <w:t> </w:t>
      </w:r>
      <w:r>
        <w:rPr/>
        <w:t>W.M,</w:t>
      </w:r>
      <w:r>
        <w:rPr>
          <w:spacing w:val="-8"/>
        </w:rPr>
        <w:t> </w:t>
      </w:r>
      <w:r>
        <w:rPr/>
        <w:t>LOKE</w:t>
      </w:r>
      <w:r>
        <w:rPr>
          <w:spacing w:val="-11"/>
        </w:rPr>
        <w:t> </w:t>
      </w:r>
      <w:r>
        <w:rPr/>
        <w:t>Alice</w:t>
      </w:r>
      <w:r>
        <w:rPr>
          <w:spacing w:val="-11"/>
        </w:rPr>
        <w:t> </w:t>
      </w:r>
      <w:r>
        <w:rPr/>
        <w:t>Yuen,</w:t>
      </w:r>
      <w:r>
        <w:rPr>
          <w:spacing w:val="-8"/>
        </w:rPr>
        <w:t> </w:t>
      </w:r>
      <w:r>
        <w:rPr/>
        <w:t>LAİ</w:t>
      </w:r>
      <w:r>
        <w:rPr>
          <w:spacing w:val="-13"/>
        </w:rPr>
        <w:t> </w:t>
      </w:r>
      <w:r>
        <w:rPr/>
        <w:t>Claudia</w:t>
      </w:r>
      <w:r>
        <w:rPr>
          <w:spacing w:val="-10"/>
        </w:rPr>
        <w:t> </w:t>
      </w:r>
      <w:r>
        <w:rPr/>
        <w:t>K.Y.;(2008),</w:t>
      </w:r>
      <w:r>
        <w:rPr>
          <w:spacing w:val="-11"/>
        </w:rPr>
        <w:t> </w:t>
      </w:r>
      <w:r>
        <w:rPr/>
        <w:t>Disaster</w:t>
      </w:r>
      <w:r>
        <w:rPr>
          <w:spacing w:val="-11"/>
        </w:rPr>
        <w:t> </w:t>
      </w:r>
      <w:r>
        <w:rPr/>
        <w:t>Preparedness Among Hong Kong Nurses, Journal of Advanced Nursing, 62(6),</w:t>
      </w:r>
      <w:r>
        <w:rPr>
          <w:spacing w:val="-6"/>
        </w:rPr>
        <w:t> </w:t>
      </w:r>
      <w:r>
        <w:rPr/>
        <w:t>pp:698–703.</w:t>
      </w:r>
    </w:p>
    <w:p>
      <w:pPr>
        <w:pStyle w:val="BodyText"/>
        <w:spacing w:line="360" w:lineRule="auto"/>
        <w:ind w:left="1836" w:right="610" w:hanging="708"/>
        <w:jc w:val="both"/>
      </w:pPr>
      <w:r>
        <w:rPr/>
        <w:t>GANAPATİ</w:t>
      </w:r>
      <w:r>
        <w:rPr>
          <w:spacing w:val="-16"/>
        </w:rPr>
        <w:t> </w:t>
      </w:r>
      <w:r>
        <w:rPr/>
        <w:t>N.</w:t>
      </w:r>
      <w:r>
        <w:rPr>
          <w:spacing w:val="-12"/>
        </w:rPr>
        <w:t> </w:t>
      </w:r>
      <w:r>
        <w:rPr/>
        <w:t>Emel;</w:t>
      </w:r>
      <w:r>
        <w:rPr>
          <w:spacing w:val="-11"/>
        </w:rPr>
        <w:t> </w:t>
      </w:r>
      <w:r>
        <w:rPr/>
        <w:t>(2005),</w:t>
      </w:r>
      <w:r>
        <w:rPr>
          <w:spacing w:val="-14"/>
        </w:rPr>
        <w:t> </w:t>
      </w:r>
      <w:r>
        <w:rPr/>
        <w:t>Rising</w:t>
      </w:r>
      <w:r>
        <w:rPr>
          <w:spacing w:val="-16"/>
        </w:rPr>
        <w:t> </w:t>
      </w:r>
      <w:r>
        <w:rPr/>
        <w:t>From</w:t>
      </w:r>
      <w:r>
        <w:rPr>
          <w:spacing w:val="-13"/>
        </w:rPr>
        <w:t> </w:t>
      </w:r>
      <w:r>
        <w:rPr/>
        <w:t>The</w:t>
      </w:r>
      <w:r>
        <w:rPr>
          <w:spacing w:val="-15"/>
        </w:rPr>
        <w:t> </w:t>
      </w:r>
      <w:r>
        <w:rPr/>
        <w:t>Rubble:</w:t>
      </w:r>
      <w:r>
        <w:rPr>
          <w:spacing w:val="-13"/>
        </w:rPr>
        <w:t> </w:t>
      </w:r>
      <w:r>
        <w:rPr/>
        <w:t>Disaster</w:t>
      </w:r>
      <w:r>
        <w:rPr>
          <w:spacing w:val="-13"/>
        </w:rPr>
        <w:t> </w:t>
      </w:r>
      <w:r>
        <w:rPr/>
        <w:t>Victims,</w:t>
      </w:r>
      <w:r>
        <w:rPr>
          <w:spacing w:val="-10"/>
        </w:rPr>
        <w:t> </w:t>
      </w:r>
      <w:r>
        <w:rPr/>
        <w:t>Social</w:t>
      </w:r>
      <w:r>
        <w:rPr>
          <w:spacing w:val="-13"/>
        </w:rPr>
        <w:t> </w:t>
      </w:r>
      <w:r>
        <w:rPr/>
        <w:t>Capital, And Public Policy </w:t>
      </w:r>
      <w:r>
        <w:rPr>
          <w:b/>
        </w:rPr>
        <w:t>- </w:t>
      </w:r>
      <w:r>
        <w:rPr/>
        <w:t>Case of Golcuk, Turkey, A Dissertation Presented to the Faculty of The School of Policy, Planning, and Development, University of Southern</w:t>
      </w:r>
      <w:r>
        <w:rPr>
          <w:spacing w:val="-1"/>
        </w:rPr>
        <w:t> </w:t>
      </w:r>
      <w:r>
        <w:rPr/>
        <w:t>California.</w:t>
      </w:r>
    </w:p>
    <w:p>
      <w:pPr>
        <w:pStyle w:val="BodyText"/>
        <w:spacing w:line="360" w:lineRule="auto"/>
        <w:ind w:left="1836" w:right="609" w:hanging="708"/>
        <w:jc w:val="both"/>
      </w:pPr>
      <w:r>
        <w:rPr/>
        <w:t>GAZOZCU</w:t>
      </w:r>
      <w:r>
        <w:rPr>
          <w:spacing w:val="-6"/>
        </w:rPr>
        <w:t> </w:t>
      </w:r>
      <w:r>
        <w:rPr/>
        <w:t>S.</w:t>
      </w:r>
      <w:r>
        <w:rPr>
          <w:spacing w:val="-5"/>
        </w:rPr>
        <w:t> </w:t>
      </w:r>
      <w:r>
        <w:rPr/>
        <w:t>;</w:t>
      </w:r>
      <w:r>
        <w:rPr>
          <w:spacing w:val="-4"/>
        </w:rPr>
        <w:t> </w:t>
      </w:r>
      <w:r>
        <w:rPr/>
        <w:t>(2006),</w:t>
      </w:r>
      <w:r>
        <w:rPr>
          <w:spacing w:val="-6"/>
        </w:rPr>
        <w:t> </w:t>
      </w:r>
      <w:r>
        <w:rPr/>
        <w:t>‘‘Evlerde</w:t>
      </w:r>
      <w:r>
        <w:rPr>
          <w:spacing w:val="-6"/>
        </w:rPr>
        <w:t> </w:t>
      </w:r>
      <w:r>
        <w:rPr/>
        <w:t>Uygulamalı</w:t>
      </w:r>
      <w:r>
        <w:rPr>
          <w:spacing w:val="-5"/>
        </w:rPr>
        <w:t> </w:t>
      </w:r>
      <w:r>
        <w:rPr/>
        <w:t>Deprem</w:t>
      </w:r>
      <w:r>
        <w:rPr>
          <w:spacing w:val="-4"/>
        </w:rPr>
        <w:t> </w:t>
      </w:r>
      <w:r>
        <w:rPr/>
        <w:t>Eğitimi</w:t>
      </w:r>
      <w:r>
        <w:rPr>
          <w:spacing w:val="-4"/>
        </w:rPr>
        <w:t> </w:t>
      </w:r>
      <w:r>
        <w:rPr/>
        <w:t>Projesi’’,</w:t>
      </w:r>
      <w:r>
        <w:rPr>
          <w:spacing w:val="-3"/>
        </w:rPr>
        <w:t> </w:t>
      </w:r>
      <w:r>
        <w:rPr/>
        <w:t>Sivil</w:t>
      </w:r>
      <w:r>
        <w:rPr>
          <w:spacing w:val="-4"/>
        </w:rPr>
        <w:t> </w:t>
      </w:r>
      <w:r>
        <w:rPr/>
        <w:t>Savunma, Sayı 184,</w:t>
      </w:r>
      <w:r>
        <w:rPr>
          <w:spacing w:val="-1"/>
        </w:rPr>
        <w:t> </w:t>
      </w:r>
      <w:r>
        <w:rPr/>
        <w:t>ss.16-18.</w:t>
      </w:r>
    </w:p>
    <w:p>
      <w:pPr>
        <w:pStyle w:val="BodyText"/>
        <w:spacing w:line="360" w:lineRule="auto" w:before="1"/>
        <w:ind w:left="1836" w:right="610" w:hanging="708"/>
        <w:jc w:val="both"/>
      </w:pPr>
      <w:r>
        <w:rPr/>
        <w:t>GÖKTÜRK İsmail ve YILMAZ Mehmet; (2001), ‘‘Ülkemizde Afet Politikaları ve Karşılaşılan Sorunlara İlişkin Bir Değerlendirme’’, Seminer Notu.</w:t>
      </w:r>
    </w:p>
    <w:p>
      <w:pPr>
        <w:pStyle w:val="BodyText"/>
        <w:spacing w:line="360" w:lineRule="auto"/>
        <w:ind w:left="1836" w:right="616" w:hanging="708"/>
        <w:jc w:val="both"/>
      </w:pPr>
      <w:r>
        <w:rPr/>
        <w:t>GÖRGÜ H. H.; (2006), ‘‘Afetlerde Ortaya Çıkan Temel Duygularımız ve Başa Çıkma Yolları’’, Sivil Savunma, sayı 184, ss.13-15.</w:t>
      </w:r>
    </w:p>
    <w:p>
      <w:pPr>
        <w:pStyle w:val="BodyText"/>
        <w:spacing w:line="360" w:lineRule="auto"/>
        <w:ind w:left="1836" w:right="616" w:hanging="708"/>
        <w:jc w:val="both"/>
      </w:pPr>
      <w:r>
        <w:rPr/>
        <w:t>GÜLER</w:t>
      </w:r>
      <w:r>
        <w:rPr>
          <w:spacing w:val="-18"/>
        </w:rPr>
        <w:t> </w:t>
      </w:r>
      <w:r>
        <w:rPr/>
        <w:t>Hünkar;</w:t>
      </w:r>
      <w:r>
        <w:rPr>
          <w:spacing w:val="-16"/>
        </w:rPr>
        <w:t> </w:t>
      </w:r>
      <w:r>
        <w:rPr/>
        <w:t>(2004),</w:t>
      </w:r>
      <w:r>
        <w:rPr>
          <w:spacing w:val="-17"/>
        </w:rPr>
        <w:t> </w:t>
      </w:r>
      <w:r>
        <w:rPr/>
        <w:t>‘‘Hazırlıklı</w:t>
      </w:r>
      <w:r>
        <w:rPr>
          <w:spacing w:val="-17"/>
        </w:rPr>
        <w:t> </w:t>
      </w:r>
      <w:r>
        <w:rPr/>
        <w:t>Olma’’,</w:t>
      </w:r>
      <w:r>
        <w:rPr>
          <w:spacing w:val="-17"/>
        </w:rPr>
        <w:t> </w:t>
      </w:r>
      <w:r>
        <w:rPr/>
        <w:t>İçişleri</w:t>
      </w:r>
      <w:r>
        <w:rPr>
          <w:spacing w:val="-19"/>
        </w:rPr>
        <w:t> </w:t>
      </w:r>
      <w:r>
        <w:rPr/>
        <w:t>Bakanlığı</w:t>
      </w:r>
      <w:r>
        <w:rPr>
          <w:spacing w:val="-17"/>
        </w:rPr>
        <w:t> </w:t>
      </w:r>
      <w:r>
        <w:rPr/>
        <w:t>Eğitim</w:t>
      </w:r>
      <w:r>
        <w:rPr>
          <w:spacing w:val="-18"/>
        </w:rPr>
        <w:t> </w:t>
      </w:r>
      <w:r>
        <w:rPr/>
        <w:t>Dairesi</w:t>
      </w:r>
      <w:r>
        <w:rPr>
          <w:spacing w:val="-18"/>
        </w:rPr>
        <w:t> </w:t>
      </w:r>
      <w:r>
        <w:rPr/>
        <w:t>Başkanlığı Afet Yönetimi 55. Dönem Mülki İdare Amirleri Semineri, Ders Notu,</w:t>
      </w:r>
      <w:r>
        <w:rPr>
          <w:spacing w:val="-17"/>
        </w:rPr>
        <w:t> </w:t>
      </w:r>
      <w:r>
        <w:rPr/>
        <w:t>Ankara.</w:t>
      </w:r>
    </w:p>
    <w:p>
      <w:pPr>
        <w:spacing w:line="360" w:lineRule="auto" w:before="0"/>
        <w:ind w:left="1836" w:right="611" w:hanging="708"/>
        <w:jc w:val="both"/>
        <w:rPr>
          <w:sz w:val="24"/>
        </w:rPr>
      </w:pPr>
      <w:r>
        <w:rPr>
          <w:sz w:val="24"/>
        </w:rPr>
        <w:t>GÜLKAN Polat, BALAMİR Murat ve YAKUT Ahmet; (2003), </w:t>
      </w:r>
      <w:r>
        <w:rPr>
          <w:b/>
          <w:sz w:val="24"/>
        </w:rPr>
        <w:t>Afet Yönetiminin Stratejik İlkeleri: Türkiye ve Dünyadaki Politikalara Genel Bakış</w:t>
      </w:r>
      <w:r>
        <w:rPr>
          <w:sz w:val="24"/>
        </w:rPr>
        <w:t>, Ortadoğu Teknik Üniversitesi Afet Yönetimi Uygulama ve Araştırma Merkezi, Ankara.</w:t>
      </w:r>
    </w:p>
    <w:p>
      <w:pPr>
        <w:pStyle w:val="BodyText"/>
        <w:spacing w:line="360" w:lineRule="auto"/>
        <w:ind w:left="1128"/>
      </w:pPr>
      <w:r>
        <w:rPr/>
        <w:t>GÜMÜŞHANE VALİLİĞİ; </w:t>
      </w:r>
      <w:hyperlink r:id="rId25">
        <w:r>
          <w:rPr/>
          <w:t>www.gumushane.gov.tr</w:t>
        </w:r>
      </w:hyperlink>
      <w:r>
        <w:rPr/>
        <w:t>, Erişim Tarihi: 01.04.2019. GÜMÜŞHANE AFAD; Gümüşhane İl Afet ve Acil Durum Müdürlüğü, Afet Envanteri</w:t>
      </w:r>
    </w:p>
    <w:p>
      <w:pPr>
        <w:pStyle w:val="BodyText"/>
        <w:ind w:left="1836"/>
      </w:pPr>
      <w:r>
        <w:rPr/>
        <w:t>Erişim Tarihi: 12.12.2018.</w:t>
      </w:r>
    </w:p>
    <w:p>
      <w:pPr>
        <w:spacing w:line="360" w:lineRule="auto" w:before="136"/>
        <w:ind w:left="1836" w:right="612" w:hanging="708"/>
        <w:jc w:val="both"/>
        <w:rPr>
          <w:sz w:val="24"/>
        </w:rPr>
      </w:pPr>
      <w:r>
        <w:rPr>
          <w:sz w:val="24"/>
        </w:rPr>
        <w:t>GÜRSOY Bilal; (2018), </w:t>
      </w:r>
      <w:r>
        <w:rPr>
          <w:b/>
          <w:sz w:val="24"/>
        </w:rPr>
        <w:t>‘‘Hastanelerin Afete Hazırlık Açısından Değerlendirilmesi: Gümüşhane Devlet Hastanesi Örneği’’, </w:t>
      </w:r>
      <w:r>
        <w:rPr>
          <w:sz w:val="24"/>
        </w:rPr>
        <w:t>Yüksek Lisans Tezi, Gümüşhane Üniversitesi, SBE, Gümüşhane.</w:t>
      </w:r>
    </w:p>
    <w:p>
      <w:pPr>
        <w:spacing w:line="360" w:lineRule="auto" w:before="1"/>
        <w:ind w:left="1836" w:right="611" w:hanging="708"/>
        <w:jc w:val="both"/>
        <w:rPr>
          <w:sz w:val="24"/>
        </w:rPr>
      </w:pPr>
      <w:r>
        <w:rPr>
          <w:sz w:val="24"/>
        </w:rPr>
        <w:t>HODGES Alan; (2000), </w:t>
      </w:r>
      <w:r>
        <w:rPr>
          <w:b/>
          <w:sz w:val="24"/>
        </w:rPr>
        <w:t>Emergency Risk Management, Risk Management, </w:t>
      </w:r>
      <w:r>
        <w:rPr>
          <w:sz w:val="24"/>
        </w:rPr>
        <w:t>Vol. 2, No. 4, pp. 7-18.</w:t>
      </w:r>
    </w:p>
    <w:p>
      <w:pPr>
        <w:spacing w:line="360" w:lineRule="auto" w:before="1"/>
        <w:ind w:left="1836" w:right="617" w:hanging="708"/>
        <w:jc w:val="both"/>
        <w:rPr>
          <w:sz w:val="24"/>
        </w:rPr>
      </w:pPr>
      <w:r>
        <w:rPr>
          <w:sz w:val="24"/>
        </w:rPr>
        <w:t>İçişleri Bakanlığı - İstanbul Teknik Üniversitesi; (2002), </w:t>
      </w:r>
      <w:r>
        <w:rPr>
          <w:b/>
          <w:sz w:val="24"/>
        </w:rPr>
        <w:t>Türkiye Afet Bilgi Sistemi Temelleri</w:t>
      </w:r>
      <w:r>
        <w:rPr>
          <w:sz w:val="24"/>
        </w:rPr>
        <w:t>, Ankara.</w:t>
      </w:r>
    </w:p>
    <w:p>
      <w:pPr>
        <w:spacing w:after="0" w:line="360" w:lineRule="auto"/>
        <w:jc w:val="both"/>
        <w:rPr>
          <w:sz w:val="24"/>
        </w:rPr>
        <w:sectPr>
          <w:pgSz w:w="11910" w:h="16840"/>
          <w:pgMar w:header="0" w:footer="976" w:top="1580" w:bottom="1240" w:left="1140" w:right="520"/>
        </w:sectPr>
      </w:pPr>
    </w:p>
    <w:p>
      <w:pPr>
        <w:tabs>
          <w:tab w:pos="1907" w:val="left" w:leader="none"/>
          <w:tab w:pos="2816" w:val="left" w:leader="none"/>
          <w:tab w:pos="4279" w:val="left" w:leader="none"/>
          <w:tab w:pos="5087" w:val="left" w:leader="none"/>
          <w:tab w:pos="6012" w:val="left" w:leader="none"/>
          <w:tab w:pos="6996" w:val="left" w:leader="none"/>
          <w:tab w:pos="7681" w:val="left" w:leader="none"/>
          <w:tab w:pos="8660" w:val="left" w:leader="none"/>
        </w:tabs>
        <w:spacing w:line="360" w:lineRule="auto" w:before="98"/>
        <w:ind w:left="1836" w:right="617" w:hanging="708"/>
        <w:jc w:val="left"/>
        <w:rPr>
          <w:sz w:val="24"/>
        </w:rPr>
      </w:pPr>
      <w:r>
        <w:rPr>
          <w:sz w:val="24"/>
        </w:rPr>
        <w:t>JICA;</w:t>
        <w:tab/>
        <w:tab/>
        <w:t>(2004),</w:t>
        <w:tab/>
      </w:r>
      <w:r>
        <w:rPr>
          <w:b/>
          <w:sz w:val="24"/>
        </w:rPr>
        <w:t>“Türkiye'de</w:t>
        <w:tab/>
        <w:t>Doğal</w:t>
        <w:tab/>
        <w:t>Afetler</w:t>
        <w:tab/>
        <w:t>Konulu</w:t>
        <w:tab/>
        <w:t>Ülke</w:t>
        <w:tab/>
        <w:t>Strateji</w:t>
        <w:tab/>
        <w:t>Raporu”, </w:t>
      </w:r>
      <w:hyperlink r:id="rId40">
        <w:r>
          <w:rPr>
            <w:sz w:val="24"/>
          </w:rPr>
          <w:t>http://www.deprem.gov.tr/Sarbis/DDK/JICA_ülke%20strateji%20raporu,pdf</w:t>
        </w:r>
      </w:hyperlink>
      <w:r>
        <w:rPr>
          <w:sz w:val="24"/>
        </w:rPr>
        <w:t>, Erişim tarihi:</w:t>
      </w:r>
      <w:r>
        <w:rPr>
          <w:spacing w:val="-1"/>
          <w:sz w:val="24"/>
        </w:rPr>
        <w:t> </w:t>
      </w:r>
      <w:r>
        <w:rPr>
          <w:sz w:val="24"/>
        </w:rPr>
        <w:t>01.04.2019.</w:t>
      </w:r>
    </w:p>
    <w:p>
      <w:pPr>
        <w:spacing w:line="360" w:lineRule="auto" w:before="0"/>
        <w:ind w:left="1836" w:right="608" w:hanging="708"/>
        <w:jc w:val="both"/>
        <w:rPr>
          <w:sz w:val="24"/>
        </w:rPr>
      </w:pPr>
      <w:r>
        <w:rPr>
          <w:sz w:val="24"/>
        </w:rPr>
        <w:t>KADIOĞLU Miktad ve ÖZDAMAR Ekrem; (2005), </w:t>
      </w:r>
      <w:r>
        <w:rPr>
          <w:b/>
          <w:sz w:val="24"/>
        </w:rPr>
        <w:t>Afet Yönetiminin Temel İlkeleri</w:t>
      </w:r>
      <w:r>
        <w:rPr>
          <w:sz w:val="24"/>
        </w:rPr>
        <w:t>, JİCA Türkiye Ofisi Yayını, Ankara.</w:t>
      </w:r>
    </w:p>
    <w:p>
      <w:pPr>
        <w:spacing w:line="360" w:lineRule="auto" w:before="0"/>
        <w:ind w:left="1836" w:right="610" w:hanging="708"/>
        <w:jc w:val="both"/>
        <w:rPr>
          <w:sz w:val="24"/>
        </w:rPr>
      </w:pPr>
      <w:r>
        <w:rPr>
          <w:sz w:val="24"/>
        </w:rPr>
        <w:t>KADIOĞLU Mikdat; (2008a), “Modern, Bütünleşik Afet Yönetiminin Temel İlkeleri”, </w:t>
      </w:r>
      <w:r>
        <w:rPr>
          <w:b/>
          <w:sz w:val="24"/>
        </w:rPr>
        <w:t>Afet Zararlarını Azaltmanın Temel İlkeleri, </w:t>
      </w:r>
      <w:r>
        <w:rPr>
          <w:sz w:val="24"/>
        </w:rPr>
        <w:t>Mikdat Kadıoğlu ve Emin Özdamar (Ed.). 1.Baskı, Ankara, JICA Türkiye Ofisi, ss.34.</w:t>
      </w:r>
    </w:p>
    <w:p>
      <w:pPr>
        <w:pStyle w:val="BodyText"/>
        <w:spacing w:line="360" w:lineRule="auto"/>
        <w:ind w:left="1836" w:right="609" w:hanging="708"/>
        <w:jc w:val="both"/>
      </w:pPr>
      <w:r>
        <w:rPr/>
        <w:t>KADIOĞLU Miktad; (2011), Afet Yönetimi Beklenilmeyeni Beklemek, En Kötüsünü Yönetmek, TC. Marmara Belediyeler Birliği Yayını, İstanbul, ss.24-37.</w:t>
      </w:r>
    </w:p>
    <w:p>
      <w:pPr>
        <w:spacing w:line="360" w:lineRule="auto" w:before="1"/>
        <w:ind w:left="1836" w:right="611" w:hanging="708"/>
        <w:jc w:val="both"/>
        <w:rPr>
          <w:sz w:val="24"/>
        </w:rPr>
      </w:pPr>
      <w:r>
        <w:rPr>
          <w:sz w:val="24"/>
        </w:rPr>
        <w:t>KALAYCI Şeref; (2010), </w:t>
      </w:r>
      <w:r>
        <w:rPr>
          <w:b/>
          <w:sz w:val="24"/>
        </w:rPr>
        <w:t>SPSS Uygulamalı Çok Değişkenli İstatistik Teknikleri</w:t>
      </w:r>
      <w:r>
        <w:rPr>
          <w:sz w:val="24"/>
        </w:rPr>
        <w:t>, 15 Yazarlı Kitap, Şeref Kalaycı (Ed.), 5. Baskı, Asil Yayın Dağıtım, Ankara.</w:t>
      </w:r>
    </w:p>
    <w:p>
      <w:pPr>
        <w:pStyle w:val="BodyText"/>
        <w:spacing w:line="360" w:lineRule="auto"/>
        <w:ind w:left="1836" w:right="613" w:hanging="708"/>
        <w:jc w:val="both"/>
      </w:pPr>
      <w:r>
        <w:rPr/>
        <w:t>KARABIYIK Fatih; (2010), Sağlık Afet Yönetiminde Planlama ve Risk Analizleri, Beykent Üniversitesi, Sosyal Bilimler Enstitüsü, Yayınlanmamış Yüksek Lisans Tezi, İstanbul.</w:t>
      </w:r>
    </w:p>
    <w:p>
      <w:pPr>
        <w:spacing w:line="360" w:lineRule="auto" w:before="0"/>
        <w:ind w:left="1836" w:right="611" w:hanging="708"/>
        <w:jc w:val="both"/>
        <w:rPr>
          <w:sz w:val="24"/>
        </w:rPr>
      </w:pPr>
      <w:r>
        <w:rPr>
          <w:sz w:val="24"/>
        </w:rPr>
        <w:t>KOÇ</w:t>
      </w:r>
      <w:r>
        <w:rPr>
          <w:spacing w:val="-16"/>
          <w:sz w:val="24"/>
        </w:rPr>
        <w:t> </w:t>
      </w:r>
      <w:r>
        <w:rPr>
          <w:sz w:val="24"/>
        </w:rPr>
        <w:t>Telat,</w:t>
      </w:r>
      <w:r>
        <w:rPr>
          <w:spacing w:val="-17"/>
          <w:sz w:val="24"/>
        </w:rPr>
        <w:t> </w:t>
      </w:r>
      <w:r>
        <w:rPr>
          <w:sz w:val="24"/>
        </w:rPr>
        <w:t>ÇAVUŞ</w:t>
      </w:r>
      <w:r>
        <w:rPr>
          <w:spacing w:val="-15"/>
          <w:sz w:val="24"/>
        </w:rPr>
        <w:t> </w:t>
      </w:r>
      <w:r>
        <w:rPr>
          <w:sz w:val="24"/>
        </w:rPr>
        <w:t>C.</w:t>
      </w:r>
      <w:r>
        <w:rPr>
          <w:spacing w:val="-14"/>
          <w:sz w:val="24"/>
        </w:rPr>
        <w:t> </w:t>
      </w:r>
      <w:r>
        <w:rPr>
          <w:sz w:val="24"/>
        </w:rPr>
        <w:t>Zehra</w:t>
      </w:r>
      <w:r>
        <w:rPr>
          <w:spacing w:val="-16"/>
          <w:sz w:val="24"/>
        </w:rPr>
        <w:t> </w:t>
      </w:r>
      <w:r>
        <w:rPr>
          <w:sz w:val="24"/>
        </w:rPr>
        <w:t>ve</w:t>
      </w:r>
      <w:r>
        <w:rPr>
          <w:spacing w:val="-18"/>
          <w:sz w:val="24"/>
        </w:rPr>
        <w:t> </w:t>
      </w:r>
      <w:r>
        <w:rPr>
          <w:sz w:val="24"/>
        </w:rPr>
        <w:t>ÇALIŞKAN</w:t>
      </w:r>
      <w:r>
        <w:rPr>
          <w:spacing w:val="-16"/>
          <w:sz w:val="24"/>
        </w:rPr>
        <w:t> </w:t>
      </w:r>
      <w:r>
        <w:rPr>
          <w:sz w:val="24"/>
        </w:rPr>
        <w:t>Vedat;</w:t>
      </w:r>
      <w:r>
        <w:rPr>
          <w:spacing w:val="-16"/>
          <w:sz w:val="24"/>
        </w:rPr>
        <w:t> </w:t>
      </w:r>
      <w:r>
        <w:rPr>
          <w:sz w:val="24"/>
        </w:rPr>
        <w:t>(2005),</w:t>
      </w:r>
      <w:r>
        <w:rPr>
          <w:spacing w:val="-14"/>
          <w:sz w:val="24"/>
        </w:rPr>
        <w:t> </w:t>
      </w:r>
      <w:r>
        <w:rPr>
          <w:b/>
          <w:sz w:val="24"/>
        </w:rPr>
        <w:t>‘‘Çanakkale</w:t>
      </w:r>
      <w:r>
        <w:rPr>
          <w:b/>
          <w:spacing w:val="-15"/>
          <w:sz w:val="24"/>
        </w:rPr>
        <w:t> </w:t>
      </w:r>
      <w:r>
        <w:rPr>
          <w:b/>
          <w:sz w:val="24"/>
        </w:rPr>
        <w:t>Kar</w:t>
      </w:r>
      <w:r>
        <w:rPr>
          <w:b/>
          <w:spacing w:val="-13"/>
          <w:sz w:val="24"/>
        </w:rPr>
        <w:t> </w:t>
      </w:r>
      <w:r>
        <w:rPr>
          <w:b/>
          <w:sz w:val="24"/>
        </w:rPr>
        <w:t>Fırtınası Afetinin</w:t>
      </w:r>
      <w:r>
        <w:rPr>
          <w:b/>
          <w:spacing w:val="-11"/>
          <w:sz w:val="24"/>
        </w:rPr>
        <w:t> </w:t>
      </w:r>
      <w:r>
        <w:rPr>
          <w:b/>
          <w:sz w:val="24"/>
        </w:rPr>
        <w:t>Sosyal</w:t>
      </w:r>
      <w:r>
        <w:rPr>
          <w:b/>
          <w:spacing w:val="-11"/>
          <w:sz w:val="24"/>
        </w:rPr>
        <w:t> </w:t>
      </w:r>
      <w:r>
        <w:rPr>
          <w:b/>
          <w:sz w:val="24"/>
        </w:rPr>
        <w:t>ve</w:t>
      </w:r>
      <w:r>
        <w:rPr>
          <w:b/>
          <w:spacing w:val="-14"/>
          <w:sz w:val="24"/>
        </w:rPr>
        <w:t> </w:t>
      </w:r>
      <w:r>
        <w:rPr>
          <w:b/>
          <w:sz w:val="24"/>
        </w:rPr>
        <w:t>Ekonomik</w:t>
      </w:r>
      <w:r>
        <w:rPr>
          <w:b/>
          <w:spacing w:val="-10"/>
          <w:sz w:val="24"/>
        </w:rPr>
        <w:t> </w:t>
      </w:r>
      <w:r>
        <w:rPr>
          <w:b/>
          <w:sz w:val="24"/>
        </w:rPr>
        <w:t>Etkilerinin</w:t>
      </w:r>
      <w:r>
        <w:rPr>
          <w:b/>
          <w:spacing w:val="-11"/>
          <w:sz w:val="24"/>
        </w:rPr>
        <w:t> </w:t>
      </w:r>
      <w:r>
        <w:rPr>
          <w:b/>
          <w:sz w:val="24"/>
        </w:rPr>
        <w:t>Değerlendirilmesi’’,</w:t>
      </w:r>
      <w:r>
        <w:rPr>
          <w:b/>
          <w:spacing w:val="-12"/>
          <w:sz w:val="24"/>
        </w:rPr>
        <w:t> </w:t>
      </w:r>
      <w:r>
        <w:rPr>
          <w:b/>
          <w:sz w:val="24"/>
        </w:rPr>
        <w:t>Sivil</w:t>
      </w:r>
      <w:r>
        <w:rPr>
          <w:b/>
          <w:spacing w:val="-11"/>
          <w:sz w:val="24"/>
        </w:rPr>
        <w:t> </w:t>
      </w:r>
      <w:r>
        <w:rPr>
          <w:b/>
          <w:sz w:val="24"/>
        </w:rPr>
        <w:t>Savunma, </w:t>
      </w:r>
      <w:r>
        <w:rPr>
          <w:sz w:val="24"/>
        </w:rPr>
        <w:t>sayı 181,</w:t>
      </w:r>
      <w:r>
        <w:rPr>
          <w:spacing w:val="-1"/>
          <w:sz w:val="24"/>
        </w:rPr>
        <w:t> </w:t>
      </w:r>
      <w:r>
        <w:rPr>
          <w:sz w:val="24"/>
        </w:rPr>
        <w:t>ss.5-10.</w:t>
      </w:r>
    </w:p>
    <w:p>
      <w:pPr>
        <w:pStyle w:val="BodyText"/>
        <w:spacing w:line="360" w:lineRule="auto"/>
        <w:ind w:left="1836" w:right="612" w:hanging="708"/>
        <w:jc w:val="both"/>
      </w:pPr>
      <w:r>
        <w:rPr/>
        <w:t>KUBALI Derya; (2000), ‘‘Afet Yönetiminde Diğer Ülke Deneyimleri’’, İç Denetim Enstitüsü Konferans Notları, İstanbul.</w:t>
      </w:r>
    </w:p>
    <w:p>
      <w:pPr>
        <w:pStyle w:val="Heading1"/>
        <w:spacing w:line="360" w:lineRule="auto"/>
        <w:ind w:left="1836" w:right="614" w:hanging="708"/>
        <w:jc w:val="both"/>
        <w:rPr>
          <w:b w:val="0"/>
        </w:rPr>
      </w:pPr>
      <w:r>
        <w:rPr>
          <w:b w:val="0"/>
        </w:rPr>
        <w:t>KURİTA T.; (2004), </w:t>
      </w:r>
      <w:r>
        <w:rPr/>
        <w:t>Total Disaster Risk Management and The importance of international Cooperation, Asian Disaster Reduction Center</w:t>
      </w:r>
      <w:r>
        <w:rPr>
          <w:b w:val="0"/>
        </w:rPr>
        <w:t>, Japan.</w:t>
      </w:r>
    </w:p>
    <w:p>
      <w:pPr>
        <w:pStyle w:val="BodyText"/>
        <w:spacing w:line="360" w:lineRule="auto"/>
        <w:ind w:left="1836" w:right="617" w:hanging="708"/>
        <w:jc w:val="both"/>
      </w:pPr>
      <w:r>
        <w:rPr/>
        <w:t>KURT Bilal; (2014), Türkiye’de Orman Yangınlarının Coğrafi Dağılışı, Ankara Üniversitesi Sosyal Bilimler Enstitüsü Yüksek Lisans Tezi, Ankara.</w:t>
      </w:r>
    </w:p>
    <w:p>
      <w:pPr>
        <w:spacing w:line="360" w:lineRule="auto" w:before="0"/>
        <w:ind w:left="1836" w:right="611" w:hanging="708"/>
        <w:jc w:val="both"/>
        <w:rPr>
          <w:sz w:val="24"/>
        </w:rPr>
      </w:pPr>
      <w:r>
        <w:rPr>
          <w:sz w:val="24"/>
        </w:rPr>
        <w:t>LABRAGUE Leodoro J., YBOA Begonia C., PETİTTE Denise M., LOBRİNO Ledwin R., BRENNAN Mary Geronima; (2015), </w:t>
      </w:r>
      <w:r>
        <w:rPr>
          <w:b/>
          <w:sz w:val="24"/>
        </w:rPr>
        <w:t>“Disaster Preparedness in Philippine Nurses”, Journal of Nursing Scholarship, </w:t>
      </w:r>
      <w:r>
        <w:rPr>
          <w:sz w:val="24"/>
        </w:rPr>
        <w:t>48(1),</w:t>
      </w:r>
      <w:r>
        <w:rPr>
          <w:spacing w:val="59"/>
          <w:sz w:val="24"/>
        </w:rPr>
        <w:t> </w:t>
      </w:r>
      <w:r>
        <w:rPr>
          <w:sz w:val="24"/>
        </w:rPr>
        <w:t>pp:1-8.</w:t>
      </w:r>
    </w:p>
    <w:p>
      <w:pPr>
        <w:pStyle w:val="BodyText"/>
        <w:ind w:left="1128"/>
        <w:rPr>
          <w:b/>
        </w:rPr>
      </w:pPr>
      <w:r>
        <w:rPr/>
        <w:t>MAKRİDENKO L.A., BOYARCHUK K. and PODLESNIY A.(2001), </w:t>
      </w:r>
      <w:r>
        <w:rPr>
          <w:b/>
        </w:rPr>
        <w:t>‘‘Deprem</w:t>
      </w:r>
    </w:p>
    <w:p>
      <w:pPr>
        <w:spacing w:before="137"/>
        <w:ind w:left="1836" w:right="0" w:firstLine="0"/>
        <w:jc w:val="left"/>
        <w:rPr>
          <w:sz w:val="24"/>
        </w:rPr>
      </w:pPr>
      <w:r>
        <w:rPr>
          <w:b/>
          <w:sz w:val="24"/>
        </w:rPr>
        <w:t>Tahmin Uydusu’’, Çev: N. Gürsel Metin), Sivil Savunma, </w:t>
      </w:r>
      <w:r>
        <w:rPr>
          <w:sz w:val="24"/>
        </w:rPr>
        <w:t>Sayı 164, ss.4-6.</w:t>
      </w:r>
    </w:p>
    <w:p>
      <w:pPr>
        <w:spacing w:after="0"/>
        <w:jc w:val="left"/>
        <w:rPr>
          <w:sz w:val="24"/>
        </w:rPr>
        <w:sectPr>
          <w:pgSz w:w="11910" w:h="16840"/>
          <w:pgMar w:header="0" w:footer="976" w:top="1580" w:bottom="1240" w:left="1140" w:right="520"/>
        </w:sectPr>
      </w:pPr>
    </w:p>
    <w:p>
      <w:pPr>
        <w:pStyle w:val="BodyText"/>
        <w:spacing w:line="360" w:lineRule="auto" w:before="98"/>
        <w:ind w:left="1836" w:right="613" w:hanging="708"/>
        <w:jc w:val="both"/>
      </w:pPr>
      <w:r>
        <w:rPr/>
        <w:t>METEROLOJİ GENEL MÜDÜRLÜĞÜ; https://mgm.gov.tr/genel/kutuphane.aspx Erişim Tarihi: 20.11.2018.</w:t>
      </w:r>
    </w:p>
    <w:p>
      <w:pPr>
        <w:pStyle w:val="Heading1"/>
        <w:spacing w:line="360" w:lineRule="auto"/>
        <w:ind w:left="1836" w:right="617" w:hanging="708"/>
        <w:jc w:val="both"/>
        <w:rPr>
          <w:b w:val="0"/>
        </w:rPr>
      </w:pPr>
      <w:r>
        <w:rPr>
          <w:b w:val="0"/>
        </w:rPr>
        <w:t>ODTÜ; (1999), </w:t>
      </w:r>
      <w:r>
        <w:rPr/>
        <w:t>Depremlere Karşı Hazırlıklı Olalım, ODTÜ Afet Yönetimi Uygulama ve Araştırma Merkezi, </w:t>
      </w:r>
      <w:r>
        <w:rPr>
          <w:b w:val="0"/>
        </w:rPr>
        <w:t>Ankara.</w:t>
      </w:r>
    </w:p>
    <w:p>
      <w:pPr>
        <w:spacing w:line="360" w:lineRule="auto" w:before="0"/>
        <w:ind w:left="1836" w:right="613" w:hanging="708"/>
        <w:jc w:val="both"/>
        <w:rPr>
          <w:sz w:val="24"/>
        </w:rPr>
      </w:pPr>
      <w:r>
        <w:rPr>
          <w:sz w:val="24"/>
        </w:rPr>
        <w:t>OLGUN Hakan; (2006</w:t>
      </w:r>
      <w:r>
        <w:rPr>
          <w:b/>
          <w:sz w:val="24"/>
        </w:rPr>
        <w:t>), “Afet Kaynaklı Krizlerin Yönetimi: 1999 Sonrası İstanbul Büyükşehir Belediyesi Örneği”, </w:t>
      </w:r>
      <w:r>
        <w:rPr>
          <w:sz w:val="24"/>
        </w:rPr>
        <w:t>Yüksek Lisans Tezi, Dumlupınar Üniversitesi SBE, Kütahya.</w:t>
      </w:r>
    </w:p>
    <w:p>
      <w:pPr>
        <w:spacing w:line="360" w:lineRule="auto" w:before="0"/>
        <w:ind w:left="1836" w:right="613" w:hanging="708"/>
        <w:jc w:val="both"/>
        <w:rPr>
          <w:sz w:val="24"/>
        </w:rPr>
      </w:pPr>
      <w:r>
        <w:rPr>
          <w:sz w:val="24"/>
        </w:rPr>
        <w:t>ÖZASLANTAŞ L. Özlem; (2011), </w:t>
      </w:r>
      <w:r>
        <w:rPr>
          <w:b/>
          <w:sz w:val="24"/>
        </w:rPr>
        <w:t>‘‘Afyon Kocatepe Üniversitesi Ahmet Necdet Sezer Uygulama ve Araştırma Hastanesinde Afet Planı Eğitim Çalışması’’, </w:t>
      </w:r>
      <w:r>
        <w:rPr>
          <w:sz w:val="24"/>
        </w:rPr>
        <w:t>Yüksek Lisans Tezi, Afyon Kocatepe Üniversitesi TF, Afyon.</w:t>
      </w:r>
    </w:p>
    <w:p>
      <w:pPr>
        <w:spacing w:line="360" w:lineRule="auto" w:before="1"/>
        <w:ind w:left="1836" w:right="612" w:hanging="708"/>
        <w:jc w:val="both"/>
        <w:rPr>
          <w:sz w:val="24"/>
        </w:rPr>
      </w:pPr>
      <w:r>
        <w:rPr>
          <w:sz w:val="24"/>
        </w:rPr>
        <w:t>ÖZCAN Feride; (2013), </w:t>
      </w:r>
      <w:r>
        <w:rPr>
          <w:b/>
          <w:sz w:val="24"/>
        </w:rPr>
        <w:t>‘‘Hemşirelerin Afete Hazır Olma Durumu ve Hazırlık Algısı’’, </w:t>
      </w:r>
      <w:r>
        <w:rPr>
          <w:sz w:val="24"/>
        </w:rPr>
        <w:t>Marmara Üniversitesi Sağlık Bilimleri Enstitüsü, Yayımlanmamış Yüksek Lisans Tezi, İstanbul.</w:t>
      </w:r>
    </w:p>
    <w:p>
      <w:pPr>
        <w:pStyle w:val="BodyText"/>
        <w:spacing w:line="360" w:lineRule="auto"/>
        <w:ind w:left="1836" w:right="609" w:hanging="708"/>
        <w:jc w:val="both"/>
      </w:pPr>
      <w:r>
        <w:rPr/>
        <w:t>ÖZDEMİR P. ve A. İLKİ; (2004), ‘‘Afet Tatbikatı’’, İçişleri Bakanlığı Eğitim Dairesi Başkanlığı Afet Yönetimi 55. Dönem Mülki İdare Amirleri Semineri, Ders Notu, Ankara.</w:t>
      </w:r>
    </w:p>
    <w:p>
      <w:pPr>
        <w:pStyle w:val="BodyText"/>
        <w:spacing w:line="360" w:lineRule="auto"/>
        <w:ind w:left="1836" w:right="611" w:hanging="708"/>
        <w:jc w:val="both"/>
      </w:pPr>
      <w:r>
        <w:rPr/>
        <w:t>ÖZMENLİ Mehmet; (1996), Eski Çağ’da Gümüşhane ve Bayburt Yüksek Lisans Tezi, Atatürk Üniversitesi, Sosyal Bilimler Enstitüsü. Erzurum.</w:t>
      </w:r>
    </w:p>
    <w:p>
      <w:pPr>
        <w:pStyle w:val="BodyText"/>
        <w:spacing w:line="360" w:lineRule="auto"/>
        <w:ind w:left="1836" w:right="614" w:hanging="708"/>
        <w:jc w:val="both"/>
      </w:pPr>
      <w:r>
        <w:rPr/>
        <w:t>ÖZTÜRK Nurettin; (2003), Türkiye‘de Afet Yönetimi: Karılaşılan Sorunlar ve Çözüm Önerileri, </w:t>
      </w:r>
      <w:r>
        <w:rPr>
          <w:b/>
        </w:rPr>
        <w:t>Çağdaş Yerel Yönetimler</w:t>
      </w:r>
      <w:r>
        <w:rPr/>
        <w:t>, Cilt 12, Sayı 4, ss.42-64.</w:t>
      </w:r>
    </w:p>
    <w:p>
      <w:pPr>
        <w:pStyle w:val="BodyText"/>
        <w:spacing w:line="360" w:lineRule="auto"/>
        <w:ind w:left="1836" w:right="612" w:hanging="708"/>
        <w:jc w:val="both"/>
      </w:pPr>
      <w:r>
        <w:rPr/>
        <w:t>PETAK William; (1985), Emergency Management: A Challenge for Public Administration‖, Public Administration Review, Vol. 45, Special Issue: Emergency Management: A Challenge for Public Administration, pp. 3-7.</w:t>
      </w:r>
    </w:p>
    <w:p>
      <w:pPr>
        <w:spacing w:line="360" w:lineRule="auto" w:before="0"/>
        <w:ind w:left="1836" w:right="614" w:hanging="708"/>
        <w:jc w:val="both"/>
        <w:rPr>
          <w:sz w:val="24"/>
        </w:rPr>
      </w:pPr>
      <w:r>
        <w:rPr>
          <w:sz w:val="24"/>
        </w:rPr>
        <w:t>SİPAHİ Beril, YURTKORU E. Serra, ÇİNKO Murat; (2010), </w:t>
      </w:r>
      <w:r>
        <w:rPr>
          <w:b/>
          <w:sz w:val="24"/>
        </w:rPr>
        <w:t>Sosyal Bilimlerde SPSS’le Veri Analizi, </w:t>
      </w:r>
      <w:r>
        <w:rPr>
          <w:sz w:val="24"/>
        </w:rPr>
        <w:t>(Üçüncü Baskı), Beta Basım Yayım Dağıtım, İstanbul.</w:t>
      </w:r>
    </w:p>
    <w:p>
      <w:pPr>
        <w:spacing w:before="0"/>
        <w:ind w:left="1128" w:right="0" w:firstLine="0"/>
        <w:jc w:val="left"/>
        <w:rPr>
          <w:sz w:val="24"/>
        </w:rPr>
      </w:pPr>
      <w:r>
        <w:rPr>
          <w:sz w:val="24"/>
        </w:rPr>
        <w:t>ŞAHİN Cemalettin ve SİPAHİOĞLU Şengün; (2002), </w:t>
      </w:r>
      <w:r>
        <w:rPr>
          <w:b/>
          <w:sz w:val="24"/>
        </w:rPr>
        <w:t>Doğal Afetler ve Türkiye</w:t>
      </w:r>
      <w:r>
        <w:rPr>
          <w:sz w:val="24"/>
        </w:rPr>
        <w:t>.</w:t>
      </w:r>
    </w:p>
    <w:p>
      <w:pPr>
        <w:pStyle w:val="BodyText"/>
        <w:spacing w:before="137"/>
        <w:ind w:left="1836"/>
      </w:pPr>
      <w:r>
        <w:rPr/>
        <w:t>Gündüz Eg. ve Yayınları, Ankara, ss.478.</w:t>
      </w:r>
    </w:p>
    <w:p>
      <w:pPr>
        <w:spacing w:line="360" w:lineRule="auto" w:before="139"/>
        <w:ind w:left="1836" w:right="615" w:hanging="708"/>
        <w:jc w:val="both"/>
        <w:rPr>
          <w:sz w:val="24"/>
        </w:rPr>
      </w:pPr>
      <w:r>
        <w:rPr>
          <w:sz w:val="24"/>
        </w:rPr>
        <w:t>ŞAHİN Gülşah; (2009), </w:t>
      </w:r>
      <w:r>
        <w:rPr>
          <w:b/>
          <w:sz w:val="24"/>
        </w:rPr>
        <w:t>Kentsel Afet Risklerine Yönelik Zarar Azaltma Stratejilerinin Geliştirilmesi, </w:t>
      </w:r>
      <w:r>
        <w:rPr>
          <w:sz w:val="24"/>
        </w:rPr>
        <w:t>İzmir, ss.120.</w:t>
      </w:r>
    </w:p>
    <w:p>
      <w:pPr>
        <w:spacing w:before="0"/>
        <w:ind w:left="1128" w:right="0" w:firstLine="0"/>
        <w:jc w:val="left"/>
        <w:rPr>
          <w:sz w:val="24"/>
        </w:rPr>
      </w:pPr>
      <w:r>
        <w:rPr>
          <w:sz w:val="24"/>
        </w:rPr>
        <w:t>ŞAHİN Necmettin; (2007), </w:t>
      </w:r>
      <w:r>
        <w:rPr>
          <w:b/>
          <w:sz w:val="24"/>
        </w:rPr>
        <w:t>Afet Yönetimi ve Acil Yardım Planları</w:t>
      </w:r>
      <w:r>
        <w:rPr>
          <w:sz w:val="24"/>
        </w:rPr>
        <w:t>, s.134. Ankara.</w:t>
      </w:r>
    </w:p>
    <w:p>
      <w:pPr>
        <w:spacing w:after="0"/>
        <w:jc w:val="left"/>
        <w:rPr>
          <w:sz w:val="24"/>
        </w:rPr>
        <w:sectPr>
          <w:pgSz w:w="11910" w:h="16840"/>
          <w:pgMar w:header="0" w:footer="976" w:top="1580" w:bottom="1240" w:left="1140" w:right="520"/>
        </w:sectPr>
      </w:pPr>
    </w:p>
    <w:p>
      <w:pPr>
        <w:spacing w:line="360" w:lineRule="auto" w:before="98"/>
        <w:ind w:left="1836" w:right="611" w:hanging="708"/>
        <w:jc w:val="both"/>
        <w:rPr>
          <w:sz w:val="24"/>
        </w:rPr>
      </w:pPr>
      <w:r>
        <w:rPr>
          <w:sz w:val="24"/>
        </w:rPr>
        <w:t>ŞENGEZER Betül; (2002), </w:t>
      </w:r>
      <w:r>
        <w:rPr>
          <w:b/>
          <w:sz w:val="24"/>
        </w:rPr>
        <w:t>“Japonya ve ABD’de Afet Yönetimi, Kentlerin Depreme Karşı Hazırlanması” Kentlerin Deprem Hazırlanması ve İstanbul Gerçeği Sempozyumu, </w:t>
      </w:r>
      <w:r>
        <w:rPr>
          <w:sz w:val="24"/>
        </w:rPr>
        <w:t>TMMOB Mimarlar Odası İstanbul Büyük Kent Şubesi, s. 42, İstanbul.</w:t>
      </w:r>
    </w:p>
    <w:p>
      <w:pPr>
        <w:spacing w:line="360" w:lineRule="auto" w:before="0"/>
        <w:ind w:left="1836" w:right="612" w:hanging="708"/>
        <w:jc w:val="both"/>
        <w:rPr>
          <w:sz w:val="24"/>
        </w:rPr>
      </w:pPr>
      <w:r>
        <w:rPr>
          <w:sz w:val="24"/>
        </w:rPr>
        <w:t>ŞENGÜN Hayriye ve TEMİZ Ahmet; (2007), </w:t>
      </w:r>
      <w:r>
        <w:rPr>
          <w:b/>
          <w:sz w:val="24"/>
        </w:rPr>
        <w:t>Afet Yönetimi ve Karabük. TMMOB Afet Sempozyumu, Bildiriler Kitabı, </w:t>
      </w:r>
      <w:r>
        <w:rPr>
          <w:sz w:val="24"/>
        </w:rPr>
        <w:t>İMO Kongre ve Kültür Merkezi Ankara Bildiriler Kitabı.</w:t>
      </w:r>
    </w:p>
    <w:p>
      <w:pPr>
        <w:pStyle w:val="BodyText"/>
        <w:spacing w:line="360" w:lineRule="auto"/>
        <w:ind w:left="1836" w:right="608" w:hanging="708"/>
        <w:jc w:val="both"/>
      </w:pPr>
      <w:r>
        <w:rPr/>
        <w:t>TUİK; (2014), Seçilmiş Göstergelerle Gümüşhane 2013. Türkiye İstatistik Kurumu, Ankara, Erişim Tarihi: 01.04.2019.</w:t>
      </w:r>
    </w:p>
    <w:p>
      <w:pPr>
        <w:spacing w:line="360" w:lineRule="auto" w:before="0"/>
        <w:ind w:left="1836" w:right="614" w:hanging="708"/>
        <w:jc w:val="both"/>
        <w:rPr>
          <w:sz w:val="24"/>
        </w:rPr>
      </w:pPr>
      <w:r>
        <w:rPr>
          <w:sz w:val="24"/>
        </w:rPr>
        <w:t>TÖRENCİ Halil Eren; (2015), </w:t>
      </w:r>
      <w:r>
        <w:rPr>
          <w:b/>
          <w:sz w:val="24"/>
        </w:rPr>
        <w:t>‘‘Afet Yönetimi ve Bursa’da Sağlık Sektöründe Afet Yönetimi’’, </w:t>
      </w:r>
      <w:r>
        <w:rPr>
          <w:sz w:val="24"/>
        </w:rPr>
        <w:t>Yüksek Lisans Tezi, Beykent Üniversitesi SBE, İstanbul.</w:t>
      </w:r>
    </w:p>
    <w:p>
      <w:pPr>
        <w:spacing w:line="360" w:lineRule="auto" w:before="0"/>
        <w:ind w:left="1836" w:right="616" w:hanging="708"/>
        <w:jc w:val="both"/>
        <w:rPr>
          <w:sz w:val="24"/>
        </w:rPr>
      </w:pPr>
      <w:r>
        <w:rPr>
          <w:sz w:val="24"/>
        </w:rPr>
        <w:t>ULUĞ Atilla; (2009), </w:t>
      </w:r>
      <w:r>
        <w:rPr>
          <w:b/>
          <w:sz w:val="24"/>
        </w:rPr>
        <w:t>“Nasıl Bir Afet Yönetimi?”, TMMOB 1. İzmir Kent Sempozyumu, </w:t>
      </w:r>
      <w:r>
        <w:rPr>
          <w:sz w:val="24"/>
        </w:rPr>
        <w:t>ss.8-10, İzmir.</w:t>
      </w:r>
    </w:p>
    <w:p>
      <w:pPr>
        <w:pStyle w:val="BodyText"/>
        <w:spacing w:line="360" w:lineRule="auto"/>
        <w:ind w:left="1836" w:right="612" w:hanging="708"/>
        <w:jc w:val="both"/>
      </w:pPr>
      <w:r>
        <w:rPr/>
        <w:t>URAL D. N; (1996), ‘‘Afet Politikaları ve Afetlerin Ekonomik Boyutu: Türkiye Uygulaması”, ODTÜ, Afet Yönetimi Uygulama ve Araştırma Merkezi, Ankara.</w:t>
      </w:r>
    </w:p>
    <w:p>
      <w:pPr>
        <w:spacing w:line="360" w:lineRule="auto" w:before="0"/>
        <w:ind w:left="1836" w:right="616" w:hanging="708"/>
        <w:jc w:val="both"/>
        <w:rPr>
          <w:sz w:val="24"/>
        </w:rPr>
      </w:pPr>
      <w:r>
        <w:rPr>
          <w:sz w:val="24"/>
        </w:rPr>
        <w:t>URAL Ayhan ve KILIÇ İbrahim; (2006), </w:t>
      </w:r>
      <w:r>
        <w:rPr>
          <w:b/>
          <w:sz w:val="24"/>
        </w:rPr>
        <w:t>Bilimsel Araştırma Süreci ve SPSS ile Veri Analizi, </w:t>
      </w:r>
      <w:r>
        <w:rPr>
          <w:sz w:val="24"/>
        </w:rPr>
        <w:t>Genişletilmiş 2. Baskı, Detay Yayıncılık, Ankara.</w:t>
      </w:r>
    </w:p>
    <w:p>
      <w:pPr>
        <w:spacing w:line="360" w:lineRule="auto" w:before="0"/>
        <w:ind w:left="1836" w:right="609" w:hanging="708"/>
        <w:jc w:val="both"/>
        <w:rPr>
          <w:sz w:val="24"/>
        </w:rPr>
      </w:pPr>
      <w:r>
        <w:rPr>
          <w:b/>
          <w:sz w:val="24"/>
        </w:rPr>
        <w:t>Ülkelerin_Afet_Yonetim_Sistemleri.pdf, </w:t>
      </w:r>
      <w:hyperlink r:id="rId41">
        <w:r>
          <w:rPr>
            <w:b/>
            <w:sz w:val="24"/>
          </w:rPr>
          <w:t>http://turkafet.org.tr</w:t>
        </w:r>
      </w:hyperlink>
      <w:r>
        <w:rPr>
          <w:b/>
          <w:sz w:val="24"/>
        </w:rPr>
        <w:t>, </w:t>
      </w:r>
      <w:r>
        <w:rPr>
          <w:sz w:val="24"/>
        </w:rPr>
        <w:t>Erişim Tarihi: 20.12.2018.</w:t>
      </w:r>
    </w:p>
    <w:p>
      <w:pPr>
        <w:spacing w:line="360" w:lineRule="auto" w:before="0"/>
        <w:ind w:left="1836" w:right="610" w:hanging="708"/>
        <w:jc w:val="both"/>
        <w:rPr>
          <w:sz w:val="24"/>
        </w:rPr>
      </w:pPr>
      <w:r>
        <w:rPr>
          <w:sz w:val="24"/>
        </w:rPr>
        <w:t>VAROL Nehir; (2005), </w:t>
      </w:r>
      <w:r>
        <w:rPr>
          <w:b/>
          <w:sz w:val="24"/>
        </w:rPr>
        <w:t>‘‘Çığların Sınıflandırılması’’, Sivil Savunma, </w:t>
      </w:r>
      <w:r>
        <w:rPr>
          <w:sz w:val="24"/>
        </w:rPr>
        <w:t>Sayı 182, ss.7- 9.</w:t>
      </w:r>
    </w:p>
    <w:p>
      <w:pPr>
        <w:spacing w:line="360" w:lineRule="auto" w:before="0"/>
        <w:ind w:left="1836" w:right="614" w:hanging="648"/>
        <w:jc w:val="both"/>
        <w:rPr>
          <w:sz w:val="24"/>
        </w:rPr>
      </w:pPr>
      <w:r>
        <w:rPr>
          <w:sz w:val="24"/>
        </w:rPr>
        <w:t>YAVAŞ Hikmet; (2001), </w:t>
      </w:r>
      <w:r>
        <w:rPr>
          <w:b/>
          <w:sz w:val="24"/>
        </w:rPr>
        <w:t>“Doğal Afetler ve Kriz Yönetimi”, Yerel Yönetim ve Denetim, </w:t>
      </w:r>
      <w:r>
        <w:rPr>
          <w:sz w:val="24"/>
        </w:rPr>
        <w:t>Cilt: 6, Sayı: 2, s. 50.</w:t>
      </w:r>
    </w:p>
    <w:p>
      <w:pPr>
        <w:spacing w:line="360" w:lineRule="auto" w:before="0"/>
        <w:ind w:left="1836" w:right="615" w:hanging="708"/>
        <w:jc w:val="both"/>
        <w:rPr>
          <w:sz w:val="24"/>
        </w:rPr>
      </w:pPr>
      <w:r>
        <w:rPr>
          <w:sz w:val="24"/>
        </w:rPr>
        <w:t>YAVAŞ Hikmet; (2005), </w:t>
      </w:r>
      <w:r>
        <w:rPr>
          <w:b/>
          <w:sz w:val="24"/>
        </w:rPr>
        <w:t>Doğal Afetler Yönüyle Türkiye’de Belediyelerde Kriz Yönetimi, </w:t>
      </w:r>
      <w:r>
        <w:rPr>
          <w:sz w:val="24"/>
        </w:rPr>
        <w:t>Orion Yayınevi, Ankara.</w:t>
      </w:r>
    </w:p>
    <w:p>
      <w:pPr>
        <w:spacing w:before="0"/>
        <w:ind w:left="1128" w:right="0" w:firstLine="0"/>
        <w:jc w:val="left"/>
        <w:rPr>
          <w:sz w:val="24"/>
        </w:rPr>
      </w:pPr>
      <w:r>
        <w:rPr>
          <w:sz w:val="24"/>
        </w:rPr>
        <w:t>YAVUZ Ömer; (2014), </w:t>
      </w:r>
      <w:r>
        <w:rPr>
          <w:b/>
          <w:sz w:val="24"/>
        </w:rPr>
        <w:t>Afetler Sonrası Yapılan Sosyal Yardımlar ve Hizmetler, </w:t>
      </w:r>
      <w:r>
        <w:rPr>
          <w:sz w:val="24"/>
        </w:rPr>
        <w:t>1.</w:t>
      </w:r>
    </w:p>
    <w:p>
      <w:pPr>
        <w:pStyle w:val="BodyText"/>
        <w:spacing w:before="138"/>
        <w:ind w:left="1836"/>
      </w:pPr>
      <w:r>
        <w:rPr/>
        <w:t>Baskı, İdeal Kültür Yayıncılık, İstanbul.</w:t>
      </w:r>
    </w:p>
    <w:p>
      <w:pPr>
        <w:spacing w:line="360" w:lineRule="auto" w:before="139"/>
        <w:ind w:left="1836" w:right="615" w:hanging="708"/>
        <w:jc w:val="both"/>
        <w:rPr>
          <w:sz w:val="24"/>
        </w:rPr>
      </w:pPr>
      <w:r>
        <w:rPr>
          <w:sz w:val="24"/>
        </w:rPr>
        <w:t>YILDIRIM A.; (2004), </w:t>
      </w:r>
      <w:r>
        <w:rPr>
          <w:b/>
          <w:sz w:val="24"/>
        </w:rPr>
        <w:t>‘‘Acil Durumda Basın ve Halkla İlişkiler’’</w:t>
      </w:r>
      <w:r>
        <w:rPr>
          <w:sz w:val="24"/>
        </w:rPr>
        <w:t>, İçişleri Bakanlığı Eğitim Dairesi Başkanlığı Afet Yönetimi 55. Dönem Mülki İdare Amirleri Semineri, Ders Notu, Ankara.</w:t>
      </w:r>
    </w:p>
    <w:p>
      <w:pPr>
        <w:pStyle w:val="BodyText"/>
        <w:spacing w:line="360" w:lineRule="auto"/>
        <w:ind w:left="1836" w:right="616" w:hanging="708"/>
        <w:jc w:val="both"/>
      </w:pPr>
      <w:r>
        <w:rPr/>
        <w:t>YILDIZ Mustafa; (2001), Türkiye’de Kriz ve Kamu Yönetimi, Yayınlanmamış Yüksek Lisans Tezi, Abant İzzet Baysal Üniversitesi, SBE, Bolu.</w:t>
      </w:r>
    </w:p>
    <w:p>
      <w:pPr>
        <w:spacing w:after="0" w:line="360" w:lineRule="auto"/>
        <w:jc w:val="both"/>
        <w:sectPr>
          <w:pgSz w:w="11910" w:h="16840"/>
          <w:pgMar w:header="0" w:footer="976" w:top="1580" w:bottom="1240" w:left="1140" w:right="520"/>
        </w:sectPr>
      </w:pPr>
    </w:p>
    <w:p>
      <w:pPr>
        <w:spacing w:line="360" w:lineRule="auto" w:before="98"/>
        <w:ind w:left="1836" w:right="613" w:hanging="708"/>
        <w:jc w:val="left"/>
        <w:rPr>
          <w:sz w:val="24"/>
        </w:rPr>
      </w:pPr>
      <w:r>
        <w:rPr>
          <w:sz w:val="24"/>
        </w:rPr>
        <w:t>YILMAZ Abdullah; (2003), </w:t>
      </w:r>
      <w:r>
        <w:rPr>
          <w:b/>
          <w:sz w:val="24"/>
        </w:rPr>
        <w:t>Türk Kamu Yönetiminin Sorun Alanlarından Biri Olarak Afet Yönetimi, </w:t>
      </w:r>
      <w:r>
        <w:rPr>
          <w:sz w:val="24"/>
        </w:rPr>
        <w:t>Pegem-A Yayıncılık, Ankara.</w:t>
      </w:r>
    </w:p>
    <w:p>
      <w:pPr>
        <w:tabs>
          <w:tab w:pos="3372" w:val="left" w:leader="none"/>
        </w:tabs>
        <w:spacing w:line="360" w:lineRule="auto" w:before="0"/>
        <w:ind w:left="1836" w:right="616" w:hanging="708"/>
        <w:jc w:val="left"/>
        <w:rPr>
          <w:sz w:val="24"/>
        </w:rPr>
      </w:pPr>
      <w:r>
        <w:rPr>
          <w:sz w:val="24"/>
        </w:rPr>
        <w:t>YILMAZ</w:t>
      </w:r>
      <w:r>
        <w:rPr>
          <w:spacing w:val="54"/>
          <w:sz w:val="24"/>
        </w:rPr>
        <w:t> </w:t>
      </w:r>
      <w:r>
        <w:rPr>
          <w:sz w:val="24"/>
        </w:rPr>
        <w:t>Abdullah;</w:t>
        <w:tab/>
        <w:t>(2005), </w:t>
      </w:r>
      <w:r>
        <w:rPr>
          <w:b/>
          <w:sz w:val="24"/>
        </w:rPr>
        <w:t>Türk Kamu Yönetiminin Sorun Alanlarından Biri Olarak Afet Yönetimi, </w:t>
      </w:r>
      <w:r>
        <w:rPr>
          <w:sz w:val="24"/>
        </w:rPr>
        <w:t>Pegem Yayıncılık,</w:t>
      </w:r>
      <w:r>
        <w:rPr>
          <w:spacing w:val="2"/>
          <w:sz w:val="24"/>
        </w:rPr>
        <w:t> </w:t>
      </w:r>
      <w:r>
        <w:rPr>
          <w:sz w:val="24"/>
        </w:rPr>
        <w:t>Ankara.</w:t>
      </w:r>
    </w:p>
    <w:p>
      <w:pPr>
        <w:pStyle w:val="BodyText"/>
        <w:tabs>
          <w:tab w:pos="2923" w:val="left" w:leader="none"/>
          <w:tab w:pos="4255" w:val="left" w:leader="none"/>
          <w:tab w:pos="5515" w:val="left" w:leader="none"/>
          <w:tab w:pos="6740" w:val="left" w:leader="none"/>
          <w:tab w:pos="7776" w:val="left" w:leader="none"/>
          <w:tab w:pos="8838" w:val="left" w:leader="none"/>
        </w:tabs>
        <w:spacing w:line="360" w:lineRule="auto"/>
        <w:ind w:left="1836" w:right="613" w:hanging="708"/>
      </w:pPr>
      <w:r>
        <w:rPr/>
        <w:t>YILMAZ Abdullah; ( 2007), “Türkiye’de Afet Zararlarının Azaltılması Çalışmalarının Tarihi</w:t>
        <w:tab/>
        <w:t>Gelişimi</w:t>
        <w:tab/>
        <w:t>Üzerine</w:t>
        <w:tab/>
        <w:t>Notlar”</w:t>
        <w:tab/>
      </w:r>
      <w:r>
        <w:rPr>
          <w:b/>
        </w:rPr>
        <w:t>Türk</w:t>
        <w:tab/>
        <w:t>İdare</w:t>
        <w:tab/>
        <w:t>Dergisi, </w:t>
      </w:r>
      <w:hyperlink r:id="rId42">
        <w:r>
          <w:rPr/>
          <w:t>http://www.icisleri.gov.tr/_icisleri/TurkIdareDergisi/UpLoadedFiles/434_155_1</w:t>
        </w:r>
      </w:hyperlink>
      <w:r>
        <w:rPr/>
        <w:t> 70.</w:t>
      </w:r>
    </w:p>
    <w:p>
      <w:pPr>
        <w:spacing w:after="0" w:line="360" w:lineRule="auto"/>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spacing w:before="10"/>
        <w:rPr>
          <w:sz w:val="20"/>
        </w:rPr>
      </w:pPr>
    </w:p>
    <w:p>
      <w:pPr>
        <w:pStyle w:val="Heading1"/>
        <w:spacing w:before="1"/>
        <w:ind w:left="1453" w:right="943"/>
        <w:jc w:val="center"/>
      </w:pPr>
      <w:r>
        <w:rPr/>
        <w:t>ÖZGEÇMİŞ</w:t>
      </w:r>
    </w:p>
    <w:p>
      <w:pPr>
        <w:pStyle w:val="BodyText"/>
        <w:rPr>
          <w:b/>
          <w:sz w:val="26"/>
        </w:rPr>
      </w:pPr>
    </w:p>
    <w:p>
      <w:pPr>
        <w:pStyle w:val="BodyText"/>
        <w:spacing w:before="6"/>
        <w:rPr>
          <w:b/>
          <w:sz w:val="25"/>
        </w:rPr>
      </w:pPr>
    </w:p>
    <w:p>
      <w:pPr>
        <w:spacing w:before="0"/>
        <w:ind w:left="1128" w:right="0" w:firstLine="0"/>
        <w:jc w:val="left"/>
        <w:rPr>
          <w:b/>
          <w:sz w:val="24"/>
        </w:rPr>
      </w:pPr>
      <w:r>
        <w:rPr>
          <w:b/>
          <w:sz w:val="24"/>
        </w:rPr>
        <w:t>Kişisel Bilgiler</w:t>
      </w:r>
    </w:p>
    <w:p>
      <w:pPr>
        <w:spacing w:before="178"/>
        <w:ind w:left="1128" w:right="0" w:firstLine="0"/>
        <w:jc w:val="left"/>
        <w:rPr>
          <w:sz w:val="24"/>
        </w:rPr>
      </w:pPr>
      <w:r>
        <w:rPr>
          <w:b/>
          <w:sz w:val="24"/>
        </w:rPr>
        <w:t>Adı Soyadı: </w:t>
      </w:r>
      <w:r>
        <w:rPr>
          <w:sz w:val="24"/>
        </w:rPr>
        <w:t>Yasemin Kocaman</w:t>
      </w:r>
    </w:p>
    <w:p>
      <w:pPr>
        <w:spacing w:before="180"/>
        <w:ind w:left="1128" w:right="0" w:firstLine="0"/>
        <w:jc w:val="left"/>
        <w:rPr>
          <w:sz w:val="24"/>
        </w:rPr>
      </w:pPr>
      <w:r>
        <w:rPr>
          <w:b/>
          <w:sz w:val="24"/>
        </w:rPr>
        <w:t>Doğum Yeri ve Tarihi: </w:t>
      </w:r>
      <w:r>
        <w:rPr>
          <w:sz w:val="24"/>
        </w:rPr>
        <w:t>Kadirli \ OSMANİYE - 15/ 01/ 1994</w:t>
      </w:r>
    </w:p>
    <w:p>
      <w:pPr>
        <w:pStyle w:val="BodyText"/>
        <w:rPr>
          <w:sz w:val="26"/>
        </w:rPr>
      </w:pPr>
    </w:p>
    <w:p>
      <w:pPr>
        <w:pStyle w:val="BodyText"/>
        <w:spacing w:before="2"/>
        <w:rPr>
          <w:sz w:val="30"/>
        </w:rPr>
      </w:pPr>
    </w:p>
    <w:p>
      <w:pPr>
        <w:pStyle w:val="Heading1"/>
        <w:ind w:left="1128"/>
      </w:pPr>
      <w:r>
        <w:rPr/>
        <w:t>Eğitim Durumu</w:t>
      </w:r>
    </w:p>
    <w:p>
      <w:pPr>
        <w:pStyle w:val="BodyText"/>
        <w:spacing w:line="256" w:lineRule="auto" w:before="180"/>
        <w:ind w:left="1128"/>
      </w:pPr>
      <w:r>
        <w:rPr>
          <w:b/>
        </w:rPr>
        <w:t>Lisans Öğrenimi: </w:t>
      </w:r>
      <w:r>
        <w:rPr/>
        <w:t>Çanakkale Onsekiz Mart Üniversitesi Acil Yardım ve Afet Yönetimi Bölümü</w:t>
      </w:r>
    </w:p>
    <w:p>
      <w:pPr>
        <w:spacing w:line="256" w:lineRule="auto" w:before="165"/>
        <w:ind w:left="1128" w:right="613" w:firstLine="0"/>
        <w:jc w:val="left"/>
        <w:rPr>
          <w:sz w:val="24"/>
        </w:rPr>
      </w:pPr>
      <w:r>
        <w:rPr>
          <w:b/>
          <w:sz w:val="24"/>
        </w:rPr>
        <w:t>Yüksek Lisans Öğrenimi: </w:t>
      </w:r>
      <w:r>
        <w:rPr>
          <w:sz w:val="24"/>
        </w:rPr>
        <w:t>Gümüşhane Üniversitesi Sosyal Bilimler Enstitüsü Afet Yönetimi</w:t>
      </w:r>
    </w:p>
    <w:p>
      <w:pPr>
        <w:spacing w:line="259" w:lineRule="auto" w:before="163"/>
        <w:ind w:left="1128" w:right="613" w:firstLine="0"/>
        <w:jc w:val="left"/>
        <w:rPr>
          <w:sz w:val="24"/>
        </w:rPr>
      </w:pPr>
      <w:r>
        <w:rPr>
          <w:b/>
          <w:sz w:val="24"/>
        </w:rPr>
        <w:t>Pedagojik Formasyon Öğrenimi: </w:t>
      </w:r>
      <w:r>
        <w:rPr>
          <w:sz w:val="24"/>
        </w:rPr>
        <w:t>Çanakkale Onsekiz Mart Üniversitesi Eğitim Fakültesi</w:t>
      </w:r>
    </w:p>
    <w:p>
      <w:pPr>
        <w:pStyle w:val="BodyText"/>
        <w:rPr>
          <w:sz w:val="26"/>
        </w:rPr>
      </w:pPr>
    </w:p>
    <w:p>
      <w:pPr>
        <w:pStyle w:val="BodyText"/>
        <w:rPr>
          <w:sz w:val="28"/>
        </w:rPr>
      </w:pPr>
    </w:p>
    <w:p>
      <w:pPr>
        <w:pStyle w:val="Heading1"/>
        <w:ind w:left="1128"/>
      </w:pPr>
      <w:r>
        <w:rPr/>
        <w:t>İş Deneyimi</w:t>
      </w:r>
    </w:p>
    <w:p>
      <w:pPr>
        <w:pStyle w:val="BodyText"/>
        <w:spacing w:line="398" w:lineRule="auto" w:before="178"/>
        <w:ind w:left="1128" w:right="613"/>
      </w:pPr>
      <w:r>
        <w:rPr>
          <w:b/>
        </w:rPr>
        <w:t>2013 Ocak: </w:t>
      </w:r>
      <w:r>
        <w:rPr/>
        <w:t>İskenderun 1 No’ lu Acil Sağlık Hizmetleri İstasyonu İskenderun\ HATAY </w:t>
      </w:r>
      <w:r>
        <w:rPr>
          <w:b/>
        </w:rPr>
        <w:t>2013 Şubat </w:t>
      </w:r>
      <w:r>
        <w:rPr/>
        <w:t>- </w:t>
      </w:r>
      <w:r>
        <w:rPr>
          <w:b/>
        </w:rPr>
        <w:t>2014 Kasım: </w:t>
      </w:r>
      <w:r>
        <w:rPr/>
        <w:t>Küçükkuyu Acil Sağlık Hizmetleri İstasyonu Küçükkuyu\ ÇANAKKALE</w:t>
      </w:r>
    </w:p>
    <w:p>
      <w:pPr>
        <w:spacing w:line="274" w:lineRule="exact" w:before="0"/>
        <w:ind w:left="1128" w:right="0" w:firstLine="0"/>
        <w:jc w:val="left"/>
        <w:rPr>
          <w:sz w:val="24"/>
        </w:rPr>
      </w:pPr>
      <w:r>
        <w:rPr>
          <w:b/>
          <w:sz w:val="24"/>
        </w:rPr>
        <w:t>2014 Kasım </w:t>
      </w:r>
      <w:r>
        <w:rPr>
          <w:sz w:val="24"/>
        </w:rPr>
        <w:t>- </w:t>
      </w:r>
      <w:r>
        <w:rPr>
          <w:b/>
          <w:sz w:val="24"/>
        </w:rPr>
        <w:t>2017 Nisan: </w:t>
      </w:r>
      <w:r>
        <w:rPr>
          <w:sz w:val="24"/>
        </w:rPr>
        <w:t>Komuta Kontrol Merkezi Merkez\ ÇANAKKALE</w:t>
      </w:r>
    </w:p>
    <w:p>
      <w:pPr>
        <w:pStyle w:val="BodyText"/>
        <w:spacing w:before="182"/>
        <w:ind w:left="1128"/>
      </w:pPr>
      <w:r>
        <w:rPr>
          <w:b/>
        </w:rPr>
        <w:t>2017 Nisan </w:t>
      </w:r>
      <w:r>
        <w:rPr/>
        <w:t>- </w:t>
      </w:r>
      <w:r>
        <w:rPr>
          <w:b/>
        </w:rPr>
        <w:t>: </w:t>
      </w:r>
      <w:r>
        <w:rPr/>
        <w:t>Yayladağı 2 No’lu Acil Sağlık Hizmetleri İstasyonu Yayladağı\ HATAY</w:t>
      </w:r>
    </w:p>
    <w:p>
      <w:pPr>
        <w:pStyle w:val="BodyText"/>
        <w:rPr>
          <w:sz w:val="26"/>
        </w:rPr>
      </w:pPr>
    </w:p>
    <w:p>
      <w:pPr>
        <w:pStyle w:val="BodyText"/>
        <w:rPr>
          <w:sz w:val="30"/>
        </w:rPr>
      </w:pPr>
    </w:p>
    <w:p>
      <w:pPr>
        <w:pStyle w:val="Heading1"/>
        <w:ind w:left="1128"/>
      </w:pPr>
      <w:r>
        <w:rPr/>
        <w:t>İletişim</w:t>
      </w:r>
    </w:p>
    <w:p>
      <w:pPr>
        <w:spacing w:before="177"/>
        <w:ind w:left="1128" w:right="0" w:firstLine="0"/>
        <w:jc w:val="left"/>
        <w:rPr>
          <w:sz w:val="24"/>
        </w:rPr>
      </w:pPr>
      <w:r>
        <w:rPr>
          <w:b/>
          <w:sz w:val="24"/>
        </w:rPr>
        <w:t>Telefon: </w:t>
      </w:r>
      <w:r>
        <w:rPr>
          <w:sz w:val="24"/>
        </w:rPr>
        <w:t>0545-617-98-66</w:t>
      </w:r>
    </w:p>
    <w:p>
      <w:pPr>
        <w:spacing w:before="183"/>
        <w:ind w:left="1128" w:right="0" w:firstLine="0"/>
        <w:jc w:val="left"/>
        <w:rPr>
          <w:sz w:val="24"/>
        </w:rPr>
      </w:pPr>
      <w:r>
        <w:rPr>
          <w:b/>
          <w:sz w:val="24"/>
        </w:rPr>
        <w:t>E- Posta:</w:t>
      </w:r>
      <w:r>
        <w:rPr>
          <w:b/>
          <w:spacing w:val="57"/>
          <w:sz w:val="24"/>
        </w:rPr>
        <w:t> </w:t>
      </w:r>
      <w:hyperlink r:id="rId43">
        <w:r>
          <w:rPr>
            <w:sz w:val="24"/>
          </w:rPr>
          <w:t>jasminkoca94@gmail.com</w:t>
        </w:r>
      </w:hyperlink>
    </w:p>
    <w:p>
      <w:pPr>
        <w:spacing w:after="0"/>
        <w:jc w:val="left"/>
        <w:rPr>
          <w:sz w:val="24"/>
        </w:rPr>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3"/>
        <w:rPr>
          <w:sz w:val="26"/>
        </w:rPr>
      </w:pPr>
    </w:p>
    <w:p>
      <w:pPr>
        <w:spacing w:before="70"/>
        <w:ind w:left="1455" w:right="943" w:firstLine="0"/>
        <w:jc w:val="center"/>
        <w:rPr>
          <w:b/>
          <w:sz w:val="72"/>
        </w:rPr>
      </w:pPr>
      <w:r>
        <w:rPr>
          <w:b/>
          <w:sz w:val="72"/>
        </w:rPr>
        <w:t>EKLER</w:t>
      </w:r>
    </w:p>
    <w:p>
      <w:pPr>
        <w:spacing w:after="0"/>
        <w:jc w:val="center"/>
        <w:rPr>
          <w:sz w:val="72"/>
        </w:rPr>
        <w:sectPr>
          <w:pgSz w:w="11910" w:h="16840"/>
          <w:pgMar w:header="0" w:footer="976" w:top="1580" w:bottom="1240" w:left="1140" w:right="520"/>
        </w:sectPr>
      </w:pPr>
    </w:p>
    <w:p>
      <w:pPr>
        <w:pStyle w:val="BodyText"/>
        <w:rPr>
          <w:b/>
          <w:sz w:val="20"/>
        </w:rPr>
      </w:pPr>
    </w:p>
    <w:p>
      <w:pPr>
        <w:pStyle w:val="BodyText"/>
        <w:spacing w:before="8"/>
        <w:rPr>
          <w:b/>
          <w:sz w:val="20"/>
        </w:rPr>
      </w:pPr>
    </w:p>
    <w:p>
      <w:pPr>
        <w:pStyle w:val="Heading1"/>
        <w:spacing w:before="90"/>
        <w:ind w:left="1128"/>
      </w:pPr>
      <w:r>
        <w:rPr/>
        <w:t>EK-1: Etik Kurul Onay Formu</w:t>
      </w:r>
    </w:p>
    <w:p>
      <w:pPr>
        <w:pStyle w:val="BodyText"/>
        <w:rPr>
          <w:b/>
          <w:sz w:val="23"/>
        </w:rPr>
      </w:pPr>
      <w:r>
        <w:rPr/>
        <w:drawing>
          <wp:anchor distT="0" distB="0" distL="0" distR="0" allowOverlap="1" layoutInCell="1" locked="0" behindDoc="1" simplePos="0" relativeHeight="268434887">
            <wp:simplePos x="0" y="0"/>
            <wp:positionH relativeFrom="page">
              <wp:posOffset>838597</wp:posOffset>
            </wp:positionH>
            <wp:positionV relativeFrom="paragraph">
              <wp:posOffset>192871</wp:posOffset>
            </wp:positionV>
            <wp:extent cx="5816980" cy="7472267"/>
            <wp:effectExtent l="0" t="0" r="0" b="0"/>
            <wp:wrapTopAndBottom/>
            <wp:docPr id="21" name="image13.jpeg" descr=""/>
            <wp:cNvGraphicFramePr>
              <a:graphicFrameLocks noChangeAspect="1"/>
            </wp:cNvGraphicFramePr>
            <a:graphic>
              <a:graphicData uri="http://schemas.openxmlformats.org/drawingml/2006/picture">
                <pic:pic>
                  <pic:nvPicPr>
                    <pic:cNvPr id="22" name="image13.jpeg"/>
                    <pic:cNvPicPr/>
                  </pic:nvPicPr>
                  <pic:blipFill>
                    <a:blip r:embed="rId44" cstate="print"/>
                    <a:stretch>
                      <a:fillRect/>
                    </a:stretch>
                  </pic:blipFill>
                  <pic:spPr>
                    <a:xfrm>
                      <a:off x="0" y="0"/>
                      <a:ext cx="5816980" cy="7472267"/>
                    </a:xfrm>
                    <a:prstGeom prst="rect">
                      <a:avLst/>
                    </a:prstGeom>
                  </pic:spPr>
                </pic:pic>
              </a:graphicData>
            </a:graphic>
          </wp:anchor>
        </w:drawing>
      </w:r>
    </w:p>
    <w:p>
      <w:pPr>
        <w:spacing w:after="0"/>
        <w:rPr>
          <w:sz w:val="23"/>
        </w:rPr>
        <w:sectPr>
          <w:pgSz w:w="11910" w:h="16840"/>
          <w:pgMar w:header="0" w:footer="976" w:top="1580" w:bottom="1240" w:left="1140" w:right="5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rPr>
          <w:sz w:val="23"/>
        </w:rPr>
      </w:pPr>
    </w:p>
    <w:p>
      <w:pPr>
        <w:pStyle w:val="BodyText"/>
        <w:ind w:left="482"/>
        <w:rPr>
          <w:sz w:val="20"/>
        </w:rPr>
      </w:pPr>
      <w:r>
        <w:rPr>
          <w:sz w:val="20"/>
        </w:rPr>
        <w:drawing>
          <wp:inline distT="0" distB="0" distL="0" distR="0">
            <wp:extent cx="5302892" cy="6229635"/>
            <wp:effectExtent l="0" t="0" r="0" b="0"/>
            <wp:docPr id="23" name="image14.jpeg" descr=""/>
            <wp:cNvGraphicFramePr>
              <a:graphicFrameLocks noChangeAspect="1"/>
            </wp:cNvGraphicFramePr>
            <a:graphic>
              <a:graphicData uri="http://schemas.openxmlformats.org/drawingml/2006/picture">
                <pic:pic>
                  <pic:nvPicPr>
                    <pic:cNvPr id="24" name="image14.jpeg"/>
                    <pic:cNvPicPr/>
                  </pic:nvPicPr>
                  <pic:blipFill>
                    <a:blip r:embed="rId45" cstate="print"/>
                    <a:stretch>
                      <a:fillRect/>
                    </a:stretch>
                  </pic:blipFill>
                  <pic:spPr>
                    <a:xfrm>
                      <a:off x="0" y="0"/>
                      <a:ext cx="5302892" cy="6229635"/>
                    </a:xfrm>
                    <a:prstGeom prst="rect">
                      <a:avLst/>
                    </a:prstGeom>
                  </pic:spPr>
                </pic:pic>
              </a:graphicData>
            </a:graphic>
          </wp:inline>
        </w:drawing>
      </w:r>
      <w:r>
        <w:rPr>
          <w:sz w:val="20"/>
        </w:rPr>
      </w:r>
    </w:p>
    <w:p>
      <w:pPr>
        <w:spacing w:after="0"/>
        <w:rPr>
          <w:sz w:val="20"/>
        </w:rPr>
        <w:sectPr>
          <w:pgSz w:w="11910" w:h="16840"/>
          <w:pgMar w:header="0" w:footer="976" w:top="1580" w:bottom="1160" w:left="1140" w:right="52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9"/>
        </w:rPr>
      </w:pPr>
    </w:p>
    <w:p>
      <w:pPr>
        <w:pStyle w:val="BodyText"/>
        <w:ind w:left="111"/>
        <w:rPr>
          <w:sz w:val="20"/>
        </w:rPr>
      </w:pPr>
      <w:r>
        <w:rPr>
          <w:sz w:val="20"/>
        </w:rPr>
        <w:drawing>
          <wp:inline distT="0" distB="0" distL="0" distR="0">
            <wp:extent cx="6208227" cy="7162800"/>
            <wp:effectExtent l="0" t="0" r="0" b="0"/>
            <wp:docPr id="25" name="image15.jpeg" descr=""/>
            <wp:cNvGraphicFramePr>
              <a:graphicFrameLocks noChangeAspect="1"/>
            </wp:cNvGraphicFramePr>
            <a:graphic>
              <a:graphicData uri="http://schemas.openxmlformats.org/drawingml/2006/picture">
                <pic:pic>
                  <pic:nvPicPr>
                    <pic:cNvPr id="26" name="image15.jpeg"/>
                    <pic:cNvPicPr/>
                  </pic:nvPicPr>
                  <pic:blipFill>
                    <a:blip r:embed="rId46" cstate="print"/>
                    <a:stretch>
                      <a:fillRect/>
                    </a:stretch>
                  </pic:blipFill>
                  <pic:spPr>
                    <a:xfrm>
                      <a:off x="0" y="0"/>
                      <a:ext cx="6208227" cy="7162800"/>
                    </a:xfrm>
                    <a:prstGeom prst="rect">
                      <a:avLst/>
                    </a:prstGeom>
                  </pic:spPr>
                </pic:pic>
              </a:graphicData>
            </a:graphic>
          </wp:inline>
        </w:drawing>
      </w:r>
      <w:r>
        <w:rPr>
          <w:sz w:val="20"/>
        </w:rPr>
      </w:r>
    </w:p>
    <w:p>
      <w:pPr>
        <w:spacing w:after="0"/>
        <w:rPr>
          <w:sz w:val="20"/>
        </w:rPr>
        <w:sectPr>
          <w:pgSz w:w="11910" w:h="16840"/>
          <w:pgMar w:header="0" w:footer="976" w:top="1580" w:bottom="1160" w:left="1140" w:right="520"/>
        </w:sectPr>
      </w:pPr>
    </w:p>
    <w:p>
      <w:pPr>
        <w:spacing w:before="100"/>
        <w:ind w:left="1128" w:right="0" w:firstLine="0"/>
        <w:jc w:val="left"/>
        <w:rPr>
          <w:b/>
          <w:sz w:val="24"/>
        </w:rPr>
      </w:pPr>
      <w:r>
        <w:rPr>
          <w:b/>
          <w:sz w:val="24"/>
        </w:rPr>
        <w:t>EK-2: Araştırma</w:t>
      </w:r>
      <w:r>
        <w:rPr>
          <w:b/>
          <w:spacing w:val="-6"/>
          <w:sz w:val="24"/>
        </w:rPr>
        <w:t> </w:t>
      </w:r>
      <w:r>
        <w:rPr>
          <w:b/>
          <w:sz w:val="24"/>
        </w:rPr>
        <w:t>İzni</w:t>
      </w:r>
    </w:p>
    <w:p>
      <w:pPr>
        <w:pStyle w:val="BodyText"/>
        <w:rPr>
          <w:b/>
          <w:sz w:val="26"/>
        </w:rPr>
      </w:pPr>
      <w:r>
        <w:rPr/>
        <w:br w:type="column"/>
      </w:r>
      <w:r>
        <w:rPr>
          <w:b/>
          <w:sz w:val="26"/>
        </w:rPr>
      </w:r>
    </w:p>
    <w:p>
      <w:pPr>
        <w:pStyle w:val="BodyText"/>
        <w:rPr>
          <w:b/>
          <w:sz w:val="26"/>
        </w:rPr>
      </w:pPr>
    </w:p>
    <w:p>
      <w:pPr>
        <w:pStyle w:val="BodyText"/>
        <w:rPr>
          <w:b/>
          <w:sz w:val="26"/>
        </w:rPr>
      </w:pPr>
    </w:p>
    <w:p>
      <w:pPr>
        <w:pStyle w:val="BodyText"/>
        <w:rPr>
          <w:b/>
          <w:sz w:val="26"/>
        </w:rPr>
      </w:pPr>
    </w:p>
    <w:p>
      <w:pPr>
        <w:pStyle w:val="BodyText"/>
        <w:spacing w:before="9"/>
        <w:rPr>
          <w:b/>
          <w:sz w:val="22"/>
        </w:rPr>
      </w:pPr>
    </w:p>
    <w:p>
      <w:pPr>
        <w:pStyle w:val="BodyText"/>
        <w:spacing w:line="266" w:lineRule="auto" w:before="1"/>
        <w:ind w:left="46" w:right="4157" w:firstLine="1101"/>
      </w:pPr>
      <w:r>
        <w:rPr/>
        <w:drawing>
          <wp:anchor distT="0" distB="0" distL="0" distR="0" allowOverlap="1" layoutInCell="1" locked="0" behindDoc="0" simplePos="0" relativeHeight="1504">
            <wp:simplePos x="0" y="0"/>
            <wp:positionH relativeFrom="page">
              <wp:posOffset>5218429</wp:posOffset>
            </wp:positionH>
            <wp:positionV relativeFrom="paragraph">
              <wp:posOffset>-635722</wp:posOffset>
            </wp:positionV>
            <wp:extent cx="1761489" cy="731266"/>
            <wp:effectExtent l="0" t="0" r="0" b="0"/>
            <wp:wrapNone/>
            <wp:docPr id="27" name="image16.png" descr=""/>
            <wp:cNvGraphicFramePr>
              <a:graphicFrameLocks noChangeAspect="1"/>
            </wp:cNvGraphicFramePr>
            <a:graphic>
              <a:graphicData uri="http://schemas.openxmlformats.org/drawingml/2006/picture">
                <pic:pic>
                  <pic:nvPicPr>
                    <pic:cNvPr id="28" name="image16.png"/>
                    <pic:cNvPicPr/>
                  </pic:nvPicPr>
                  <pic:blipFill>
                    <a:blip r:embed="rId47" cstate="print"/>
                    <a:stretch>
                      <a:fillRect/>
                    </a:stretch>
                  </pic:blipFill>
                  <pic:spPr>
                    <a:xfrm>
                      <a:off x="0" y="0"/>
                      <a:ext cx="1761489" cy="731266"/>
                    </a:xfrm>
                    <a:prstGeom prst="rect">
                      <a:avLst/>
                    </a:prstGeom>
                  </pic:spPr>
                </pic:pic>
              </a:graphicData>
            </a:graphic>
          </wp:anchor>
        </w:drawing>
      </w:r>
      <w:r>
        <w:rPr/>
        <w:t>T.C. GÜMÜŞHANE VALİLİĞİ</w:t>
      </w:r>
    </w:p>
    <w:p>
      <w:pPr>
        <w:pStyle w:val="BodyText"/>
        <w:spacing w:line="275" w:lineRule="exact"/>
        <w:ind w:left="48"/>
      </w:pPr>
      <w:r>
        <w:rPr/>
        <w:t>İl Sağlık Müdürlüğü</w:t>
      </w:r>
    </w:p>
    <w:p>
      <w:pPr>
        <w:spacing w:after="0" w:line="275" w:lineRule="exact"/>
        <w:sectPr>
          <w:pgSz w:w="11910" w:h="16840"/>
          <w:pgMar w:header="0" w:footer="976" w:top="1580" w:bottom="1160" w:left="1140" w:right="520"/>
          <w:cols w:num="2" w:equalWidth="0">
            <w:col w:w="3340" w:space="40"/>
            <w:col w:w="6870"/>
          </w:cols>
        </w:sectPr>
      </w:pPr>
    </w:p>
    <w:p>
      <w:pPr>
        <w:pStyle w:val="BodyText"/>
        <w:rPr>
          <w:sz w:val="28"/>
        </w:rPr>
      </w:pPr>
    </w:p>
    <w:p>
      <w:pPr>
        <w:pStyle w:val="BodyText"/>
        <w:spacing w:before="90"/>
        <w:ind w:right="1364"/>
        <w:jc w:val="right"/>
      </w:pPr>
      <w:r>
        <w:rPr/>
        <w:drawing>
          <wp:anchor distT="0" distB="0" distL="0" distR="0" allowOverlap="1" layoutInCell="1" locked="0" behindDoc="0" simplePos="0" relativeHeight="1528">
            <wp:simplePos x="0" y="0"/>
            <wp:positionH relativeFrom="page">
              <wp:posOffset>1121410</wp:posOffset>
            </wp:positionH>
            <wp:positionV relativeFrom="paragraph">
              <wp:posOffset>-1244026</wp:posOffset>
            </wp:positionV>
            <wp:extent cx="1130300" cy="1113002"/>
            <wp:effectExtent l="0" t="0" r="0" b="0"/>
            <wp:wrapNone/>
            <wp:docPr id="29" name="image17.png" descr=""/>
            <wp:cNvGraphicFramePr>
              <a:graphicFrameLocks noChangeAspect="1"/>
            </wp:cNvGraphicFramePr>
            <a:graphic>
              <a:graphicData uri="http://schemas.openxmlformats.org/drawingml/2006/picture">
                <pic:pic>
                  <pic:nvPicPr>
                    <pic:cNvPr id="30" name="image17.png"/>
                    <pic:cNvPicPr/>
                  </pic:nvPicPr>
                  <pic:blipFill>
                    <a:blip r:embed="rId48" cstate="print"/>
                    <a:stretch>
                      <a:fillRect/>
                    </a:stretch>
                  </pic:blipFill>
                  <pic:spPr>
                    <a:xfrm>
                      <a:off x="0" y="0"/>
                      <a:ext cx="1130300" cy="1113002"/>
                    </a:xfrm>
                    <a:prstGeom prst="rect">
                      <a:avLst/>
                    </a:prstGeom>
                  </pic:spPr>
                </pic:pic>
              </a:graphicData>
            </a:graphic>
          </wp:anchor>
        </w:drawing>
      </w:r>
      <w:r>
        <w:rPr>
          <w:color w:val="FF0000"/>
        </w:rPr>
        <w:t>.</w:t>
      </w:r>
    </w:p>
    <w:p>
      <w:pPr>
        <w:pStyle w:val="BodyText"/>
        <w:tabs>
          <w:tab w:pos="2455" w:val="left" w:leader="none"/>
        </w:tabs>
        <w:spacing w:before="68"/>
        <w:ind w:left="1579"/>
      </w:pPr>
      <w:r>
        <w:rPr/>
        <w:t>Sayı</w:t>
        <w:tab/>
        <w:t>: 72327167 -044</w:t>
      </w:r>
    </w:p>
    <w:p>
      <w:pPr>
        <w:pStyle w:val="BodyText"/>
        <w:tabs>
          <w:tab w:pos="2455" w:val="left" w:leader="none"/>
          <w:tab w:pos="2734" w:val="left" w:leader="none"/>
        </w:tabs>
        <w:spacing w:before="74"/>
        <w:ind w:left="1579"/>
      </w:pPr>
      <w:r>
        <w:rPr/>
        <w:t>Konu</w:t>
        <w:tab/>
        <w:t>:</w:t>
        <w:tab/>
        <w:t>Anket</w:t>
      </w:r>
      <w:r>
        <w:rPr>
          <w:spacing w:val="1"/>
        </w:rPr>
        <w:t> </w:t>
      </w:r>
      <w:r>
        <w:rPr/>
        <w:t>İzni</w:t>
      </w:r>
    </w:p>
    <w:p>
      <w:pPr>
        <w:pStyle w:val="BodyText"/>
        <w:rPr>
          <w:sz w:val="20"/>
        </w:rPr>
      </w:pPr>
    </w:p>
    <w:p>
      <w:pPr>
        <w:pStyle w:val="BodyText"/>
        <w:rPr>
          <w:sz w:val="20"/>
        </w:rPr>
      </w:pPr>
    </w:p>
    <w:p>
      <w:pPr>
        <w:pStyle w:val="BodyText"/>
        <w:spacing w:before="1"/>
        <w:rPr>
          <w:sz w:val="21"/>
        </w:rPr>
      </w:pPr>
    </w:p>
    <w:p>
      <w:pPr>
        <w:pStyle w:val="BodyText"/>
        <w:spacing w:before="90"/>
        <w:ind w:left="3848"/>
      </w:pPr>
      <w:r>
        <w:rPr/>
        <w:t>Sayın Yasemin KOCAMAN</w:t>
      </w:r>
    </w:p>
    <w:p>
      <w:pPr>
        <w:pStyle w:val="BodyText"/>
        <w:spacing w:before="75"/>
        <w:ind w:left="3421"/>
      </w:pPr>
      <w:r>
        <w:rPr/>
        <w:t>(Canaltı Mah. Daik Pınar Sok. No:1/9 Yayladağı/Hatay)</w:t>
      </w:r>
    </w:p>
    <w:p>
      <w:pPr>
        <w:pStyle w:val="BodyText"/>
        <w:rPr>
          <w:sz w:val="26"/>
        </w:rPr>
      </w:pPr>
    </w:p>
    <w:p>
      <w:pPr>
        <w:pStyle w:val="BodyText"/>
        <w:rPr>
          <w:sz w:val="26"/>
        </w:rPr>
      </w:pPr>
    </w:p>
    <w:p>
      <w:pPr>
        <w:pStyle w:val="BodyText"/>
        <w:tabs>
          <w:tab w:pos="2376" w:val="left" w:leader="none"/>
        </w:tabs>
        <w:spacing w:before="194"/>
        <w:ind w:left="1579"/>
      </w:pPr>
      <w:r>
        <w:rPr/>
        <w:t>İlgi</w:t>
        <w:tab/>
        <w:t>: 01/10/2018 tarihli YASEMİN KOCAMAN-ANKET</w:t>
      </w:r>
      <w:r>
        <w:rPr>
          <w:spacing w:val="1"/>
        </w:rPr>
        <w:t> </w:t>
      </w:r>
      <w:r>
        <w:rPr/>
        <w:t>İZNİ</w:t>
      </w:r>
    </w:p>
    <w:p>
      <w:pPr>
        <w:pStyle w:val="BodyText"/>
        <w:spacing w:before="7"/>
        <w:rPr>
          <w:sz w:val="33"/>
        </w:rPr>
      </w:pPr>
    </w:p>
    <w:p>
      <w:pPr>
        <w:spacing w:line="266" w:lineRule="auto" w:before="0"/>
        <w:ind w:left="1591" w:right="1350" w:firstLine="393"/>
        <w:jc w:val="both"/>
        <w:rPr>
          <w:sz w:val="24"/>
        </w:rPr>
      </w:pPr>
      <w:r>
        <w:rPr>
          <w:sz w:val="24"/>
        </w:rPr>
        <w:t>İlgi yazınız incelenmiş olup "Gümüşhane 112'de Çalışan Personelin Afete Hazırlık Düzeyi" konulu anket çalışmasının sonucunda </w:t>
      </w:r>
      <w:r>
        <w:rPr>
          <w:b/>
          <w:sz w:val="24"/>
        </w:rPr>
        <w:t>elde edilen verilerin ve sonuçların Müdürlüğümüz ile paylaşılması, Kişisiel Verilerin</w:t>
      </w:r>
      <w:r>
        <w:rPr>
          <w:b/>
          <w:spacing w:val="-14"/>
          <w:sz w:val="24"/>
        </w:rPr>
        <w:t> </w:t>
      </w:r>
      <w:r>
        <w:rPr>
          <w:b/>
          <w:sz w:val="24"/>
        </w:rPr>
        <w:t>Koruma</w:t>
      </w:r>
      <w:r>
        <w:rPr>
          <w:b/>
          <w:spacing w:val="-14"/>
          <w:sz w:val="24"/>
        </w:rPr>
        <w:t> </w:t>
      </w:r>
      <w:r>
        <w:rPr>
          <w:b/>
          <w:sz w:val="24"/>
        </w:rPr>
        <w:t>Kanununa</w:t>
      </w:r>
      <w:r>
        <w:rPr>
          <w:b/>
          <w:spacing w:val="-15"/>
          <w:sz w:val="24"/>
        </w:rPr>
        <w:t> </w:t>
      </w:r>
      <w:r>
        <w:rPr>
          <w:b/>
          <w:sz w:val="24"/>
        </w:rPr>
        <w:t>göre</w:t>
      </w:r>
      <w:r>
        <w:rPr>
          <w:b/>
          <w:spacing w:val="-15"/>
          <w:sz w:val="24"/>
        </w:rPr>
        <w:t> </w:t>
      </w:r>
      <w:r>
        <w:rPr>
          <w:b/>
          <w:sz w:val="24"/>
        </w:rPr>
        <w:t>muhafaza</w:t>
      </w:r>
      <w:r>
        <w:rPr>
          <w:b/>
          <w:spacing w:val="-14"/>
          <w:sz w:val="24"/>
        </w:rPr>
        <w:t> </w:t>
      </w:r>
      <w:r>
        <w:rPr>
          <w:b/>
          <w:sz w:val="24"/>
        </w:rPr>
        <w:t>edilerek</w:t>
      </w:r>
      <w:r>
        <w:rPr>
          <w:b/>
          <w:spacing w:val="-15"/>
          <w:sz w:val="24"/>
        </w:rPr>
        <w:t> </w:t>
      </w:r>
      <w:r>
        <w:rPr>
          <w:b/>
          <w:sz w:val="24"/>
        </w:rPr>
        <w:t>herhangi</w:t>
      </w:r>
      <w:r>
        <w:rPr>
          <w:b/>
          <w:spacing w:val="-14"/>
          <w:sz w:val="24"/>
        </w:rPr>
        <w:t> </w:t>
      </w:r>
      <w:r>
        <w:rPr>
          <w:b/>
          <w:sz w:val="24"/>
        </w:rPr>
        <w:t>bir</w:t>
      </w:r>
      <w:r>
        <w:rPr>
          <w:b/>
          <w:spacing w:val="-15"/>
          <w:sz w:val="24"/>
        </w:rPr>
        <w:t> </w:t>
      </w:r>
      <w:r>
        <w:rPr>
          <w:b/>
          <w:sz w:val="24"/>
        </w:rPr>
        <w:t>şahıs veya</w:t>
      </w:r>
      <w:r>
        <w:rPr>
          <w:b/>
          <w:spacing w:val="-18"/>
          <w:sz w:val="24"/>
        </w:rPr>
        <w:t> </w:t>
      </w:r>
      <w:r>
        <w:rPr>
          <w:b/>
          <w:sz w:val="24"/>
        </w:rPr>
        <w:t>tüzel</w:t>
      </w:r>
      <w:r>
        <w:rPr>
          <w:b/>
          <w:spacing w:val="-17"/>
          <w:sz w:val="24"/>
        </w:rPr>
        <w:t> </w:t>
      </w:r>
      <w:r>
        <w:rPr>
          <w:b/>
          <w:sz w:val="24"/>
        </w:rPr>
        <w:t>kişi</w:t>
      </w:r>
      <w:r>
        <w:rPr>
          <w:b/>
          <w:spacing w:val="-16"/>
          <w:sz w:val="24"/>
        </w:rPr>
        <w:t> </w:t>
      </w:r>
      <w:r>
        <w:rPr>
          <w:b/>
          <w:sz w:val="24"/>
        </w:rPr>
        <w:t>ile</w:t>
      </w:r>
      <w:r>
        <w:rPr>
          <w:b/>
          <w:spacing w:val="-19"/>
          <w:sz w:val="24"/>
        </w:rPr>
        <w:t> </w:t>
      </w:r>
      <w:r>
        <w:rPr>
          <w:b/>
          <w:sz w:val="24"/>
        </w:rPr>
        <w:t>paylaşılmaması</w:t>
      </w:r>
      <w:r>
        <w:rPr>
          <w:b/>
          <w:spacing w:val="-17"/>
          <w:sz w:val="24"/>
        </w:rPr>
        <w:t> </w:t>
      </w:r>
      <w:r>
        <w:rPr>
          <w:b/>
          <w:sz w:val="24"/>
        </w:rPr>
        <w:t>ve</w:t>
      </w:r>
      <w:r>
        <w:rPr>
          <w:b/>
          <w:spacing w:val="-13"/>
          <w:sz w:val="24"/>
        </w:rPr>
        <w:t> </w:t>
      </w:r>
      <w:r>
        <w:rPr>
          <w:b/>
          <w:sz w:val="24"/>
        </w:rPr>
        <w:t>müdürlüğümüzden</w:t>
      </w:r>
      <w:r>
        <w:rPr>
          <w:b/>
          <w:spacing w:val="-17"/>
          <w:sz w:val="24"/>
        </w:rPr>
        <w:t> </w:t>
      </w:r>
      <w:r>
        <w:rPr>
          <w:b/>
          <w:sz w:val="24"/>
        </w:rPr>
        <w:t>onay</w:t>
      </w:r>
      <w:r>
        <w:rPr>
          <w:b/>
          <w:spacing w:val="-18"/>
          <w:sz w:val="24"/>
        </w:rPr>
        <w:t> </w:t>
      </w:r>
      <w:r>
        <w:rPr>
          <w:b/>
          <w:sz w:val="24"/>
        </w:rPr>
        <w:t>alınmadan herhangi bir yerde yayınlanmaması </w:t>
      </w:r>
      <w:r>
        <w:rPr>
          <w:sz w:val="24"/>
        </w:rPr>
        <w:t>durumunda Müdürlüğümüze bağlı </w:t>
      </w:r>
      <w:r>
        <w:rPr>
          <w:spacing w:val="-3"/>
          <w:sz w:val="24"/>
        </w:rPr>
        <w:t>İl </w:t>
      </w:r>
      <w:r>
        <w:rPr>
          <w:sz w:val="24"/>
        </w:rPr>
        <w:t>Ambulans Komuta Kontrol Merkezi ve bağlı Acil Sağlık Hizmetleri İstasyonları çalışanlarına bilimsel çalışmanızı yapmanıza onay</w:t>
      </w:r>
      <w:r>
        <w:rPr>
          <w:spacing w:val="-19"/>
          <w:sz w:val="24"/>
        </w:rPr>
        <w:t> </w:t>
      </w:r>
      <w:r>
        <w:rPr>
          <w:sz w:val="24"/>
        </w:rPr>
        <w:t>verilmiştir.</w:t>
      </w:r>
    </w:p>
    <w:p>
      <w:pPr>
        <w:pStyle w:val="BodyText"/>
        <w:spacing w:before="10"/>
        <w:rPr>
          <w:sz w:val="22"/>
        </w:rPr>
      </w:pPr>
    </w:p>
    <w:p>
      <w:pPr>
        <w:spacing w:after="0"/>
        <w:rPr>
          <w:sz w:val="22"/>
        </w:rPr>
        <w:sectPr>
          <w:type w:val="continuous"/>
          <w:pgSz w:w="11910" w:h="16840"/>
          <w:pgMar w:top="1580" w:bottom="280" w:left="1140" w:right="520"/>
        </w:sectPr>
      </w:pPr>
    </w:p>
    <w:p>
      <w:pPr>
        <w:pStyle w:val="BodyText"/>
        <w:spacing w:before="90"/>
        <w:ind w:left="2287"/>
      </w:pPr>
      <w:r>
        <w:rPr/>
        <w:t>Bilgilerinizi rica</w:t>
      </w:r>
      <w:r>
        <w:rPr>
          <w:spacing w:val="-7"/>
        </w:rPr>
        <w:t> </w:t>
      </w:r>
      <w:r>
        <w:rPr/>
        <w:t>ederim.</w:t>
      </w:r>
    </w:p>
    <w:p>
      <w:pPr>
        <w:pStyle w:val="BodyText"/>
        <w:rPr>
          <w:sz w:val="26"/>
        </w:rPr>
      </w:pPr>
      <w:r>
        <w:rPr/>
        <w:br w:type="column"/>
      </w:r>
      <w:r>
        <w:rPr>
          <w:sz w:val="26"/>
        </w:rPr>
      </w:r>
    </w:p>
    <w:p>
      <w:pPr>
        <w:pStyle w:val="BodyText"/>
        <w:spacing w:before="203"/>
        <w:ind w:left="2967"/>
      </w:pPr>
      <w:r>
        <w:rPr/>
        <w:t>e-imzalıdır.</w:t>
      </w:r>
    </w:p>
    <w:p>
      <w:pPr>
        <w:pStyle w:val="BodyText"/>
        <w:spacing w:before="140"/>
        <w:ind w:left="-21"/>
      </w:pPr>
      <w:r>
        <w:rPr/>
        <w:t>Opr. Dr. Cemalettin ATALAY İl Sağlık Müdürü a.</w:t>
      </w:r>
    </w:p>
    <w:p>
      <w:pPr>
        <w:pStyle w:val="BodyText"/>
        <w:spacing w:before="137"/>
        <w:ind w:left="2410"/>
      </w:pPr>
      <w:r>
        <w:rPr/>
        <w:t>Sağlık Hizmetleri Başkanı</w:t>
      </w:r>
    </w:p>
    <w:p>
      <w:pPr>
        <w:spacing w:after="0"/>
        <w:sectPr>
          <w:type w:val="continuous"/>
          <w:pgSz w:w="11910" w:h="16840"/>
          <w:pgMar w:top="1580" w:bottom="280" w:left="1140" w:right="520"/>
          <w:cols w:num="2" w:equalWidth="0">
            <w:col w:w="4650" w:space="40"/>
            <w:col w:w="5560"/>
          </w:cols>
        </w:sectPr>
      </w:pPr>
    </w:p>
    <w:p>
      <w:pPr>
        <w:pStyle w:val="BodyText"/>
        <w:rPr>
          <w:sz w:val="20"/>
        </w:rPr>
      </w:pPr>
    </w:p>
    <w:p>
      <w:pPr>
        <w:pStyle w:val="BodyText"/>
        <w:spacing w:before="7"/>
        <w:rPr>
          <w:sz w:val="18"/>
        </w:rPr>
      </w:pPr>
    </w:p>
    <w:p>
      <w:pPr>
        <w:tabs>
          <w:tab w:pos="3468" w:val="left" w:leader="none"/>
        </w:tabs>
        <w:spacing w:line="328" w:lineRule="auto" w:before="92"/>
        <w:ind w:left="1334" w:right="829" w:firstLine="376"/>
        <w:jc w:val="left"/>
        <w:rPr>
          <w:sz w:val="18"/>
        </w:rPr>
      </w:pPr>
      <w:r>
        <w:rPr>
          <w:sz w:val="18"/>
        </w:rPr>
        <w:t>Karaer Mahallesi Menekşe Sokak No:7 MERKEZ / GÜMÜŞHANE Bilgi için:Mehmet KARABIYIK Faks No:456 213</w:t>
      </w:r>
      <w:r>
        <w:rPr>
          <w:spacing w:val="-5"/>
          <w:sz w:val="18"/>
        </w:rPr>
        <w:t> </w:t>
      </w:r>
      <w:r>
        <w:rPr>
          <w:sz w:val="18"/>
        </w:rPr>
        <w:t>10 20</w:t>
        <w:tab/>
        <w:t>Unvan:SAĞLIK MEMURU </w:t>
      </w:r>
      <w:hyperlink r:id="rId49">
        <w:r>
          <w:rPr>
            <w:sz w:val="18"/>
          </w:rPr>
          <w:t>e-Posta:mehmet.karabiyik1@saglik.gov.tr</w:t>
        </w:r>
        <w:r>
          <w:rPr>
            <w:spacing w:val="-27"/>
            <w:sz w:val="18"/>
          </w:rPr>
          <w:t> </w:t>
        </w:r>
      </w:hyperlink>
      <w:r>
        <w:rPr>
          <w:sz w:val="18"/>
        </w:rPr>
        <w:t>İnt.Adresi:</w:t>
      </w:r>
    </w:p>
    <w:p>
      <w:pPr>
        <w:spacing w:line="205" w:lineRule="exact" w:before="33"/>
        <w:ind w:left="1128" w:right="0" w:firstLine="0"/>
        <w:jc w:val="left"/>
        <w:rPr>
          <w:sz w:val="18"/>
        </w:rPr>
      </w:pPr>
      <w:r>
        <w:rPr>
          <w:sz w:val="18"/>
        </w:rPr>
        <w:t>Telefon No:456 213 10 00 - (11 47</w:t>
      </w:r>
      <w:hyperlink r:id="rId50">
        <w:r>
          <w:rPr>
            <w:sz w:val="18"/>
          </w:rPr>
          <w:t>) http://gumushane.ism.saglik.gov.tr/</w:t>
        </w:r>
      </w:hyperlink>
    </w:p>
    <w:p>
      <w:pPr>
        <w:spacing w:line="261" w:lineRule="auto" w:before="0"/>
        <w:ind w:left="4897" w:right="636" w:hanging="3740"/>
        <w:jc w:val="left"/>
        <w:rPr>
          <w:sz w:val="17"/>
        </w:rPr>
      </w:pPr>
      <w:r>
        <w:rPr>
          <w:sz w:val="17"/>
        </w:rPr>
        <w:t>Evrakın elektronik imzalı suretine </w:t>
      </w:r>
      <w:hyperlink r:id="rId51">
        <w:r>
          <w:rPr>
            <w:sz w:val="17"/>
          </w:rPr>
          <w:t>http://e-belge.saglik.gov.tr </w:t>
        </w:r>
      </w:hyperlink>
      <w:r>
        <w:rPr>
          <w:sz w:val="17"/>
        </w:rPr>
        <w:t>adresinden 0326451c-b1ba-4bf7-8d9d-a5710c1930ca kodu ile erişebilirsiniz.</w:t>
      </w:r>
    </w:p>
    <w:p>
      <w:pPr>
        <w:spacing w:before="23"/>
        <w:ind w:left="1445" w:right="943" w:firstLine="0"/>
        <w:jc w:val="center"/>
        <w:rPr>
          <w:sz w:val="17"/>
        </w:rPr>
      </w:pPr>
      <w:r>
        <w:rPr>
          <w:sz w:val="17"/>
        </w:rPr>
        <w:t>Bu belge 5070 sayılı elektronik imza kanuna göre güvenli elektronik imza ile imzalanmıstır.</w:t>
      </w:r>
    </w:p>
    <w:p>
      <w:pPr>
        <w:spacing w:after="0"/>
        <w:jc w:val="center"/>
        <w:rPr>
          <w:sz w:val="17"/>
        </w:rPr>
        <w:sectPr>
          <w:type w:val="continuous"/>
          <w:pgSz w:w="11910" w:h="16840"/>
          <w:pgMar w:top="1580" w:bottom="280" w:left="1140" w:right="520"/>
        </w:sectPr>
      </w:pPr>
    </w:p>
    <w:p>
      <w:pPr>
        <w:pStyle w:val="Heading1"/>
        <w:spacing w:before="100"/>
        <w:ind w:left="1836"/>
      </w:pPr>
      <w:r>
        <w:rPr/>
        <w:t>EK-3: Anket Formu</w:t>
      </w:r>
    </w:p>
    <w:p>
      <w:pPr>
        <w:pStyle w:val="BodyText"/>
        <w:spacing w:before="154"/>
        <w:ind w:left="1128" w:right="614" w:firstLine="708"/>
        <w:jc w:val="both"/>
      </w:pPr>
      <w:r>
        <w:rPr/>
        <w:t>Değerli katılımcı, aşağıdaki anket Gümüşhane 112’de çalışan personellerin</w:t>
      </w:r>
      <w:r>
        <w:rPr>
          <w:spacing w:val="-27"/>
        </w:rPr>
        <w:t> </w:t>
      </w:r>
      <w:r>
        <w:rPr/>
        <w:t>Afete Hazırlık Düzeyini ölçmek amacıyla Yüksek Lisans Tezimde kullanılacaktır. Sizden isim bilgileri alınmayacaktır. Anketi hassasiyetle önemle rica eder. Katkılarınızdan dolayı teşekkür ederim. Yasemin</w:t>
      </w:r>
      <w:r>
        <w:rPr>
          <w:spacing w:val="-2"/>
        </w:rPr>
        <w:t> </w:t>
      </w:r>
      <w:r>
        <w:rPr/>
        <w:t>KOCAMAN…</w:t>
      </w:r>
    </w:p>
    <w:p>
      <w:pPr>
        <w:pStyle w:val="BodyText"/>
        <w:spacing w:before="7" w:after="1"/>
        <w:rPr>
          <w:sz w:val="14"/>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404"/>
        <w:gridCol w:w="1837"/>
        <w:gridCol w:w="3263"/>
      </w:tblGrid>
      <w:tr>
        <w:trPr>
          <w:trHeight w:val="417" w:hRule="atLeast"/>
        </w:trPr>
        <w:tc>
          <w:tcPr>
            <w:tcW w:w="3404" w:type="dxa"/>
          </w:tcPr>
          <w:p>
            <w:pPr>
              <w:pStyle w:val="TableParagraph"/>
              <w:spacing w:line="268" w:lineRule="exact"/>
              <w:ind w:left="107"/>
              <w:rPr>
                <w:sz w:val="24"/>
              </w:rPr>
            </w:pPr>
            <w:r>
              <w:rPr>
                <w:sz w:val="24"/>
              </w:rPr>
              <w:t>1- Yaşınız?</w:t>
            </w:r>
          </w:p>
        </w:tc>
        <w:tc>
          <w:tcPr>
            <w:tcW w:w="5100" w:type="dxa"/>
            <w:gridSpan w:val="2"/>
          </w:tcPr>
          <w:p>
            <w:pPr>
              <w:pStyle w:val="TableParagraph"/>
              <w:rPr>
                <w:sz w:val="22"/>
              </w:rPr>
            </w:pPr>
          </w:p>
        </w:tc>
      </w:tr>
      <w:tr>
        <w:trPr>
          <w:trHeight w:val="570" w:hRule="atLeast"/>
        </w:trPr>
        <w:tc>
          <w:tcPr>
            <w:tcW w:w="3404" w:type="dxa"/>
          </w:tcPr>
          <w:p>
            <w:pPr>
              <w:pStyle w:val="TableParagraph"/>
              <w:spacing w:before="3"/>
              <w:rPr>
                <w:sz w:val="23"/>
              </w:rPr>
            </w:pPr>
          </w:p>
          <w:p>
            <w:pPr>
              <w:pStyle w:val="TableParagraph"/>
              <w:ind w:left="107"/>
              <w:rPr>
                <w:sz w:val="24"/>
              </w:rPr>
            </w:pPr>
            <w:r>
              <w:rPr>
                <w:sz w:val="24"/>
              </w:rPr>
              <w:t>2 -Cinsiyetiniz?</w:t>
            </w:r>
          </w:p>
        </w:tc>
        <w:tc>
          <w:tcPr>
            <w:tcW w:w="5100" w:type="dxa"/>
            <w:gridSpan w:val="2"/>
          </w:tcPr>
          <w:p>
            <w:pPr>
              <w:pStyle w:val="TableParagraph"/>
              <w:spacing w:before="3"/>
              <w:rPr>
                <w:sz w:val="23"/>
              </w:rPr>
            </w:pPr>
          </w:p>
          <w:p>
            <w:pPr>
              <w:pStyle w:val="TableParagraph"/>
              <w:tabs>
                <w:tab w:pos="2843" w:val="left" w:leader="none"/>
              </w:tabs>
              <w:ind w:left="107"/>
              <w:rPr>
                <w:sz w:val="24"/>
              </w:rPr>
            </w:pPr>
            <w:r>
              <w:rPr>
                <w:rFonts w:ascii="DejaVu Sans" w:hAnsi="DejaVu Sans"/>
                <w:w w:val="115"/>
                <w:sz w:val="24"/>
              </w:rPr>
              <w:t>①</w:t>
            </w:r>
            <w:r>
              <w:rPr>
                <w:rFonts w:ascii="DejaVu Sans" w:hAnsi="DejaVu Sans"/>
                <w:spacing w:val="-44"/>
                <w:w w:val="115"/>
                <w:sz w:val="24"/>
              </w:rPr>
              <w:t> </w:t>
            </w:r>
            <w:r>
              <w:rPr>
                <w:w w:val="115"/>
                <w:sz w:val="24"/>
              </w:rPr>
              <w:t>Kadın</w:t>
              <w:tab/>
            </w:r>
            <w:r>
              <w:rPr>
                <w:rFonts w:ascii="DejaVu Sans" w:hAnsi="DejaVu Sans"/>
                <w:w w:val="115"/>
                <w:sz w:val="24"/>
              </w:rPr>
              <w:t>②</w:t>
            </w:r>
            <w:r>
              <w:rPr>
                <w:rFonts w:ascii="DejaVu Sans" w:hAnsi="DejaVu Sans"/>
                <w:spacing w:val="28"/>
                <w:w w:val="115"/>
                <w:sz w:val="24"/>
              </w:rPr>
              <w:t> </w:t>
            </w:r>
            <w:r>
              <w:rPr>
                <w:w w:val="115"/>
                <w:sz w:val="24"/>
              </w:rPr>
              <w:t>Erkek</w:t>
            </w:r>
          </w:p>
        </w:tc>
      </w:tr>
      <w:tr>
        <w:trPr>
          <w:trHeight w:val="1394" w:hRule="atLeast"/>
        </w:trPr>
        <w:tc>
          <w:tcPr>
            <w:tcW w:w="3404" w:type="dxa"/>
          </w:tcPr>
          <w:p>
            <w:pPr>
              <w:pStyle w:val="TableParagraph"/>
              <w:spacing w:before="5"/>
              <w:rPr>
                <w:sz w:val="23"/>
              </w:rPr>
            </w:pPr>
          </w:p>
          <w:p>
            <w:pPr>
              <w:pStyle w:val="TableParagraph"/>
              <w:ind w:left="107"/>
              <w:rPr>
                <w:sz w:val="24"/>
              </w:rPr>
            </w:pPr>
            <w:r>
              <w:rPr>
                <w:sz w:val="24"/>
              </w:rPr>
              <w:t>3 -Öğrenim durumunuz</w:t>
            </w:r>
          </w:p>
        </w:tc>
        <w:tc>
          <w:tcPr>
            <w:tcW w:w="5100" w:type="dxa"/>
            <w:gridSpan w:val="2"/>
          </w:tcPr>
          <w:p>
            <w:pPr>
              <w:pStyle w:val="TableParagraph"/>
              <w:spacing w:before="5"/>
              <w:rPr>
                <w:sz w:val="23"/>
              </w:rPr>
            </w:pPr>
          </w:p>
          <w:p>
            <w:pPr>
              <w:pStyle w:val="TableParagraph"/>
              <w:ind w:left="107"/>
              <w:rPr>
                <w:sz w:val="24"/>
              </w:rPr>
            </w:pPr>
            <w:r>
              <w:rPr>
                <w:rFonts w:ascii="DejaVu Sans" w:hAnsi="DejaVu Sans"/>
                <w:w w:val="115"/>
                <w:sz w:val="24"/>
              </w:rPr>
              <w:t>① </w:t>
            </w:r>
            <w:r>
              <w:rPr>
                <w:w w:val="115"/>
                <w:sz w:val="24"/>
              </w:rPr>
              <w:t>Ortaöğretim</w:t>
            </w:r>
          </w:p>
          <w:p>
            <w:pPr>
              <w:pStyle w:val="TableParagraph"/>
              <w:ind w:left="107"/>
              <w:rPr>
                <w:sz w:val="24"/>
              </w:rPr>
            </w:pPr>
            <w:r>
              <w:rPr>
                <w:rFonts w:ascii="DejaVu Sans" w:hAnsi="DejaVu Sans"/>
                <w:w w:val="115"/>
                <w:sz w:val="24"/>
              </w:rPr>
              <w:t>② </w:t>
            </w:r>
            <w:r>
              <w:rPr>
                <w:w w:val="115"/>
                <w:sz w:val="24"/>
              </w:rPr>
              <w:t>Önlisans</w:t>
            </w:r>
          </w:p>
          <w:p>
            <w:pPr>
              <w:pStyle w:val="TableParagraph"/>
              <w:tabs>
                <w:tab w:pos="2522" w:val="left" w:leader="none"/>
              </w:tabs>
              <w:spacing w:before="1"/>
              <w:ind w:left="107"/>
              <w:rPr>
                <w:sz w:val="24"/>
              </w:rPr>
            </w:pPr>
            <w:r>
              <w:rPr>
                <w:rFonts w:ascii="DejaVu Sans" w:hAnsi="DejaVu Sans"/>
                <w:w w:val="115"/>
                <w:sz w:val="24"/>
              </w:rPr>
              <w:t>③</w:t>
            </w:r>
            <w:r>
              <w:rPr>
                <w:rFonts w:ascii="DejaVu Sans" w:hAnsi="DejaVu Sans"/>
                <w:spacing w:val="-45"/>
                <w:w w:val="115"/>
                <w:sz w:val="24"/>
              </w:rPr>
              <w:t> </w:t>
            </w:r>
            <w:r>
              <w:rPr>
                <w:w w:val="115"/>
                <w:sz w:val="24"/>
              </w:rPr>
              <w:t>Lisans</w:t>
              <w:tab/>
            </w:r>
            <w:r>
              <w:rPr>
                <w:rFonts w:ascii="DejaVu Sans" w:hAnsi="DejaVu Sans"/>
                <w:w w:val="115"/>
                <w:sz w:val="24"/>
              </w:rPr>
              <w:t>④</w:t>
            </w:r>
            <w:r>
              <w:rPr>
                <w:rFonts w:ascii="DejaVu Sans" w:hAnsi="DejaVu Sans"/>
                <w:spacing w:val="-32"/>
                <w:w w:val="115"/>
                <w:sz w:val="24"/>
              </w:rPr>
              <w:t> </w:t>
            </w:r>
            <w:r>
              <w:rPr>
                <w:w w:val="115"/>
                <w:sz w:val="24"/>
              </w:rPr>
              <w:t>Lisansüstü</w:t>
            </w:r>
          </w:p>
          <w:p>
            <w:pPr>
              <w:pStyle w:val="TableParagraph"/>
              <w:spacing w:line="261" w:lineRule="exact"/>
              <w:ind w:left="107"/>
              <w:rPr>
                <w:sz w:val="24"/>
              </w:rPr>
            </w:pPr>
            <w:r>
              <w:rPr>
                <w:rFonts w:ascii="DejaVu Sans" w:hAnsi="DejaVu Sans"/>
                <w:w w:val="110"/>
                <w:sz w:val="24"/>
              </w:rPr>
              <w:t>⑤ </w:t>
            </w:r>
            <w:r>
              <w:rPr>
                <w:w w:val="110"/>
                <w:sz w:val="24"/>
              </w:rPr>
              <w:t>Diğer ……….</w:t>
            </w:r>
          </w:p>
        </w:tc>
      </w:tr>
      <w:tr>
        <w:trPr>
          <w:trHeight w:val="2246" w:hRule="atLeast"/>
        </w:trPr>
        <w:tc>
          <w:tcPr>
            <w:tcW w:w="3404" w:type="dxa"/>
          </w:tcPr>
          <w:p>
            <w:pPr>
              <w:pStyle w:val="TableParagraph"/>
              <w:spacing w:before="5"/>
              <w:rPr>
                <w:sz w:val="23"/>
              </w:rPr>
            </w:pPr>
          </w:p>
          <w:p>
            <w:pPr>
              <w:pStyle w:val="TableParagraph"/>
              <w:ind w:left="107"/>
              <w:rPr>
                <w:sz w:val="24"/>
              </w:rPr>
            </w:pPr>
            <w:r>
              <w:rPr>
                <w:sz w:val="24"/>
              </w:rPr>
              <w:t>4 -Kurumunuzdaki göreviniz</w:t>
            </w:r>
          </w:p>
        </w:tc>
        <w:tc>
          <w:tcPr>
            <w:tcW w:w="5100" w:type="dxa"/>
            <w:gridSpan w:val="2"/>
          </w:tcPr>
          <w:p>
            <w:pPr>
              <w:pStyle w:val="TableParagraph"/>
              <w:spacing w:before="5"/>
              <w:rPr>
                <w:sz w:val="23"/>
              </w:rPr>
            </w:pPr>
          </w:p>
          <w:p>
            <w:pPr>
              <w:pStyle w:val="TableParagraph"/>
              <w:tabs>
                <w:tab w:pos="1468" w:val="left" w:leader="none"/>
              </w:tabs>
              <w:ind w:left="107"/>
              <w:rPr>
                <w:sz w:val="24"/>
              </w:rPr>
            </w:pPr>
            <w:r>
              <w:rPr>
                <w:rFonts w:ascii="DejaVu Sans" w:hAnsi="DejaVu Sans"/>
                <w:w w:val="110"/>
                <w:sz w:val="24"/>
              </w:rPr>
              <w:t>①</w:t>
            </w:r>
            <w:r>
              <w:rPr>
                <w:rFonts w:ascii="DejaVu Sans" w:hAnsi="DejaVu Sans"/>
                <w:spacing w:val="-30"/>
                <w:w w:val="110"/>
                <w:sz w:val="24"/>
              </w:rPr>
              <w:t> </w:t>
            </w:r>
            <w:r>
              <w:rPr>
                <w:w w:val="110"/>
                <w:sz w:val="24"/>
              </w:rPr>
              <w:t>Müdür</w:t>
              <w:tab/>
            </w:r>
            <w:r>
              <w:rPr>
                <w:rFonts w:ascii="DejaVu Sans" w:hAnsi="DejaVu Sans"/>
                <w:w w:val="110"/>
                <w:sz w:val="24"/>
              </w:rPr>
              <w:t>② </w:t>
            </w:r>
            <w:r>
              <w:rPr>
                <w:w w:val="110"/>
                <w:sz w:val="24"/>
              </w:rPr>
              <w:t>Müdür</w:t>
            </w:r>
            <w:r>
              <w:rPr>
                <w:spacing w:val="19"/>
                <w:w w:val="110"/>
                <w:sz w:val="24"/>
              </w:rPr>
              <w:t> </w:t>
            </w:r>
            <w:r>
              <w:rPr>
                <w:w w:val="110"/>
                <w:sz w:val="24"/>
              </w:rPr>
              <w:t>yardımcısı</w:t>
            </w:r>
          </w:p>
          <w:p>
            <w:pPr>
              <w:pStyle w:val="TableParagraph"/>
              <w:ind w:left="167"/>
              <w:rPr>
                <w:sz w:val="24"/>
              </w:rPr>
            </w:pPr>
            <w:r>
              <w:rPr>
                <w:rFonts w:ascii="DejaVu Sans" w:hAnsi="DejaVu Sans"/>
                <w:w w:val="110"/>
                <w:sz w:val="24"/>
              </w:rPr>
              <w:t>③ </w:t>
            </w:r>
            <w:r>
              <w:rPr>
                <w:w w:val="110"/>
                <w:sz w:val="24"/>
              </w:rPr>
              <w:t>Şube Müdürü</w:t>
            </w:r>
          </w:p>
          <w:p>
            <w:pPr>
              <w:pStyle w:val="TableParagraph"/>
              <w:spacing w:before="1"/>
              <w:ind w:left="107"/>
              <w:rPr>
                <w:sz w:val="24"/>
              </w:rPr>
            </w:pPr>
            <w:r>
              <w:rPr>
                <w:rFonts w:ascii="DejaVu Sans" w:hAnsi="DejaVu Sans"/>
                <w:w w:val="115"/>
                <w:sz w:val="24"/>
              </w:rPr>
              <w:t>④ </w:t>
            </w:r>
            <w:r>
              <w:rPr>
                <w:w w:val="115"/>
                <w:sz w:val="24"/>
              </w:rPr>
              <w:t>Başhekim</w:t>
            </w:r>
          </w:p>
          <w:p>
            <w:pPr>
              <w:pStyle w:val="TableParagraph"/>
              <w:ind w:left="107"/>
              <w:rPr>
                <w:sz w:val="24"/>
              </w:rPr>
            </w:pPr>
            <w:r>
              <w:rPr>
                <w:rFonts w:ascii="DejaVu Sans" w:hAnsi="DejaVu Sans"/>
                <w:w w:val="110"/>
                <w:sz w:val="24"/>
              </w:rPr>
              <w:t>⑤ </w:t>
            </w:r>
            <w:r>
              <w:rPr>
                <w:w w:val="110"/>
                <w:sz w:val="24"/>
              </w:rPr>
              <w:t>Başhekim yardımcısı</w:t>
            </w:r>
          </w:p>
          <w:p>
            <w:pPr>
              <w:pStyle w:val="TableParagraph"/>
              <w:ind w:left="107"/>
              <w:rPr>
                <w:sz w:val="24"/>
              </w:rPr>
            </w:pPr>
            <w:r>
              <w:rPr>
                <w:rFonts w:ascii="DejaVu Sans" w:hAnsi="DejaVu Sans"/>
                <w:w w:val="110"/>
                <w:sz w:val="24"/>
              </w:rPr>
              <w:t>⑥ </w:t>
            </w:r>
            <w:r>
              <w:rPr>
                <w:w w:val="110"/>
                <w:sz w:val="24"/>
              </w:rPr>
              <w:t>Birim sorumlusu</w:t>
            </w:r>
          </w:p>
          <w:p>
            <w:pPr>
              <w:pStyle w:val="TableParagraph"/>
              <w:spacing w:before="2"/>
              <w:ind w:left="167"/>
              <w:rPr>
                <w:sz w:val="24"/>
              </w:rPr>
            </w:pPr>
            <w:r>
              <w:rPr>
                <w:rFonts w:ascii="DejaVu Sans" w:hAnsi="DejaVu Sans"/>
                <w:w w:val="110"/>
                <w:sz w:val="24"/>
              </w:rPr>
              <w:t>⑦ </w:t>
            </w:r>
            <w:r>
              <w:rPr>
                <w:w w:val="110"/>
                <w:sz w:val="24"/>
              </w:rPr>
              <w:t>Kurum çalışanı</w:t>
            </w:r>
          </w:p>
          <w:p>
            <w:pPr>
              <w:pStyle w:val="TableParagraph"/>
              <w:spacing w:line="266" w:lineRule="exact" w:before="3"/>
              <w:ind w:left="167"/>
              <w:rPr>
                <w:rFonts w:ascii="Arial" w:hAnsi="Arial"/>
                <w:sz w:val="22"/>
              </w:rPr>
            </w:pPr>
            <w:r>
              <w:rPr>
                <w:rFonts w:ascii="DejaVu Sans" w:hAnsi="DejaVu Sans"/>
                <w:w w:val="105"/>
                <w:sz w:val="24"/>
              </w:rPr>
              <w:t>⑧ </w:t>
            </w:r>
            <w:r>
              <w:rPr>
                <w:sz w:val="24"/>
              </w:rPr>
              <w:t>Diğer </w:t>
            </w:r>
            <w:r>
              <w:rPr>
                <w:rFonts w:ascii="Arial" w:hAnsi="Arial"/>
                <w:sz w:val="22"/>
              </w:rPr>
              <w:t>…………..</w:t>
            </w:r>
          </w:p>
        </w:tc>
      </w:tr>
      <w:tr>
        <w:trPr>
          <w:trHeight w:val="1670" w:hRule="atLeast"/>
        </w:trPr>
        <w:tc>
          <w:tcPr>
            <w:tcW w:w="3404" w:type="dxa"/>
          </w:tcPr>
          <w:p>
            <w:pPr>
              <w:pStyle w:val="TableParagraph"/>
              <w:spacing w:before="3"/>
              <w:rPr>
                <w:sz w:val="23"/>
              </w:rPr>
            </w:pPr>
          </w:p>
          <w:p>
            <w:pPr>
              <w:pStyle w:val="TableParagraph"/>
              <w:ind w:left="107"/>
              <w:rPr>
                <w:sz w:val="24"/>
              </w:rPr>
            </w:pPr>
            <w:r>
              <w:rPr>
                <w:sz w:val="24"/>
              </w:rPr>
              <w:t>5 -Mesleğiniz</w:t>
            </w:r>
          </w:p>
        </w:tc>
        <w:tc>
          <w:tcPr>
            <w:tcW w:w="5100" w:type="dxa"/>
            <w:gridSpan w:val="2"/>
          </w:tcPr>
          <w:p>
            <w:pPr>
              <w:pStyle w:val="TableParagraph"/>
              <w:spacing w:before="3"/>
              <w:rPr>
                <w:sz w:val="23"/>
              </w:rPr>
            </w:pPr>
          </w:p>
          <w:p>
            <w:pPr>
              <w:pStyle w:val="TableParagraph"/>
              <w:tabs>
                <w:tab w:pos="3083" w:val="left" w:leader="none"/>
              </w:tabs>
              <w:ind w:left="107"/>
              <w:rPr>
                <w:sz w:val="24"/>
              </w:rPr>
            </w:pPr>
            <w:r>
              <w:rPr>
                <w:rFonts w:ascii="DejaVu Sans" w:hAnsi="DejaVu Sans"/>
                <w:w w:val="110"/>
                <w:sz w:val="24"/>
              </w:rPr>
              <w:t>① </w:t>
            </w:r>
            <w:r>
              <w:rPr>
                <w:w w:val="110"/>
                <w:sz w:val="24"/>
              </w:rPr>
              <w:t>Anestezi Tek.</w:t>
            </w:r>
            <w:r>
              <w:rPr>
                <w:spacing w:val="39"/>
                <w:w w:val="110"/>
                <w:sz w:val="24"/>
              </w:rPr>
              <w:t> </w:t>
            </w:r>
            <w:r>
              <w:rPr>
                <w:rFonts w:ascii="DejaVu Sans" w:hAnsi="DejaVu Sans"/>
                <w:w w:val="110"/>
                <w:sz w:val="24"/>
              </w:rPr>
              <w:t>②</w:t>
            </w:r>
            <w:r>
              <w:rPr>
                <w:rFonts w:ascii="DejaVu Sans" w:hAnsi="DejaVu Sans"/>
                <w:spacing w:val="-33"/>
                <w:w w:val="110"/>
                <w:sz w:val="24"/>
              </w:rPr>
              <w:t> </w:t>
            </w:r>
            <w:r>
              <w:rPr>
                <w:w w:val="110"/>
                <w:sz w:val="24"/>
              </w:rPr>
              <w:t>ATT</w:t>
              <w:tab/>
            </w:r>
            <w:r>
              <w:rPr>
                <w:rFonts w:ascii="DejaVu Sans" w:hAnsi="DejaVu Sans"/>
                <w:w w:val="110"/>
                <w:sz w:val="24"/>
              </w:rPr>
              <w:t>③</w:t>
            </w:r>
            <w:r>
              <w:rPr>
                <w:rFonts w:ascii="DejaVu Sans" w:hAnsi="DejaVu Sans"/>
                <w:spacing w:val="-42"/>
                <w:w w:val="110"/>
                <w:sz w:val="24"/>
              </w:rPr>
              <w:t> </w:t>
            </w:r>
            <w:r>
              <w:rPr>
                <w:w w:val="110"/>
                <w:sz w:val="24"/>
              </w:rPr>
              <w:t>Çevre</w:t>
            </w:r>
            <w:r>
              <w:rPr>
                <w:spacing w:val="-27"/>
                <w:w w:val="110"/>
                <w:sz w:val="24"/>
              </w:rPr>
              <w:t> </w:t>
            </w:r>
            <w:r>
              <w:rPr>
                <w:w w:val="110"/>
                <w:sz w:val="24"/>
              </w:rPr>
              <w:t>Sağ.</w:t>
            </w:r>
            <w:r>
              <w:rPr>
                <w:spacing w:val="-24"/>
                <w:w w:val="110"/>
                <w:sz w:val="24"/>
              </w:rPr>
              <w:t> </w:t>
            </w:r>
            <w:r>
              <w:rPr>
                <w:w w:val="110"/>
                <w:sz w:val="24"/>
              </w:rPr>
              <w:t>Tek.</w:t>
            </w:r>
          </w:p>
          <w:p>
            <w:pPr>
              <w:pStyle w:val="TableParagraph"/>
              <w:ind w:left="107"/>
              <w:rPr>
                <w:sz w:val="24"/>
              </w:rPr>
            </w:pPr>
            <w:r>
              <w:rPr>
                <w:rFonts w:ascii="DejaVu Sans" w:hAnsi="DejaVu Sans"/>
                <w:w w:val="115"/>
                <w:sz w:val="24"/>
              </w:rPr>
              <w:t>④ </w:t>
            </w:r>
            <w:r>
              <w:rPr>
                <w:w w:val="115"/>
                <w:sz w:val="24"/>
              </w:rPr>
              <w:t>Diyetisyen</w:t>
            </w:r>
          </w:p>
          <w:p>
            <w:pPr>
              <w:pStyle w:val="TableParagraph"/>
              <w:tabs>
                <w:tab w:pos="1382" w:val="left" w:leader="none"/>
              </w:tabs>
              <w:spacing w:before="1"/>
              <w:ind w:left="107"/>
              <w:rPr>
                <w:sz w:val="24"/>
              </w:rPr>
            </w:pPr>
            <w:r>
              <w:rPr>
                <w:rFonts w:ascii="DejaVu Sans" w:hAnsi="DejaVu Sans"/>
                <w:w w:val="115"/>
                <w:sz w:val="24"/>
              </w:rPr>
              <w:t>⑤</w:t>
            </w:r>
            <w:r>
              <w:rPr>
                <w:rFonts w:ascii="DejaVu Sans" w:hAnsi="DejaVu Sans"/>
                <w:spacing w:val="-44"/>
                <w:w w:val="115"/>
                <w:sz w:val="24"/>
              </w:rPr>
              <w:t> </w:t>
            </w:r>
            <w:r>
              <w:rPr>
                <w:w w:val="115"/>
                <w:sz w:val="24"/>
              </w:rPr>
              <w:t>doktor</w:t>
              <w:tab/>
            </w:r>
            <w:r>
              <w:rPr>
                <w:rFonts w:ascii="DejaVu Sans" w:hAnsi="DejaVu Sans"/>
                <w:w w:val="115"/>
                <w:sz w:val="24"/>
              </w:rPr>
              <w:t>⑥ </w:t>
            </w:r>
            <w:r>
              <w:rPr>
                <w:w w:val="115"/>
                <w:sz w:val="24"/>
              </w:rPr>
              <w:t>hemşire. </w:t>
            </w:r>
            <w:r>
              <w:rPr>
                <w:rFonts w:ascii="DejaVu Sans" w:hAnsi="DejaVu Sans"/>
                <w:w w:val="115"/>
                <w:sz w:val="24"/>
              </w:rPr>
              <w:t>⑦</w:t>
            </w:r>
            <w:r>
              <w:rPr>
                <w:rFonts w:ascii="DejaVu Sans" w:hAnsi="DejaVu Sans"/>
                <w:spacing w:val="-71"/>
                <w:w w:val="115"/>
                <w:sz w:val="24"/>
              </w:rPr>
              <w:t> </w:t>
            </w:r>
            <w:r>
              <w:rPr>
                <w:w w:val="115"/>
                <w:sz w:val="24"/>
              </w:rPr>
              <w:t>Lab. Tek.</w:t>
            </w:r>
          </w:p>
          <w:p>
            <w:pPr>
              <w:pStyle w:val="TableParagraph"/>
              <w:rPr>
                <w:sz w:val="24"/>
              </w:rPr>
            </w:pPr>
          </w:p>
          <w:p>
            <w:pPr>
              <w:pStyle w:val="TableParagraph"/>
              <w:tabs>
                <w:tab w:pos="1780" w:val="left" w:leader="none"/>
              </w:tabs>
              <w:spacing w:line="264" w:lineRule="exact"/>
              <w:ind w:left="107"/>
              <w:rPr>
                <w:sz w:val="24"/>
              </w:rPr>
            </w:pPr>
            <w:r>
              <w:rPr>
                <w:rFonts w:ascii="DejaVu Sans" w:hAnsi="DejaVu Sans"/>
                <w:w w:val="110"/>
                <w:sz w:val="24"/>
              </w:rPr>
              <w:t>⑧</w:t>
            </w:r>
            <w:r>
              <w:rPr>
                <w:rFonts w:ascii="DejaVu Sans" w:hAnsi="DejaVu Sans"/>
                <w:spacing w:val="-41"/>
                <w:w w:val="110"/>
                <w:sz w:val="24"/>
              </w:rPr>
              <w:t> </w:t>
            </w:r>
            <w:r>
              <w:rPr>
                <w:w w:val="110"/>
                <w:sz w:val="24"/>
              </w:rPr>
              <w:t>Paramedik</w:t>
              <w:tab/>
            </w:r>
            <w:r>
              <w:rPr>
                <w:rFonts w:ascii="DejaVu Sans" w:hAnsi="DejaVu Sans"/>
                <w:w w:val="110"/>
                <w:sz w:val="24"/>
              </w:rPr>
              <w:t>⑨ </w:t>
            </w:r>
            <w:r>
              <w:rPr>
                <w:w w:val="110"/>
                <w:sz w:val="24"/>
              </w:rPr>
              <w:t>sağlık memuru </w:t>
            </w:r>
            <w:r>
              <w:rPr>
                <w:rFonts w:ascii="DejaVu Sans" w:hAnsi="DejaVu Sans"/>
                <w:w w:val="110"/>
                <w:sz w:val="24"/>
              </w:rPr>
              <w:t>⑩</w:t>
            </w:r>
            <w:r>
              <w:rPr>
                <w:rFonts w:ascii="DejaVu Sans" w:hAnsi="DejaVu Sans"/>
                <w:spacing w:val="-67"/>
                <w:w w:val="110"/>
                <w:sz w:val="24"/>
              </w:rPr>
              <w:t> </w:t>
            </w:r>
            <w:r>
              <w:rPr>
                <w:w w:val="110"/>
                <w:sz w:val="24"/>
              </w:rPr>
              <w:t>Diğer</w:t>
            </w:r>
          </w:p>
        </w:tc>
      </w:tr>
      <w:tr>
        <w:trPr>
          <w:trHeight w:val="2207" w:hRule="atLeast"/>
        </w:trPr>
        <w:tc>
          <w:tcPr>
            <w:tcW w:w="3404" w:type="dxa"/>
          </w:tcPr>
          <w:p>
            <w:pPr>
              <w:pStyle w:val="TableParagraph"/>
              <w:spacing w:before="3"/>
              <w:rPr>
                <w:sz w:val="23"/>
              </w:rPr>
            </w:pPr>
          </w:p>
          <w:p>
            <w:pPr>
              <w:pStyle w:val="TableParagraph"/>
              <w:ind w:left="107"/>
              <w:rPr>
                <w:sz w:val="24"/>
              </w:rPr>
            </w:pPr>
            <w:r>
              <w:rPr>
                <w:sz w:val="24"/>
              </w:rPr>
              <w:t>6 -Çalıştığınız Kurum</w:t>
            </w:r>
          </w:p>
        </w:tc>
        <w:tc>
          <w:tcPr>
            <w:tcW w:w="5100" w:type="dxa"/>
            <w:gridSpan w:val="2"/>
          </w:tcPr>
          <w:p>
            <w:pPr>
              <w:pStyle w:val="TableParagraph"/>
              <w:spacing w:before="3"/>
              <w:rPr>
                <w:sz w:val="23"/>
              </w:rPr>
            </w:pPr>
          </w:p>
          <w:p>
            <w:pPr>
              <w:pStyle w:val="TableParagraph"/>
              <w:tabs>
                <w:tab w:pos="2870" w:val="left" w:leader="none"/>
              </w:tabs>
              <w:ind w:left="107"/>
              <w:rPr>
                <w:sz w:val="24"/>
              </w:rPr>
            </w:pPr>
            <w:r>
              <w:rPr>
                <w:rFonts w:ascii="DejaVu Sans" w:hAnsi="DejaVu Sans"/>
                <w:w w:val="105"/>
                <w:sz w:val="24"/>
              </w:rPr>
              <w:t>① </w:t>
            </w:r>
            <w:r>
              <w:rPr>
                <w:spacing w:val="-3"/>
                <w:w w:val="105"/>
                <w:sz w:val="24"/>
              </w:rPr>
              <w:t>İl</w:t>
            </w:r>
            <w:r>
              <w:rPr>
                <w:spacing w:val="-24"/>
                <w:w w:val="105"/>
                <w:sz w:val="24"/>
              </w:rPr>
              <w:t> </w:t>
            </w:r>
            <w:r>
              <w:rPr>
                <w:w w:val="105"/>
                <w:sz w:val="24"/>
              </w:rPr>
              <w:t>Sağlık</w:t>
            </w:r>
            <w:r>
              <w:rPr>
                <w:spacing w:val="-4"/>
                <w:w w:val="105"/>
                <w:sz w:val="24"/>
              </w:rPr>
              <w:t> </w:t>
            </w:r>
            <w:r>
              <w:rPr>
                <w:w w:val="105"/>
                <w:sz w:val="24"/>
              </w:rPr>
              <w:t>Müd.</w:t>
              <w:tab/>
            </w:r>
            <w:r>
              <w:rPr>
                <w:rFonts w:ascii="DejaVu Sans" w:hAnsi="DejaVu Sans"/>
                <w:w w:val="105"/>
                <w:sz w:val="24"/>
              </w:rPr>
              <w:t>② </w:t>
            </w:r>
            <w:r>
              <w:rPr>
                <w:w w:val="105"/>
                <w:sz w:val="24"/>
              </w:rPr>
              <w:t>Devlet</w:t>
            </w:r>
            <w:r>
              <w:rPr>
                <w:spacing w:val="-30"/>
                <w:w w:val="105"/>
                <w:sz w:val="24"/>
              </w:rPr>
              <w:t> </w:t>
            </w:r>
            <w:r>
              <w:rPr>
                <w:w w:val="105"/>
                <w:sz w:val="24"/>
              </w:rPr>
              <w:t>Hastanesi</w:t>
            </w:r>
          </w:p>
          <w:p>
            <w:pPr>
              <w:pStyle w:val="TableParagraph"/>
              <w:rPr>
                <w:sz w:val="24"/>
              </w:rPr>
            </w:pPr>
          </w:p>
          <w:p>
            <w:pPr>
              <w:pStyle w:val="TableParagraph"/>
              <w:ind w:left="167"/>
              <w:rPr>
                <w:sz w:val="24"/>
              </w:rPr>
            </w:pPr>
            <w:r>
              <w:rPr>
                <w:rFonts w:ascii="DejaVu Sans" w:hAnsi="DejaVu Sans"/>
                <w:sz w:val="24"/>
              </w:rPr>
              <w:t>③</w:t>
            </w:r>
            <w:r>
              <w:rPr>
                <w:sz w:val="24"/>
              </w:rPr>
              <w:t>112 Acil Sağlık Hizmetleri</w:t>
            </w:r>
          </w:p>
          <w:p>
            <w:pPr>
              <w:pStyle w:val="TableParagraph"/>
              <w:rPr>
                <w:sz w:val="24"/>
              </w:rPr>
            </w:pPr>
          </w:p>
          <w:p>
            <w:pPr>
              <w:pStyle w:val="TableParagraph"/>
              <w:ind w:left="107"/>
              <w:rPr>
                <w:sz w:val="24"/>
              </w:rPr>
            </w:pPr>
            <w:r>
              <w:rPr>
                <w:rFonts w:ascii="DejaVu Sans" w:hAnsi="DejaVu Sans"/>
                <w:w w:val="105"/>
                <w:sz w:val="24"/>
              </w:rPr>
              <w:t>④</w:t>
            </w:r>
            <w:r>
              <w:rPr>
                <w:w w:val="105"/>
                <w:sz w:val="24"/>
              </w:rPr>
              <w:t>Diğer ……….</w:t>
            </w:r>
          </w:p>
        </w:tc>
      </w:tr>
      <w:tr>
        <w:trPr>
          <w:trHeight w:val="1116" w:hRule="atLeast"/>
        </w:trPr>
        <w:tc>
          <w:tcPr>
            <w:tcW w:w="5241" w:type="dxa"/>
            <w:gridSpan w:val="2"/>
          </w:tcPr>
          <w:p>
            <w:pPr>
              <w:pStyle w:val="TableParagraph"/>
              <w:spacing w:before="3"/>
              <w:rPr>
                <w:sz w:val="23"/>
              </w:rPr>
            </w:pPr>
          </w:p>
          <w:p>
            <w:pPr>
              <w:pStyle w:val="TableParagraph"/>
              <w:spacing w:before="1"/>
              <w:ind w:left="107"/>
              <w:rPr>
                <w:sz w:val="24"/>
              </w:rPr>
            </w:pPr>
            <w:r>
              <w:rPr>
                <w:sz w:val="24"/>
              </w:rPr>
              <w:t>7 -Yaşadığınız yerde daha önce herhangi bir afet meydana geldi mi?</w:t>
            </w:r>
          </w:p>
        </w:tc>
        <w:tc>
          <w:tcPr>
            <w:tcW w:w="3263" w:type="dxa"/>
          </w:tcPr>
          <w:p>
            <w:pPr>
              <w:pStyle w:val="TableParagraph"/>
              <w:spacing w:before="11"/>
              <w:rPr>
                <w:sz w:val="23"/>
              </w:rPr>
            </w:pPr>
          </w:p>
          <w:p>
            <w:pPr>
              <w:pStyle w:val="TableParagraph"/>
              <w:ind w:left="106"/>
              <w:rPr>
                <w:sz w:val="24"/>
              </w:rPr>
            </w:pPr>
            <w:r>
              <w:rPr>
                <w:rFonts w:ascii="DejaVu Sans" w:hAnsi="DejaVu Sans"/>
                <w:w w:val="115"/>
                <w:sz w:val="24"/>
              </w:rPr>
              <w:t>① </w:t>
            </w:r>
            <w:r>
              <w:rPr>
                <w:w w:val="115"/>
                <w:sz w:val="24"/>
              </w:rPr>
              <w:t>EVET</w:t>
            </w:r>
          </w:p>
          <w:p>
            <w:pPr>
              <w:pStyle w:val="TableParagraph"/>
              <w:spacing w:before="2"/>
              <w:rPr>
                <w:sz w:val="24"/>
              </w:rPr>
            </w:pPr>
          </w:p>
          <w:p>
            <w:pPr>
              <w:pStyle w:val="TableParagraph"/>
              <w:spacing w:line="261" w:lineRule="exact"/>
              <w:ind w:left="166"/>
              <w:rPr>
                <w:sz w:val="24"/>
              </w:rPr>
            </w:pPr>
            <w:r>
              <w:rPr>
                <w:rFonts w:ascii="DejaVu Sans" w:hAnsi="DejaVu Sans"/>
                <w:w w:val="115"/>
                <w:sz w:val="24"/>
              </w:rPr>
              <w:t>② </w:t>
            </w:r>
            <w:r>
              <w:rPr>
                <w:w w:val="115"/>
                <w:sz w:val="24"/>
              </w:rPr>
              <w:t>HAYIR</w:t>
            </w:r>
          </w:p>
        </w:tc>
      </w:tr>
      <w:tr>
        <w:trPr>
          <w:trHeight w:val="1106" w:hRule="atLeast"/>
        </w:trPr>
        <w:tc>
          <w:tcPr>
            <w:tcW w:w="5241" w:type="dxa"/>
            <w:gridSpan w:val="2"/>
          </w:tcPr>
          <w:p>
            <w:pPr>
              <w:pStyle w:val="TableParagraph"/>
              <w:spacing w:before="3"/>
              <w:rPr>
                <w:sz w:val="23"/>
              </w:rPr>
            </w:pPr>
          </w:p>
          <w:p>
            <w:pPr>
              <w:pStyle w:val="TableParagraph"/>
              <w:ind w:left="107"/>
              <w:rPr>
                <w:sz w:val="24"/>
              </w:rPr>
            </w:pPr>
            <w:r>
              <w:rPr>
                <w:sz w:val="24"/>
              </w:rPr>
              <w:t>8 -Bir Afette veya Olağan Dışı Durumda görev yaptınız mı?</w:t>
            </w:r>
          </w:p>
        </w:tc>
        <w:tc>
          <w:tcPr>
            <w:tcW w:w="3263" w:type="dxa"/>
          </w:tcPr>
          <w:p>
            <w:pPr>
              <w:pStyle w:val="TableParagraph"/>
              <w:spacing w:before="3"/>
              <w:rPr>
                <w:sz w:val="23"/>
              </w:rPr>
            </w:pPr>
          </w:p>
          <w:p>
            <w:pPr>
              <w:pStyle w:val="TableParagraph"/>
              <w:ind w:left="106"/>
              <w:rPr>
                <w:sz w:val="24"/>
              </w:rPr>
            </w:pPr>
            <w:r>
              <w:rPr>
                <w:rFonts w:ascii="DejaVu Sans" w:hAnsi="DejaVu Sans"/>
                <w:w w:val="115"/>
                <w:sz w:val="24"/>
              </w:rPr>
              <w:t>① </w:t>
            </w:r>
            <w:r>
              <w:rPr>
                <w:w w:val="115"/>
                <w:sz w:val="24"/>
              </w:rPr>
              <w:t>EVET</w:t>
            </w:r>
          </w:p>
          <w:p>
            <w:pPr>
              <w:pStyle w:val="TableParagraph"/>
              <w:rPr>
                <w:sz w:val="24"/>
              </w:rPr>
            </w:pPr>
          </w:p>
          <w:p>
            <w:pPr>
              <w:pStyle w:val="TableParagraph"/>
              <w:spacing w:line="261" w:lineRule="exact"/>
              <w:ind w:left="166"/>
              <w:rPr>
                <w:sz w:val="24"/>
              </w:rPr>
            </w:pPr>
            <w:r>
              <w:rPr>
                <w:rFonts w:ascii="DejaVu Sans" w:hAnsi="DejaVu Sans"/>
                <w:w w:val="115"/>
                <w:sz w:val="24"/>
              </w:rPr>
              <w:t>② </w:t>
            </w:r>
            <w:r>
              <w:rPr>
                <w:w w:val="115"/>
                <w:sz w:val="24"/>
              </w:rPr>
              <w:t>HAYIR</w:t>
            </w:r>
          </w:p>
        </w:tc>
      </w:tr>
      <w:tr>
        <w:trPr>
          <w:trHeight w:val="822" w:hRule="atLeast"/>
        </w:trPr>
        <w:tc>
          <w:tcPr>
            <w:tcW w:w="5241" w:type="dxa"/>
            <w:gridSpan w:val="2"/>
          </w:tcPr>
          <w:p>
            <w:pPr>
              <w:pStyle w:val="TableParagraph"/>
              <w:spacing w:before="7"/>
              <w:rPr>
                <w:sz w:val="22"/>
              </w:rPr>
            </w:pPr>
          </w:p>
          <w:p>
            <w:pPr>
              <w:pStyle w:val="TableParagraph"/>
              <w:spacing w:line="270" w:lineRule="atLeast"/>
              <w:ind w:left="107"/>
              <w:rPr>
                <w:sz w:val="24"/>
              </w:rPr>
            </w:pPr>
            <w:r>
              <w:rPr>
                <w:sz w:val="24"/>
              </w:rPr>
              <w:t>9 -Bir Olağan Dışı durum veya Afette görev yaptıysanız nerede veya nerelerde görev yaptınız?</w:t>
            </w:r>
          </w:p>
        </w:tc>
        <w:tc>
          <w:tcPr>
            <w:tcW w:w="3263" w:type="dxa"/>
          </w:tcPr>
          <w:p>
            <w:pPr>
              <w:pStyle w:val="TableParagraph"/>
              <w:rPr>
                <w:sz w:val="22"/>
              </w:rPr>
            </w:pPr>
          </w:p>
        </w:tc>
      </w:tr>
    </w:tbl>
    <w:p>
      <w:pPr>
        <w:spacing w:after="0"/>
        <w:rPr>
          <w:sz w:val="22"/>
        </w:rPr>
        <w:sectPr>
          <w:pgSz w:w="11910" w:h="16840"/>
          <w:pgMar w:header="0" w:footer="976" w:top="1580" w:bottom="1240" w:left="1140" w:right="520"/>
        </w:sectPr>
      </w:pPr>
    </w:p>
    <w:p>
      <w:pPr>
        <w:pStyle w:val="BodyText"/>
        <w:spacing w:before="11"/>
        <w:rPr>
          <w:sz w:val="8"/>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5240"/>
        <w:gridCol w:w="3262"/>
      </w:tblGrid>
      <w:tr>
        <w:trPr>
          <w:trHeight w:val="1113" w:hRule="atLeast"/>
        </w:trPr>
        <w:tc>
          <w:tcPr>
            <w:tcW w:w="5240" w:type="dxa"/>
          </w:tcPr>
          <w:p>
            <w:pPr>
              <w:pStyle w:val="TableParagraph"/>
              <w:spacing w:before="7"/>
              <w:rPr>
                <w:sz w:val="22"/>
              </w:rPr>
            </w:pPr>
          </w:p>
          <w:p>
            <w:pPr>
              <w:pStyle w:val="TableParagraph"/>
              <w:spacing w:before="1"/>
              <w:ind w:left="86" w:right="144"/>
              <w:jc w:val="center"/>
              <w:rPr>
                <w:sz w:val="24"/>
              </w:rPr>
            </w:pPr>
            <w:r>
              <w:rPr>
                <w:sz w:val="24"/>
              </w:rPr>
              <w:t>10 -Daha önce Afetlerle ilgili bir eğitim aldınız mı?</w:t>
            </w:r>
          </w:p>
        </w:tc>
        <w:tc>
          <w:tcPr>
            <w:tcW w:w="3262" w:type="dxa"/>
          </w:tcPr>
          <w:p>
            <w:pPr>
              <w:pStyle w:val="TableParagraph"/>
              <w:spacing w:before="10"/>
              <w:rPr>
                <w:sz w:val="23"/>
              </w:rPr>
            </w:pPr>
          </w:p>
          <w:p>
            <w:pPr>
              <w:pStyle w:val="TableParagraph"/>
              <w:spacing w:before="1"/>
              <w:ind w:left="108"/>
              <w:rPr>
                <w:sz w:val="24"/>
              </w:rPr>
            </w:pPr>
            <w:r>
              <w:rPr>
                <w:rFonts w:ascii="DejaVu Sans" w:hAnsi="DejaVu Sans"/>
                <w:w w:val="115"/>
                <w:sz w:val="24"/>
              </w:rPr>
              <w:t>① </w:t>
            </w:r>
            <w:r>
              <w:rPr>
                <w:w w:val="115"/>
                <w:sz w:val="24"/>
              </w:rPr>
              <w:t>EVET</w:t>
            </w:r>
          </w:p>
          <w:p>
            <w:pPr>
              <w:pStyle w:val="TableParagraph"/>
              <w:rPr>
                <w:sz w:val="24"/>
              </w:rPr>
            </w:pPr>
          </w:p>
          <w:p>
            <w:pPr>
              <w:pStyle w:val="TableParagraph"/>
              <w:spacing w:line="261" w:lineRule="exact"/>
              <w:ind w:left="168"/>
              <w:rPr>
                <w:sz w:val="24"/>
              </w:rPr>
            </w:pPr>
            <w:r>
              <w:rPr>
                <w:rFonts w:ascii="DejaVu Sans" w:hAnsi="DejaVu Sans"/>
                <w:w w:val="115"/>
                <w:sz w:val="24"/>
              </w:rPr>
              <w:t>② </w:t>
            </w:r>
            <w:r>
              <w:rPr>
                <w:w w:val="115"/>
                <w:sz w:val="24"/>
              </w:rPr>
              <w:t>HAYIR</w:t>
            </w:r>
          </w:p>
        </w:tc>
      </w:tr>
      <w:tr>
        <w:trPr>
          <w:trHeight w:val="1115" w:hRule="atLeast"/>
        </w:trPr>
        <w:tc>
          <w:tcPr>
            <w:tcW w:w="5240" w:type="dxa"/>
          </w:tcPr>
          <w:p>
            <w:pPr>
              <w:pStyle w:val="TableParagraph"/>
              <w:spacing w:before="7"/>
              <w:rPr>
                <w:sz w:val="22"/>
              </w:rPr>
            </w:pPr>
          </w:p>
          <w:p>
            <w:pPr>
              <w:pStyle w:val="TableParagraph"/>
              <w:ind w:left="86" w:right="235"/>
              <w:jc w:val="center"/>
              <w:rPr>
                <w:sz w:val="24"/>
              </w:rPr>
            </w:pPr>
            <w:r>
              <w:rPr>
                <w:sz w:val="24"/>
              </w:rPr>
              <w:t>11 -Daha önce sizi etkileyen bir afet yaşadınız mı?</w:t>
            </w:r>
          </w:p>
        </w:tc>
        <w:tc>
          <w:tcPr>
            <w:tcW w:w="3262" w:type="dxa"/>
          </w:tcPr>
          <w:p>
            <w:pPr>
              <w:pStyle w:val="TableParagraph"/>
              <w:spacing w:before="1"/>
              <w:rPr>
                <w:sz w:val="24"/>
              </w:rPr>
            </w:pPr>
          </w:p>
          <w:p>
            <w:pPr>
              <w:pStyle w:val="TableParagraph"/>
              <w:ind w:left="108"/>
              <w:rPr>
                <w:sz w:val="24"/>
              </w:rPr>
            </w:pPr>
            <w:r>
              <w:rPr>
                <w:rFonts w:ascii="DejaVu Sans" w:hAnsi="DejaVu Sans"/>
                <w:w w:val="115"/>
                <w:sz w:val="24"/>
              </w:rPr>
              <w:t>① </w:t>
            </w:r>
            <w:r>
              <w:rPr>
                <w:w w:val="115"/>
                <w:sz w:val="24"/>
              </w:rPr>
              <w:t>EVET</w:t>
            </w:r>
          </w:p>
          <w:p>
            <w:pPr>
              <w:pStyle w:val="TableParagraph"/>
              <w:rPr>
                <w:sz w:val="24"/>
              </w:rPr>
            </w:pPr>
          </w:p>
          <w:p>
            <w:pPr>
              <w:pStyle w:val="TableParagraph"/>
              <w:spacing w:line="261" w:lineRule="exact"/>
              <w:ind w:left="168"/>
              <w:rPr>
                <w:sz w:val="24"/>
              </w:rPr>
            </w:pPr>
            <w:r>
              <w:rPr>
                <w:rFonts w:ascii="DejaVu Sans" w:hAnsi="DejaVu Sans"/>
                <w:w w:val="115"/>
                <w:sz w:val="24"/>
              </w:rPr>
              <w:t>② </w:t>
            </w:r>
            <w:r>
              <w:rPr>
                <w:w w:val="115"/>
                <w:sz w:val="24"/>
              </w:rPr>
              <w:t>HAYIR</w:t>
            </w:r>
          </w:p>
        </w:tc>
      </w:tr>
      <w:tr>
        <w:trPr>
          <w:trHeight w:val="1115" w:hRule="atLeast"/>
        </w:trPr>
        <w:tc>
          <w:tcPr>
            <w:tcW w:w="5240" w:type="dxa"/>
          </w:tcPr>
          <w:p>
            <w:pPr>
              <w:pStyle w:val="TableParagraph"/>
              <w:spacing w:before="7"/>
              <w:rPr>
                <w:sz w:val="22"/>
              </w:rPr>
            </w:pPr>
          </w:p>
          <w:p>
            <w:pPr>
              <w:pStyle w:val="TableParagraph"/>
              <w:ind w:left="107" w:right="11"/>
              <w:rPr>
                <w:sz w:val="24"/>
              </w:rPr>
            </w:pPr>
            <w:r>
              <w:rPr>
                <w:sz w:val="24"/>
              </w:rPr>
              <w:t>12 -Afette aile fertlerinizden; akrabalarınızdan veya sevdiklerinizden birini kaybettiniz mi?</w:t>
            </w:r>
          </w:p>
        </w:tc>
        <w:tc>
          <w:tcPr>
            <w:tcW w:w="3262" w:type="dxa"/>
          </w:tcPr>
          <w:p>
            <w:pPr>
              <w:pStyle w:val="TableParagraph"/>
              <w:spacing w:before="10"/>
              <w:rPr>
                <w:sz w:val="23"/>
              </w:rPr>
            </w:pPr>
          </w:p>
          <w:p>
            <w:pPr>
              <w:pStyle w:val="TableParagraph"/>
              <w:ind w:left="108"/>
              <w:rPr>
                <w:sz w:val="24"/>
              </w:rPr>
            </w:pPr>
            <w:r>
              <w:rPr>
                <w:rFonts w:ascii="DejaVu Sans" w:hAnsi="DejaVu Sans"/>
                <w:w w:val="115"/>
                <w:sz w:val="24"/>
              </w:rPr>
              <w:t>① </w:t>
            </w:r>
            <w:r>
              <w:rPr>
                <w:w w:val="115"/>
                <w:sz w:val="24"/>
              </w:rPr>
              <w:t>EVET</w:t>
            </w:r>
          </w:p>
          <w:p>
            <w:pPr>
              <w:pStyle w:val="TableParagraph"/>
              <w:rPr>
                <w:sz w:val="24"/>
              </w:rPr>
            </w:pPr>
          </w:p>
          <w:p>
            <w:pPr>
              <w:pStyle w:val="TableParagraph"/>
              <w:spacing w:line="264" w:lineRule="exact"/>
              <w:ind w:left="108"/>
              <w:rPr>
                <w:sz w:val="24"/>
              </w:rPr>
            </w:pPr>
            <w:r>
              <w:rPr>
                <w:rFonts w:ascii="DejaVu Sans" w:hAnsi="DejaVu Sans"/>
                <w:w w:val="115"/>
                <w:sz w:val="24"/>
              </w:rPr>
              <w:t>② </w:t>
            </w:r>
            <w:r>
              <w:rPr>
                <w:w w:val="115"/>
                <w:sz w:val="24"/>
              </w:rPr>
              <w:t>HAYIR</w:t>
            </w:r>
          </w:p>
        </w:tc>
      </w:tr>
      <w:tr>
        <w:trPr>
          <w:trHeight w:val="1113" w:hRule="atLeast"/>
        </w:trPr>
        <w:tc>
          <w:tcPr>
            <w:tcW w:w="5240" w:type="dxa"/>
          </w:tcPr>
          <w:p>
            <w:pPr>
              <w:pStyle w:val="TableParagraph"/>
              <w:spacing w:before="3"/>
              <w:rPr>
                <w:sz w:val="23"/>
              </w:rPr>
            </w:pPr>
          </w:p>
          <w:p>
            <w:pPr>
              <w:pStyle w:val="TableParagraph"/>
              <w:spacing w:before="1"/>
              <w:ind w:left="107" w:right="277"/>
              <w:rPr>
                <w:sz w:val="24"/>
              </w:rPr>
            </w:pPr>
            <w:r>
              <w:rPr>
                <w:sz w:val="24"/>
              </w:rPr>
              <w:t>13 -Afetlerle ilgili herhangi bir tatbikata katıldınız mı?</w:t>
            </w:r>
          </w:p>
        </w:tc>
        <w:tc>
          <w:tcPr>
            <w:tcW w:w="3262" w:type="dxa"/>
          </w:tcPr>
          <w:p>
            <w:pPr>
              <w:pStyle w:val="TableParagraph"/>
              <w:spacing w:before="11"/>
              <w:rPr>
                <w:sz w:val="23"/>
              </w:rPr>
            </w:pPr>
          </w:p>
          <w:p>
            <w:pPr>
              <w:pStyle w:val="TableParagraph"/>
              <w:ind w:left="108"/>
              <w:rPr>
                <w:sz w:val="24"/>
              </w:rPr>
            </w:pPr>
            <w:r>
              <w:rPr>
                <w:rFonts w:ascii="DejaVu Sans" w:hAnsi="DejaVu Sans"/>
                <w:w w:val="115"/>
                <w:sz w:val="24"/>
              </w:rPr>
              <w:t>① </w:t>
            </w:r>
            <w:r>
              <w:rPr>
                <w:w w:val="115"/>
                <w:sz w:val="24"/>
              </w:rPr>
              <w:t>EVET</w:t>
            </w:r>
          </w:p>
          <w:p>
            <w:pPr>
              <w:pStyle w:val="TableParagraph"/>
              <w:rPr>
                <w:sz w:val="24"/>
              </w:rPr>
            </w:pPr>
          </w:p>
          <w:p>
            <w:pPr>
              <w:pStyle w:val="TableParagraph"/>
              <w:spacing w:line="261" w:lineRule="exact"/>
              <w:ind w:left="168"/>
              <w:rPr>
                <w:sz w:val="24"/>
              </w:rPr>
            </w:pPr>
            <w:r>
              <w:rPr>
                <w:rFonts w:ascii="DejaVu Sans" w:hAnsi="DejaVu Sans"/>
                <w:w w:val="115"/>
                <w:sz w:val="24"/>
              </w:rPr>
              <w:t>② </w:t>
            </w:r>
            <w:r>
              <w:rPr>
                <w:w w:val="115"/>
                <w:sz w:val="24"/>
              </w:rPr>
              <w:t>HAYIR</w:t>
            </w:r>
          </w:p>
        </w:tc>
      </w:tr>
      <w:tr>
        <w:trPr>
          <w:trHeight w:val="1372" w:hRule="atLeast"/>
        </w:trPr>
        <w:tc>
          <w:tcPr>
            <w:tcW w:w="5240" w:type="dxa"/>
          </w:tcPr>
          <w:p>
            <w:pPr>
              <w:pStyle w:val="TableParagraph"/>
              <w:spacing w:before="7"/>
              <w:rPr>
                <w:sz w:val="22"/>
              </w:rPr>
            </w:pPr>
          </w:p>
          <w:p>
            <w:pPr>
              <w:pStyle w:val="TableParagraph"/>
              <w:spacing w:line="270" w:lineRule="atLeast"/>
              <w:ind w:left="107" w:right="11"/>
              <w:rPr>
                <w:sz w:val="24"/>
              </w:rPr>
            </w:pPr>
            <w:r>
              <w:rPr>
                <w:sz w:val="24"/>
              </w:rPr>
              <w:t>14 –Daha önce Afetlerle veya Olağan Dışı durumlarla ilgili tatbikata veya tatbikatlara katıldıysanız nerede veya nerelerde tatbikata katıldınız</w:t>
            </w:r>
          </w:p>
        </w:tc>
        <w:tc>
          <w:tcPr>
            <w:tcW w:w="3262" w:type="dxa"/>
          </w:tcPr>
          <w:p>
            <w:pPr>
              <w:pStyle w:val="TableParagraph"/>
              <w:rPr>
                <w:sz w:val="24"/>
              </w:rPr>
            </w:pPr>
          </w:p>
        </w:tc>
      </w:tr>
    </w:tbl>
    <w:p>
      <w:pPr>
        <w:spacing w:after="0"/>
        <w:rPr>
          <w:sz w:val="24"/>
        </w:rPr>
        <w:sectPr>
          <w:pgSz w:w="11910" w:h="16840"/>
          <w:pgMar w:header="0" w:footer="976" w:top="1580" w:bottom="1160" w:left="1140" w:right="520"/>
        </w:sectPr>
      </w:pPr>
    </w:p>
    <w:p>
      <w:pPr>
        <w:pStyle w:val="BodyText"/>
        <w:spacing w:before="11"/>
        <w:rPr>
          <w:sz w:val="8"/>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6"/>
        <w:gridCol w:w="5607"/>
        <w:gridCol w:w="634"/>
        <w:gridCol w:w="506"/>
        <w:gridCol w:w="420"/>
        <w:gridCol w:w="425"/>
        <w:gridCol w:w="672"/>
      </w:tblGrid>
      <w:tr>
        <w:trPr>
          <w:trHeight w:val="3036" w:hRule="atLeast"/>
        </w:trPr>
        <w:tc>
          <w:tcPr>
            <w:tcW w:w="456" w:type="dxa"/>
          </w:tcPr>
          <w:p>
            <w:pPr>
              <w:pStyle w:val="TableParagraph"/>
              <w:rPr>
                <w:sz w:val="24"/>
              </w:rPr>
            </w:pPr>
          </w:p>
        </w:tc>
        <w:tc>
          <w:tcPr>
            <w:tcW w:w="5607"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8"/>
              <w:rPr>
                <w:sz w:val="33"/>
              </w:rPr>
            </w:pPr>
          </w:p>
          <w:p>
            <w:pPr>
              <w:pStyle w:val="TableParagraph"/>
              <w:spacing w:line="270" w:lineRule="atLeast"/>
              <w:ind w:left="2170" w:hanging="1460"/>
              <w:rPr>
                <w:b/>
                <w:sz w:val="24"/>
              </w:rPr>
            </w:pPr>
            <w:r>
              <w:rPr>
                <w:b/>
                <w:sz w:val="24"/>
              </w:rPr>
              <w:t>AFET PLANLARI İLE İLGİLİ ANKET SORULARI</w:t>
            </w:r>
          </w:p>
        </w:tc>
        <w:tc>
          <w:tcPr>
            <w:tcW w:w="634" w:type="dxa"/>
            <w:textDirection w:val="tbRl"/>
          </w:tcPr>
          <w:p>
            <w:pPr>
              <w:pStyle w:val="TableParagraph"/>
              <w:spacing w:before="99"/>
              <w:ind w:left="112"/>
              <w:rPr>
                <w:b/>
                <w:sz w:val="24"/>
              </w:rPr>
            </w:pPr>
            <w:r>
              <w:rPr>
                <w:b/>
                <w:sz w:val="24"/>
              </w:rPr>
              <w:t>Kesinlikle katılıyorum</w:t>
            </w:r>
          </w:p>
        </w:tc>
        <w:tc>
          <w:tcPr>
            <w:tcW w:w="506" w:type="dxa"/>
            <w:textDirection w:val="tbRl"/>
          </w:tcPr>
          <w:p>
            <w:pPr>
              <w:pStyle w:val="TableParagraph"/>
              <w:spacing w:before="98"/>
              <w:ind w:left="112"/>
              <w:rPr>
                <w:b/>
                <w:sz w:val="24"/>
              </w:rPr>
            </w:pPr>
            <w:r>
              <w:rPr>
                <w:b/>
                <w:sz w:val="24"/>
              </w:rPr>
              <w:t>Katılıyorum</w:t>
            </w:r>
          </w:p>
        </w:tc>
        <w:tc>
          <w:tcPr>
            <w:tcW w:w="420" w:type="dxa"/>
            <w:textDirection w:val="tbRl"/>
          </w:tcPr>
          <w:p>
            <w:pPr>
              <w:pStyle w:val="TableParagraph"/>
              <w:spacing w:before="98"/>
              <w:ind w:left="112"/>
              <w:rPr>
                <w:b/>
                <w:sz w:val="24"/>
              </w:rPr>
            </w:pPr>
            <w:r>
              <w:rPr>
                <w:b/>
                <w:sz w:val="24"/>
              </w:rPr>
              <w:t>Kararsızım</w:t>
            </w:r>
          </w:p>
        </w:tc>
        <w:tc>
          <w:tcPr>
            <w:tcW w:w="425" w:type="dxa"/>
            <w:textDirection w:val="tbRl"/>
          </w:tcPr>
          <w:p>
            <w:pPr>
              <w:pStyle w:val="TableParagraph"/>
              <w:spacing w:before="101"/>
              <w:ind w:left="112"/>
              <w:rPr>
                <w:b/>
                <w:sz w:val="24"/>
              </w:rPr>
            </w:pPr>
            <w:r>
              <w:rPr>
                <w:b/>
                <w:sz w:val="24"/>
              </w:rPr>
              <w:t>Katılmıyorum</w:t>
            </w:r>
          </w:p>
        </w:tc>
        <w:tc>
          <w:tcPr>
            <w:tcW w:w="672" w:type="dxa"/>
            <w:textDirection w:val="tbRl"/>
          </w:tcPr>
          <w:p>
            <w:pPr>
              <w:pStyle w:val="TableParagraph"/>
              <w:spacing w:before="96"/>
              <w:ind w:left="112"/>
              <w:rPr>
                <w:b/>
                <w:sz w:val="24"/>
              </w:rPr>
            </w:pPr>
            <w:r>
              <w:rPr>
                <w:b/>
                <w:sz w:val="24"/>
              </w:rPr>
              <w:t>Kesinlikle katılmıyorum</w:t>
            </w:r>
          </w:p>
        </w:tc>
      </w:tr>
      <w:tr>
        <w:trPr>
          <w:trHeight w:val="551" w:hRule="atLeast"/>
        </w:trPr>
        <w:tc>
          <w:tcPr>
            <w:tcW w:w="456" w:type="dxa"/>
          </w:tcPr>
          <w:p>
            <w:pPr>
              <w:pStyle w:val="TableParagraph"/>
              <w:spacing w:line="268" w:lineRule="exact"/>
              <w:ind w:right="96"/>
              <w:jc w:val="right"/>
              <w:rPr>
                <w:sz w:val="24"/>
              </w:rPr>
            </w:pPr>
            <w:r>
              <w:rPr>
                <w:sz w:val="24"/>
              </w:rPr>
              <w:t>15</w:t>
            </w:r>
          </w:p>
        </w:tc>
        <w:tc>
          <w:tcPr>
            <w:tcW w:w="5607" w:type="dxa"/>
          </w:tcPr>
          <w:p>
            <w:pPr>
              <w:pStyle w:val="TableParagraph"/>
              <w:spacing w:line="268" w:lineRule="exact"/>
              <w:ind w:left="107"/>
              <w:rPr>
                <w:sz w:val="24"/>
              </w:rPr>
            </w:pPr>
            <w:r>
              <w:rPr>
                <w:sz w:val="24"/>
              </w:rPr>
              <w:t>Afet Planımız afete müdahalede kurumumuzdan</w:t>
            </w:r>
          </w:p>
          <w:p>
            <w:pPr>
              <w:pStyle w:val="TableParagraph"/>
              <w:spacing w:line="264" w:lineRule="exact"/>
              <w:ind w:left="107"/>
              <w:rPr>
                <w:sz w:val="24"/>
              </w:rPr>
            </w:pPr>
            <w:r>
              <w:rPr>
                <w:sz w:val="24"/>
              </w:rPr>
              <w:t>beklenen hizmetleri vermek için yeterlidir.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2" w:hRule="atLeast"/>
        </w:trPr>
        <w:tc>
          <w:tcPr>
            <w:tcW w:w="456" w:type="dxa"/>
          </w:tcPr>
          <w:p>
            <w:pPr>
              <w:pStyle w:val="TableParagraph"/>
              <w:spacing w:line="268" w:lineRule="exact"/>
              <w:ind w:right="96"/>
              <w:jc w:val="right"/>
              <w:rPr>
                <w:sz w:val="24"/>
              </w:rPr>
            </w:pPr>
            <w:r>
              <w:rPr>
                <w:sz w:val="24"/>
              </w:rPr>
              <w:t>16</w:t>
            </w:r>
          </w:p>
        </w:tc>
        <w:tc>
          <w:tcPr>
            <w:tcW w:w="5607" w:type="dxa"/>
          </w:tcPr>
          <w:p>
            <w:pPr>
              <w:pStyle w:val="TableParagraph"/>
              <w:spacing w:line="268" w:lineRule="exact"/>
              <w:ind w:left="107"/>
              <w:rPr>
                <w:sz w:val="24"/>
              </w:rPr>
            </w:pPr>
            <w:r>
              <w:rPr>
                <w:sz w:val="24"/>
              </w:rPr>
              <w:t>Kurumumuzun afet planı personel ve yöneticiler</w:t>
            </w:r>
          </w:p>
          <w:p>
            <w:pPr>
              <w:pStyle w:val="TableParagraph"/>
              <w:spacing w:line="264" w:lineRule="exact"/>
              <w:ind w:left="107"/>
              <w:rPr>
                <w:sz w:val="24"/>
              </w:rPr>
            </w:pPr>
            <w:r>
              <w:rPr>
                <w:sz w:val="24"/>
              </w:rPr>
              <w:t>tarafından bilinmekte ve desteklenmektedir.</w:t>
            </w:r>
          </w:p>
        </w:tc>
        <w:tc>
          <w:tcPr>
            <w:tcW w:w="634" w:type="dxa"/>
          </w:tcPr>
          <w:p>
            <w:pPr>
              <w:pStyle w:val="TableParagraph"/>
              <w:spacing w:before="21"/>
              <w:ind w:left="108"/>
              <w:rPr>
                <w:rFonts w:ascii="DejaVu Sans" w:hAnsi="DejaVu Sans"/>
                <w:sz w:val="28"/>
              </w:rPr>
            </w:pPr>
            <w:r>
              <w:rPr>
                <w:rFonts w:ascii="DejaVu Sans" w:hAnsi="DejaVu Sans"/>
                <w:w w:val="111"/>
                <w:sz w:val="28"/>
              </w:rPr>
              <w:t>⑤</w:t>
            </w:r>
          </w:p>
        </w:tc>
        <w:tc>
          <w:tcPr>
            <w:tcW w:w="506" w:type="dxa"/>
          </w:tcPr>
          <w:p>
            <w:pPr>
              <w:pStyle w:val="TableParagraph"/>
              <w:spacing w:before="21"/>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1"/>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1"/>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1"/>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17</w:t>
            </w:r>
          </w:p>
        </w:tc>
        <w:tc>
          <w:tcPr>
            <w:tcW w:w="5607" w:type="dxa"/>
          </w:tcPr>
          <w:p>
            <w:pPr>
              <w:pStyle w:val="TableParagraph"/>
              <w:ind w:left="107" w:right="105"/>
              <w:rPr>
                <w:sz w:val="24"/>
              </w:rPr>
            </w:pPr>
            <w:r>
              <w:rPr>
                <w:sz w:val="24"/>
              </w:rPr>
              <w:t>Afet planında görev yapan personel görevini tam olarak bilmektedir. Görevini yerine getirecek bilgi beceri ve</w:t>
            </w:r>
          </w:p>
          <w:p>
            <w:pPr>
              <w:pStyle w:val="TableParagraph"/>
              <w:spacing w:line="264" w:lineRule="exact"/>
              <w:ind w:left="107"/>
              <w:rPr>
                <w:sz w:val="24"/>
              </w:rPr>
            </w:pPr>
            <w:r>
              <w:rPr>
                <w:sz w:val="24"/>
              </w:rPr>
              <w:t>kabiliyete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18</w:t>
            </w:r>
          </w:p>
        </w:tc>
        <w:tc>
          <w:tcPr>
            <w:tcW w:w="5607" w:type="dxa"/>
          </w:tcPr>
          <w:p>
            <w:pPr>
              <w:pStyle w:val="TableParagraph"/>
              <w:spacing w:line="268" w:lineRule="exact"/>
              <w:ind w:left="107"/>
              <w:rPr>
                <w:sz w:val="24"/>
              </w:rPr>
            </w:pPr>
            <w:r>
              <w:rPr>
                <w:sz w:val="24"/>
              </w:rPr>
              <w:t>Kurumumuzun Afet Planı bir afet durumunda kolayca</w:t>
            </w:r>
          </w:p>
          <w:p>
            <w:pPr>
              <w:pStyle w:val="TableParagraph"/>
              <w:spacing w:line="264" w:lineRule="exact"/>
              <w:ind w:left="107"/>
              <w:rPr>
                <w:sz w:val="24"/>
              </w:rPr>
            </w:pPr>
            <w:r>
              <w:rPr>
                <w:sz w:val="24"/>
              </w:rPr>
              <w:t>ulaşılabilecek bir kaç yerde yedeklenmiştir.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1105" w:hRule="atLeast"/>
        </w:trPr>
        <w:tc>
          <w:tcPr>
            <w:tcW w:w="456" w:type="dxa"/>
          </w:tcPr>
          <w:p>
            <w:pPr>
              <w:pStyle w:val="TableParagraph"/>
              <w:spacing w:line="270" w:lineRule="exact"/>
              <w:ind w:right="96"/>
              <w:jc w:val="right"/>
              <w:rPr>
                <w:sz w:val="24"/>
              </w:rPr>
            </w:pPr>
            <w:r>
              <w:rPr>
                <w:sz w:val="24"/>
              </w:rPr>
              <w:t>19</w:t>
            </w:r>
          </w:p>
        </w:tc>
        <w:tc>
          <w:tcPr>
            <w:tcW w:w="5607" w:type="dxa"/>
          </w:tcPr>
          <w:p>
            <w:pPr>
              <w:pStyle w:val="TableParagraph"/>
              <w:ind w:left="107" w:right="172"/>
              <w:rPr>
                <w:sz w:val="24"/>
              </w:rPr>
            </w:pPr>
            <w:r>
              <w:rPr>
                <w:sz w:val="24"/>
              </w:rPr>
              <w:t>Bir afete müdahale eden görev yapan personelin sayıca az ve yetersiz kaldığı durumlarda, kurumumuzun afet planında personel ihtiyacının nasıl karşılanacağı etkin</w:t>
            </w:r>
          </w:p>
          <w:p>
            <w:pPr>
              <w:pStyle w:val="TableParagraph"/>
              <w:spacing w:line="264" w:lineRule="exact"/>
              <w:ind w:left="107"/>
              <w:rPr>
                <w:sz w:val="24"/>
              </w:rPr>
            </w:pPr>
            <w:r>
              <w:rPr>
                <w:sz w:val="24"/>
              </w:rPr>
              <w:t>bir şekilde planlanmıştır.</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828" w:hRule="atLeast"/>
        </w:trPr>
        <w:tc>
          <w:tcPr>
            <w:tcW w:w="456" w:type="dxa"/>
          </w:tcPr>
          <w:p>
            <w:pPr>
              <w:pStyle w:val="TableParagraph"/>
              <w:spacing w:line="268" w:lineRule="exact"/>
              <w:ind w:right="96"/>
              <w:jc w:val="right"/>
              <w:rPr>
                <w:sz w:val="24"/>
              </w:rPr>
            </w:pPr>
            <w:r>
              <w:rPr>
                <w:sz w:val="24"/>
              </w:rPr>
              <w:t>20</w:t>
            </w:r>
          </w:p>
        </w:tc>
        <w:tc>
          <w:tcPr>
            <w:tcW w:w="5607" w:type="dxa"/>
          </w:tcPr>
          <w:p>
            <w:pPr>
              <w:pStyle w:val="TableParagraph"/>
              <w:ind w:left="107" w:right="305"/>
              <w:rPr>
                <w:sz w:val="24"/>
              </w:rPr>
            </w:pPr>
            <w:r>
              <w:rPr>
                <w:sz w:val="24"/>
              </w:rPr>
              <w:t>Kurumumuzun ve ilde bulunan kurumların kapasitelerinin dolması halinde yaralılarının tedavi ve</w:t>
            </w:r>
          </w:p>
          <w:p>
            <w:pPr>
              <w:pStyle w:val="TableParagraph"/>
              <w:spacing w:line="264" w:lineRule="exact"/>
              <w:ind w:left="107"/>
              <w:rPr>
                <w:sz w:val="24"/>
              </w:rPr>
            </w:pPr>
            <w:r>
              <w:rPr>
                <w:sz w:val="24"/>
              </w:rPr>
              <w:t>sevki ile ilgili prosedürler oluşturulmuştur.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21</w:t>
            </w:r>
          </w:p>
        </w:tc>
        <w:tc>
          <w:tcPr>
            <w:tcW w:w="5607" w:type="dxa"/>
          </w:tcPr>
          <w:p>
            <w:pPr>
              <w:pStyle w:val="TableParagraph"/>
              <w:spacing w:line="268" w:lineRule="exact"/>
              <w:ind w:left="107"/>
              <w:rPr>
                <w:sz w:val="24"/>
              </w:rPr>
            </w:pPr>
            <w:r>
              <w:rPr>
                <w:sz w:val="24"/>
              </w:rPr>
              <w:t>Kurumumuzun Afet Planında afet zarara azaltımı</w:t>
            </w:r>
          </w:p>
          <w:p>
            <w:pPr>
              <w:pStyle w:val="TableParagraph"/>
              <w:spacing w:line="270" w:lineRule="atLeast"/>
              <w:ind w:left="107" w:right="98"/>
              <w:rPr>
                <w:sz w:val="24"/>
              </w:rPr>
            </w:pPr>
            <w:r>
              <w:rPr>
                <w:sz w:val="24"/>
              </w:rPr>
              <w:t>yaklaşımı benimsenmiş, plan hazırlanırken risk azaltımı ile ilgili çalışmalar yapılmıştır.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rPr>
                <w:sz w:val="24"/>
              </w:rPr>
            </w:pPr>
          </w:p>
        </w:tc>
        <w:tc>
          <w:tcPr>
            <w:tcW w:w="5607" w:type="dxa"/>
          </w:tcPr>
          <w:p>
            <w:pPr>
              <w:pStyle w:val="TableParagraph"/>
              <w:spacing w:before="8"/>
              <w:rPr>
                <w:sz w:val="23"/>
              </w:rPr>
            </w:pPr>
          </w:p>
          <w:p>
            <w:pPr>
              <w:pStyle w:val="TableParagraph"/>
              <w:spacing w:line="270" w:lineRule="atLeast"/>
              <w:ind w:left="1289" w:right="257" w:hanging="1004"/>
              <w:rPr>
                <w:b/>
                <w:sz w:val="24"/>
              </w:rPr>
            </w:pPr>
            <w:r>
              <w:rPr>
                <w:b/>
                <w:sz w:val="24"/>
              </w:rPr>
              <w:t>AFET EĞİTİMLERİ VE TATBİKATLARIYLA İLGİLİ ANKET 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417" w:hRule="atLeast"/>
        </w:trPr>
        <w:tc>
          <w:tcPr>
            <w:tcW w:w="456" w:type="dxa"/>
          </w:tcPr>
          <w:p>
            <w:pPr>
              <w:pStyle w:val="TableParagraph"/>
              <w:spacing w:line="268" w:lineRule="exact"/>
              <w:ind w:right="96"/>
              <w:jc w:val="right"/>
              <w:rPr>
                <w:sz w:val="24"/>
              </w:rPr>
            </w:pPr>
            <w:r>
              <w:rPr>
                <w:sz w:val="24"/>
              </w:rPr>
              <w:t>22</w:t>
            </w:r>
          </w:p>
        </w:tc>
        <w:tc>
          <w:tcPr>
            <w:tcW w:w="5607" w:type="dxa"/>
          </w:tcPr>
          <w:p>
            <w:pPr>
              <w:pStyle w:val="TableParagraph"/>
              <w:spacing w:line="268" w:lineRule="exact"/>
              <w:ind w:left="107"/>
              <w:rPr>
                <w:sz w:val="24"/>
              </w:rPr>
            </w:pPr>
            <w:r>
              <w:rPr>
                <w:sz w:val="24"/>
              </w:rPr>
              <w:t>Kurumumda hizmet içi eğitimlere önem verilir.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23</w:t>
            </w:r>
          </w:p>
        </w:tc>
        <w:tc>
          <w:tcPr>
            <w:tcW w:w="5607" w:type="dxa"/>
          </w:tcPr>
          <w:p>
            <w:pPr>
              <w:pStyle w:val="TableParagraph"/>
              <w:ind w:left="107" w:right="831"/>
              <w:rPr>
                <w:sz w:val="24"/>
              </w:rPr>
            </w:pPr>
            <w:r>
              <w:rPr>
                <w:sz w:val="24"/>
              </w:rPr>
              <w:t>Kurumumda afet planı ile ilgili personele eğitim verilmiştir. Plan tatbikatlarda yılda birkaç kez</w:t>
            </w:r>
          </w:p>
          <w:p>
            <w:pPr>
              <w:pStyle w:val="TableParagraph"/>
              <w:spacing w:line="264" w:lineRule="exact"/>
              <w:ind w:left="107"/>
              <w:rPr>
                <w:sz w:val="24"/>
              </w:rPr>
            </w:pPr>
            <w:r>
              <w:rPr>
                <w:sz w:val="24"/>
              </w:rPr>
              <w:t>denenerek gerekiyorsa düzeltilir.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4" w:hRule="atLeast"/>
        </w:trPr>
        <w:tc>
          <w:tcPr>
            <w:tcW w:w="456" w:type="dxa"/>
          </w:tcPr>
          <w:p>
            <w:pPr>
              <w:pStyle w:val="TableParagraph"/>
              <w:spacing w:line="270" w:lineRule="exact"/>
              <w:ind w:right="96"/>
              <w:jc w:val="right"/>
              <w:rPr>
                <w:sz w:val="24"/>
              </w:rPr>
            </w:pPr>
            <w:r>
              <w:rPr>
                <w:sz w:val="24"/>
              </w:rPr>
              <w:t>24</w:t>
            </w:r>
          </w:p>
        </w:tc>
        <w:tc>
          <w:tcPr>
            <w:tcW w:w="5607" w:type="dxa"/>
          </w:tcPr>
          <w:p>
            <w:pPr>
              <w:pStyle w:val="TableParagraph"/>
              <w:spacing w:line="270" w:lineRule="exact"/>
              <w:ind w:left="107"/>
              <w:rPr>
                <w:sz w:val="24"/>
              </w:rPr>
            </w:pPr>
            <w:r>
              <w:rPr>
                <w:sz w:val="24"/>
              </w:rPr>
              <w:t>Kurumumda afet eğitimine önem verilir. Afet bilinci</w:t>
            </w:r>
          </w:p>
          <w:p>
            <w:pPr>
              <w:pStyle w:val="TableParagraph"/>
              <w:spacing w:line="264" w:lineRule="exact"/>
              <w:ind w:left="107"/>
              <w:rPr>
                <w:sz w:val="24"/>
              </w:rPr>
            </w:pPr>
            <w:r>
              <w:rPr>
                <w:sz w:val="24"/>
              </w:rPr>
              <w:t>oluşturmak için eğitimler sürekli hale gelmiştir.</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25</w:t>
            </w:r>
          </w:p>
        </w:tc>
        <w:tc>
          <w:tcPr>
            <w:tcW w:w="5607" w:type="dxa"/>
          </w:tcPr>
          <w:p>
            <w:pPr>
              <w:pStyle w:val="TableParagraph"/>
              <w:ind w:left="107" w:right="105"/>
              <w:rPr>
                <w:sz w:val="24"/>
              </w:rPr>
            </w:pPr>
            <w:r>
              <w:rPr>
                <w:sz w:val="24"/>
              </w:rPr>
              <w:t>Kurumumun üst yönetimi afetle ilgili eğitimleri destekler. Afet yönetimi konusunda eğitimleri</w:t>
            </w:r>
          </w:p>
          <w:p>
            <w:pPr>
              <w:pStyle w:val="TableParagraph"/>
              <w:spacing w:line="264" w:lineRule="exact"/>
              <w:ind w:left="107"/>
              <w:rPr>
                <w:sz w:val="24"/>
              </w:rPr>
            </w:pPr>
            <w:r>
              <w:rPr>
                <w:sz w:val="24"/>
              </w:rPr>
              <w:t>yeterlidir.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26</w:t>
            </w:r>
          </w:p>
        </w:tc>
        <w:tc>
          <w:tcPr>
            <w:tcW w:w="5607" w:type="dxa"/>
          </w:tcPr>
          <w:p>
            <w:pPr>
              <w:pStyle w:val="TableParagraph"/>
              <w:spacing w:line="268" w:lineRule="exact"/>
              <w:ind w:left="107"/>
              <w:rPr>
                <w:sz w:val="24"/>
              </w:rPr>
            </w:pPr>
            <w:r>
              <w:rPr>
                <w:sz w:val="24"/>
              </w:rPr>
              <w:t>Kurumumun çalışanları afetlerde müdahale edebilecek</w:t>
            </w:r>
          </w:p>
          <w:p>
            <w:pPr>
              <w:pStyle w:val="TableParagraph"/>
              <w:spacing w:line="264" w:lineRule="exact"/>
              <w:ind w:left="107"/>
              <w:rPr>
                <w:sz w:val="24"/>
              </w:rPr>
            </w:pPr>
            <w:r>
              <w:rPr>
                <w:sz w:val="24"/>
              </w:rPr>
              <w:t>bilgi beceri ve kapasiteye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27</w:t>
            </w:r>
          </w:p>
        </w:tc>
        <w:tc>
          <w:tcPr>
            <w:tcW w:w="5607" w:type="dxa"/>
          </w:tcPr>
          <w:p>
            <w:pPr>
              <w:pStyle w:val="TableParagraph"/>
              <w:spacing w:line="268" w:lineRule="exact"/>
              <w:ind w:left="107"/>
              <w:rPr>
                <w:sz w:val="24"/>
              </w:rPr>
            </w:pPr>
            <w:r>
              <w:rPr>
                <w:sz w:val="24"/>
              </w:rPr>
              <w:t>Kurumumun afette birlikte çalışacağı kurumlarla</w:t>
            </w:r>
          </w:p>
          <w:p>
            <w:pPr>
              <w:pStyle w:val="TableParagraph"/>
              <w:spacing w:line="270" w:lineRule="atLeast"/>
              <w:ind w:left="107" w:right="358"/>
              <w:rPr>
                <w:sz w:val="24"/>
              </w:rPr>
            </w:pPr>
            <w:r>
              <w:rPr>
                <w:sz w:val="24"/>
              </w:rPr>
              <w:t>sürekli eğitim ve tatbikatlar düzenleyerek kurumların imkan ve kabiliyetlerini iyice tanımıştır.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bl>
    <w:p>
      <w:pPr>
        <w:spacing w:after="0"/>
        <w:rPr>
          <w:rFonts w:ascii="DejaVu Sans" w:hAnsi="DejaVu Sans"/>
          <w:sz w:val="28"/>
        </w:rPr>
        <w:sectPr>
          <w:pgSz w:w="11910" w:h="16840"/>
          <w:pgMar w:header="0" w:footer="976" w:top="1580" w:bottom="1160" w:left="1140" w:right="520"/>
        </w:sectPr>
      </w:pPr>
    </w:p>
    <w:p>
      <w:pPr>
        <w:pStyle w:val="BodyText"/>
        <w:spacing w:before="11"/>
        <w:rPr>
          <w:sz w:val="8"/>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6"/>
        <w:gridCol w:w="5607"/>
        <w:gridCol w:w="634"/>
        <w:gridCol w:w="506"/>
        <w:gridCol w:w="420"/>
        <w:gridCol w:w="425"/>
        <w:gridCol w:w="672"/>
      </w:tblGrid>
      <w:tr>
        <w:trPr>
          <w:trHeight w:val="1103" w:hRule="atLeast"/>
        </w:trPr>
        <w:tc>
          <w:tcPr>
            <w:tcW w:w="456" w:type="dxa"/>
          </w:tcPr>
          <w:p>
            <w:pPr>
              <w:pStyle w:val="TableParagraph"/>
              <w:rPr>
                <w:sz w:val="24"/>
              </w:rPr>
            </w:pPr>
          </w:p>
        </w:tc>
        <w:tc>
          <w:tcPr>
            <w:tcW w:w="5607" w:type="dxa"/>
          </w:tcPr>
          <w:p>
            <w:pPr>
              <w:pStyle w:val="TableParagraph"/>
              <w:spacing w:line="276" w:lineRule="exact"/>
              <w:ind w:left="237" w:right="232" w:firstLine="2"/>
              <w:jc w:val="center"/>
              <w:rPr>
                <w:b/>
                <w:sz w:val="24"/>
              </w:rPr>
            </w:pPr>
            <w:r>
              <w:rPr>
                <w:b/>
                <w:sz w:val="24"/>
              </w:rPr>
              <w:t>KBRN ( KİMYASAL, BİYOLOJİK, NÜKLEER, RADYOAKTİF) OLAYLARLA VE TEHLİKELİ MADDELERE MÜDAHALE İLGİLİ ANKET 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551" w:hRule="atLeast"/>
        </w:trPr>
        <w:tc>
          <w:tcPr>
            <w:tcW w:w="456" w:type="dxa"/>
          </w:tcPr>
          <w:p>
            <w:pPr>
              <w:pStyle w:val="TableParagraph"/>
              <w:spacing w:line="268" w:lineRule="exact"/>
              <w:ind w:right="96"/>
              <w:jc w:val="right"/>
              <w:rPr>
                <w:sz w:val="24"/>
              </w:rPr>
            </w:pPr>
            <w:r>
              <w:rPr>
                <w:sz w:val="24"/>
              </w:rPr>
              <w:t>28</w:t>
            </w:r>
          </w:p>
        </w:tc>
        <w:tc>
          <w:tcPr>
            <w:tcW w:w="5607" w:type="dxa"/>
          </w:tcPr>
          <w:p>
            <w:pPr>
              <w:pStyle w:val="TableParagraph"/>
              <w:spacing w:line="268" w:lineRule="exact"/>
              <w:ind w:left="107"/>
              <w:rPr>
                <w:sz w:val="24"/>
              </w:rPr>
            </w:pPr>
            <w:r>
              <w:rPr>
                <w:sz w:val="24"/>
              </w:rPr>
              <w:t>Kurumumuzda ismi ve menşei belli olmayan herhangi</w:t>
            </w:r>
          </w:p>
          <w:p>
            <w:pPr>
              <w:pStyle w:val="TableParagraph"/>
              <w:spacing w:line="264" w:lineRule="exact"/>
              <w:ind w:left="107"/>
              <w:rPr>
                <w:sz w:val="24"/>
              </w:rPr>
            </w:pPr>
            <w:r>
              <w:rPr>
                <w:sz w:val="24"/>
              </w:rPr>
              <w:t>bir tehlikeli madde bulunmaktadır.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29</w:t>
            </w:r>
          </w:p>
        </w:tc>
        <w:tc>
          <w:tcPr>
            <w:tcW w:w="5607" w:type="dxa"/>
          </w:tcPr>
          <w:p>
            <w:pPr>
              <w:pStyle w:val="TableParagraph"/>
              <w:spacing w:line="268" w:lineRule="exact"/>
              <w:ind w:left="107"/>
              <w:rPr>
                <w:sz w:val="24"/>
              </w:rPr>
            </w:pPr>
            <w:r>
              <w:rPr>
                <w:sz w:val="24"/>
              </w:rPr>
              <w:t>Herhangi bir KBRN olayı meydana gelmesi</w:t>
            </w:r>
          </w:p>
          <w:p>
            <w:pPr>
              <w:pStyle w:val="TableParagraph"/>
              <w:spacing w:line="270" w:lineRule="atLeast"/>
              <w:ind w:left="107"/>
              <w:rPr>
                <w:sz w:val="24"/>
              </w:rPr>
            </w:pPr>
            <w:r>
              <w:rPr>
                <w:sz w:val="24"/>
              </w:rPr>
              <w:t>durumunda, kurumum çalışanları gerekli müdahaleyi yapacak bilgi ve beceriye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30</w:t>
            </w:r>
          </w:p>
        </w:tc>
        <w:tc>
          <w:tcPr>
            <w:tcW w:w="5607" w:type="dxa"/>
          </w:tcPr>
          <w:p>
            <w:pPr>
              <w:pStyle w:val="TableParagraph"/>
              <w:spacing w:line="268" w:lineRule="exact"/>
              <w:ind w:left="107"/>
              <w:rPr>
                <w:sz w:val="24"/>
              </w:rPr>
            </w:pPr>
            <w:r>
              <w:rPr>
                <w:sz w:val="24"/>
              </w:rPr>
              <w:t>Bir KBRN olayında kurumum müdahalenin</w:t>
            </w:r>
          </w:p>
          <w:p>
            <w:pPr>
              <w:pStyle w:val="TableParagraph"/>
              <w:spacing w:line="264" w:lineRule="exact"/>
              <w:ind w:left="107"/>
              <w:rPr>
                <w:sz w:val="24"/>
              </w:rPr>
            </w:pPr>
            <w:r>
              <w:rPr>
                <w:sz w:val="24"/>
              </w:rPr>
              <w:t>yapılabilmesi için gerekli kapasiteye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8" w:hRule="atLeast"/>
        </w:trPr>
        <w:tc>
          <w:tcPr>
            <w:tcW w:w="456" w:type="dxa"/>
          </w:tcPr>
          <w:p>
            <w:pPr>
              <w:pStyle w:val="TableParagraph"/>
              <w:spacing w:line="268" w:lineRule="exact"/>
              <w:ind w:right="96"/>
              <w:jc w:val="right"/>
              <w:rPr>
                <w:sz w:val="24"/>
              </w:rPr>
            </w:pPr>
            <w:r>
              <w:rPr>
                <w:sz w:val="24"/>
              </w:rPr>
              <w:t>31</w:t>
            </w:r>
          </w:p>
        </w:tc>
        <w:tc>
          <w:tcPr>
            <w:tcW w:w="5607" w:type="dxa"/>
          </w:tcPr>
          <w:p>
            <w:pPr>
              <w:pStyle w:val="TableParagraph"/>
              <w:ind w:left="107" w:right="171"/>
              <w:rPr>
                <w:sz w:val="24"/>
              </w:rPr>
            </w:pPr>
            <w:r>
              <w:rPr>
                <w:sz w:val="24"/>
              </w:rPr>
              <w:t>Kurumumuzun tatbikatlarla uygulanabilirliği denenmiş ve gerekli malzeme temini yapılmış bir KBRN planı</w:t>
            </w:r>
          </w:p>
          <w:p>
            <w:pPr>
              <w:pStyle w:val="TableParagraph"/>
              <w:spacing w:line="264" w:lineRule="exact"/>
              <w:ind w:left="107"/>
              <w:rPr>
                <w:sz w:val="24"/>
              </w:rPr>
            </w:pPr>
            <w:r>
              <w:rPr>
                <w:sz w:val="24"/>
              </w:rPr>
              <w:t>vardır.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30" w:hRule="atLeast"/>
        </w:trPr>
        <w:tc>
          <w:tcPr>
            <w:tcW w:w="456" w:type="dxa"/>
          </w:tcPr>
          <w:p>
            <w:pPr>
              <w:pStyle w:val="TableParagraph"/>
              <w:spacing w:line="270" w:lineRule="exact"/>
              <w:ind w:right="96"/>
              <w:jc w:val="right"/>
              <w:rPr>
                <w:sz w:val="24"/>
              </w:rPr>
            </w:pPr>
            <w:r>
              <w:rPr>
                <w:sz w:val="24"/>
              </w:rPr>
              <w:t>32</w:t>
            </w:r>
          </w:p>
        </w:tc>
        <w:tc>
          <w:tcPr>
            <w:tcW w:w="5607" w:type="dxa"/>
          </w:tcPr>
          <w:p>
            <w:pPr>
              <w:pStyle w:val="TableParagraph"/>
              <w:ind w:left="107" w:right="378"/>
              <w:rPr>
                <w:sz w:val="24"/>
              </w:rPr>
            </w:pPr>
            <w:r>
              <w:rPr>
                <w:sz w:val="24"/>
              </w:rPr>
              <w:t>Kurumumuzda kullanılmakta olan tehlikeli maddeler belirlenerek risk oluşturmalarına karşı gerekli önlem</w:t>
            </w:r>
          </w:p>
          <w:p>
            <w:pPr>
              <w:pStyle w:val="TableParagraph"/>
              <w:spacing w:line="264" w:lineRule="exact"/>
              <w:ind w:left="107"/>
              <w:rPr>
                <w:sz w:val="24"/>
              </w:rPr>
            </w:pPr>
            <w:r>
              <w:rPr>
                <w:sz w:val="24"/>
              </w:rPr>
              <w:t>alınmıştır.</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33</w:t>
            </w:r>
          </w:p>
        </w:tc>
        <w:tc>
          <w:tcPr>
            <w:tcW w:w="5607" w:type="dxa"/>
          </w:tcPr>
          <w:p>
            <w:pPr>
              <w:pStyle w:val="TableParagraph"/>
              <w:spacing w:line="268" w:lineRule="exact"/>
              <w:ind w:left="107"/>
              <w:rPr>
                <w:sz w:val="24"/>
              </w:rPr>
            </w:pPr>
            <w:r>
              <w:rPr>
                <w:sz w:val="24"/>
              </w:rPr>
              <w:t>Kurumum bir KBRN olayında birlikte çalışacağı</w:t>
            </w:r>
          </w:p>
          <w:p>
            <w:pPr>
              <w:pStyle w:val="TableParagraph"/>
              <w:spacing w:line="270" w:lineRule="atLeast"/>
              <w:ind w:left="107" w:right="218"/>
              <w:rPr>
                <w:sz w:val="24"/>
              </w:rPr>
            </w:pPr>
            <w:r>
              <w:rPr>
                <w:sz w:val="24"/>
              </w:rPr>
              <w:t>kurumları yeterli derecede tanımakta birlikte eğitim ve tatbikat yaparak işbirliği geliştirmektedir.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3035" w:hRule="atLeast"/>
        </w:trPr>
        <w:tc>
          <w:tcPr>
            <w:tcW w:w="456" w:type="dxa"/>
          </w:tcPr>
          <w:p>
            <w:pPr>
              <w:pStyle w:val="TableParagraph"/>
              <w:rPr>
                <w:sz w:val="24"/>
              </w:rPr>
            </w:pPr>
          </w:p>
        </w:tc>
        <w:tc>
          <w:tcPr>
            <w:tcW w:w="5607" w:type="dxa"/>
          </w:tcPr>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rPr>
                <w:sz w:val="26"/>
              </w:rPr>
            </w:pPr>
          </w:p>
          <w:p>
            <w:pPr>
              <w:pStyle w:val="TableParagraph"/>
              <w:spacing w:before="8"/>
              <w:rPr>
                <w:sz w:val="33"/>
              </w:rPr>
            </w:pPr>
          </w:p>
          <w:p>
            <w:pPr>
              <w:pStyle w:val="TableParagraph"/>
              <w:spacing w:line="270" w:lineRule="atLeast"/>
              <w:ind w:left="2170" w:hanging="1422"/>
              <w:rPr>
                <w:b/>
                <w:sz w:val="24"/>
              </w:rPr>
            </w:pPr>
            <w:r>
              <w:rPr>
                <w:b/>
                <w:sz w:val="24"/>
              </w:rPr>
              <w:t>KOORDİNASYONLA İLGİLİ ANKET SORULARI</w:t>
            </w:r>
          </w:p>
        </w:tc>
        <w:tc>
          <w:tcPr>
            <w:tcW w:w="634" w:type="dxa"/>
            <w:textDirection w:val="tbRl"/>
          </w:tcPr>
          <w:p>
            <w:pPr>
              <w:pStyle w:val="TableParagraph"/>
              <w:spacing w:before="99"/>
              <w:ind w:left="112"/>
              <w:rPr>
                <w:b/>
                <w:sz w:val="24"/>
              </w:rPr>
            </w:pPr>
            <w:r>
              <w:rPr>
                <w:b/>
                <w:sz w:val="24"/>
              </w:rPr>
              <w:t>Kesinlikle katılıyorum</w:t>
            </w:r>
          </w:p>
        </w:tc>
        <w:tc>
          <w:tcPr>
            <w:tcW w:w="506" w:type="dxa"/>
            <w:textDirection w:val="tbRl"/>
          </w:tcPr>
          <w:p>
            <w:pPr>
              <w:pStyle w:val="TableParagraph"/>
              <w:spacing w:before="98"/>
              <w:ind w:left="112"/>
              <w:rPr>
                <w:b/>
                <w:sz w:val="24"/>
              </w:rPr>
            </w:pPr>
            <w:r>
              <w:rPr>
                <w:b/>
                <w:sz w:val="24"/>
              </w:rPr>
              <w:t>Katılıyorum</w:t>
            </w:r>
          </w:p>
        </w:tc>
        <w:tc>
          <w:tcPr>
            <w:tcW w:w="420" w:type="dxa"/>
            <w:textDirection w:val="tbRl"/>
          </w:tcPr>
          <w:p>
            <w:pPr>
              <w:pStyle w:val="TableParagraph"/>
              <w:spacing w:before="98"/>
              <w:ind w:left="112"/>
              <w:rPr>
                <w:b/>
                <w:sz w:val="24"/>
              </w:rPr>
            </w:pPr>
            <w:r>
              <w:rPr>
                <w:b/>
                <w:sz w:val="24"/>
              </w:rPr>
              <w:t>Kararsızım</w:t>
            </w:r>
          </w:p>
        </w:tc>
        <w:tc>
          <w:tcPr>
            <w:tcW w:w="425" w:type="dxa"/>
            <w:textDirection w:val="tbRl"/>
          </w:tcPr>
          <w:p>
            <w:pPr>
              <w:pStyle w:val="TableParagraph"/>
              <w:spacing w:before="101"/>
              <w:ind w:left="112"/>
              <w:rPr>
                <w:b/>
                <w:sz w:val="24"/>
              </w:rPr>
            </w:pPr>
            <w:r>
              <w:rPr>
                <w:b/>
                <w:sz w:val="24"/>
              </w:rPr>
              <w:t>Katılmıyorum</w:t>
            </w:r>
          </w:p>
        </w:tc>
        <w:tc>
          <w:tcPr>
            <w:tcW w:w="672" w:type="dxa"/>
            <w:textDirection w:val="tbRl"/>
          </w:tcPr>
          <w:p>
            <w:pPr>
              <w:pStyle w:val="TableParagraph"/>
              <w:spacing w:before="96"/>
              <w:ind w:left="112"/>
              <w:rPr>
                <w:b/>
                <w:sz w:val="24"/>
              </w:rPr>
            </w:pPr>
            <w:r>
              <w:rPr>
                <w:b/>
                <w:sz w:val="24"/>
              </w:rPr>
              <w:t>Ke sinlikle katılmıyorum</w:t>
            </w:r>
          </w:p>
        </w:tc>
      </w:tr>
      <w:tr>
        <w:trPr>
          <w:trHeight w:val="827" w:hRule="atLeast"/>
        </w:trPr>
        <w:tc>
          <w:tcPr>
            <w:tcW w:w="456" w:type="dxa"/>
          </w:tcPr>
          <w:p>
            <w:pPr>
              <w:pStyle w:val="TableParagraph"/>
              <w:spacing w:line="268" w:lineRule="exact"/>
              <w:ind w:right="96"/>
              <w:jc w:val="right"/>
              <w:rPr>
                <w:sz w:val="24"/>
              </w:rPr>
            </w:pPr>
            <w:r>
              <w:rPr>
                <w:sz w:val="24"/>
              </w:rPr>
              <w:t>34</w:t>
            </w:r>
          </w:p>
        </w:tc>
        <w:tc>
          <w:tcPr>
            <w:tcW w:w="5607" w:type="dxa"/>
          </w:tcPr>
          <w:p>
            <w:pPr>
              <w:pStyle w:val="TableParagraph"/>
              <w:spacing w:line="268" w:lineRule="exact"/>
              <w:ind w:left="107"/>
              <w:rPr>
                <w:sz w:val="24"/>
              </w:rPr>
            </w:pPr>
            <w:r>
              <w:rPr>
                <w:sz w:val="24"/>
              </w:rPr>
              <w:t>Kurumum bir afet durumunda, diğer kurumlarla</w:t>
            </w:r>
          </w:p>
          <w:p>
            <w:pPr>
              <w:pStyle w:val="TableParagraph"/>
              <w:spacing w:line="270" w:lineRule="atLeast"/>
              <w:ind w:left="107" w:right="1078"/>
              <w:rPr>
                <w:sz w:val="24"/>
              </w:rPr>
            </w:pPr>
            <w:r>
              <w:rPr>
                <w:sz w:val="24"/>
              </w:rPr>
              <w:t>koordinasyonu sağlayabilecek bilgi, beceri ve kabiliyete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35</w:t>
            </w:r>
          </w:p>
        </w:tc>
        <w:tc>
          <w:tcPr>
            <w:tcW w:w="5607" w:type="dxa"/>
          </w:tcPr>
          <w:p>
            <w:pPr>
              <w:pStyle w:val="TableParagraph"/>
              <w:spacing w:line="268" w:lineRule="exact"/>
              <w:ind w:left="107"/>
              <w:rPr>
                <w:sz w:val="24"/>
              </w:rPr>
            </w:pPr>
            <w:r>
              <w:rPr>
                <w:sz w:val="24"/>
              </w:rPr>
              <w:t>Diğer kurumlarla birlikte görev yapacak kurumumuz</w:t>
            </w:r>
          </w:p>
          <w:p>
            <w:pPr>
              <w:pStyle w:val="TableParagraph"/>
              <w:spacing w:line="270" w:lineRule="atLeast"/>
              <w:ind w:left="107" w:right="105"/>
              <w:rPr>
                <w:sz w:val="24"/>
              </w:rPr>
            </w:pPr>
            <w:r>
              <w:rPr>
                <w:sz w:val="24"/>
              </w:rPr>
              <w:t>personeli çalışacağı kurumların imkân ve kabiliyetlerini iyice tanımışlardır.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2" w:hRule="atLeast"/>
        </w:trPr>
        <w:tc>
          <w:tcPr>
            <w:tcW w:w="456" w:type="dxa"/>
          </w:tcPr>
          <w:p>
            <w:pPr>
              <w:pStyle w:val="TableParagraph"/>
              <w:spacing w:line="268" w:lineRule="exact"/>
              <w:ind w:right="96"/>
              <w:jc w:val="right"/>
              <w:rPr>
                <w:sz w:val="24"/>
              </w:rPr>
            </w:pPr>
            <w:r>
              <w:rPr>
                <w:sz w:val="24"/>
              </w:rPr>
              <w:t>36</w:t>
            </w:r>
          </w:p>
        </w:tc>
        <w:tc>
          <w:tcPr>
            <w:tcW w:w="5607" w:type="dxa"/>
          </w:tcPr>
          <w:p>
            <w:pPr>
              <w:pStyle w:val="TableParagraph"/>
              <w:spacing w:line="268" w:lineRule="exact"/>
              <w:ind w:left="107"/>
              <w:rPr>
                <w:sz w:val="24"/>
              </w:rPr>
            </w:pPr>
            <w:r>
              <w:rPr>
                <w:sz w:val="24"/>
              </w:rPr>
              <w:t>Kurumumuzun afette zarar görmesi halinde öncelikle</w:t>
            </w:r>
          </w:p>
          <w:p>
            <w:pPr>
              <w:pStyle w:val="TableParagraph"/>
              <w:spacing w:line="264" w:lineRule="exact"/>
              <w:ind w:left="107"/>
              <w:rPr>
                <w:sz w:val="24"/>
              </w:rPr>
            </w:pPr>
            <w:r>
              <w:rPr>
                <w:sz w:val="24"/>
              </w:rPr>
              <w:t>kimlerden nasıl yardım isteneceğini planlamıştır.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37</w:t>
            </w:r>
          </w:p>
        </w:tc>
        <w:tc>
          <w:tcPr>
            <w:tcW w:w="5607" w:type="dxa"/>
          </w:tcPr>
          <w:p>
            <w:pPr>
              <w:pStyle w:val="TableParagraph"/>
              <w:ind w:left="107" w:right="178"/>
              <w:rPr>
                <w:sz w:val="24"/>
              </w:rPr>
            </w:pPr>
            <w:r>
              <w:rPr>
                <w:sz w:val="24"/>
              </w:rPr>
              <w:t>Kurumumuz afet durumunda gönüllü insan gücü kaynağını kendi kaynaklarına dâhil etmeye dair planlar</w:t>
            </w:r>
          </w:p>
          <w:p>
            <w:pPr>
              <w:pStyle w:val="TableParagraph"/>
              <w:spacing w:line="264" w:lineRule="exact"/>
              <w:ind w:left="107"/>
              <w:rPr>
                <w:sz w:val="24"/>
              </w:rPr>
            </w:pPr>
            <w:r>
              <w:rPr>
                <w:sz w:val="24"/>
              </w:rPr>
              <w:t>yapmıştır.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70" w:lineRule="exact"/>
              <w:ind w:right="96"/>
              <w:jc w:val="right"/>
              <w:rPr>
                <w:sz w:val="24"/>
              </w:rPr>
            </w:pPr>
            <w:r>
              <w:rPr>
                <w:sz w:val="24"/>
              </w:rPr>
              <w:t>38</w:t>
            </w:r>
          </w:p>
        </w:tc>
        <w:tc>
          <w:tcPr>
            <w:tcW w:w="5607" w:type="dxa"/>
          </w:tcPr>
          <w:p>
            <w:pPr>
              <w:pStyle w:val="TableParagraph"/>
              <w:spacing w:line="237" w:lineRule="auto"/>
              <w:ind w:left="107" w:right="424"/>
              <w:rPr>
                <w:sz w:val="24"/>
              </w:rPr>
            </w:pPr>
            <w:r>
              <w:rPr>
                <w:sz w:val="24"/>
              </w:rPr>
              <w:t>Kurumumuz bir afet durumunda halkı ve kurum personelini doğru şekilde bilgilendirmek için gerekli</w:t>
            </w:r>
          </w:p>
          <w:p>
            <w:pPr>
              <w:pStyle w:val="TableParagraph"/>
              <w:spacing w:line="264" w:lineRule="exact"/>
              <w:ind w:left="107"/>
              <w:rPr>
                <w:sz w:val="24"/>
              </w:rPr>
            </w:pPr>
            <w:r>
              <w:rPr>
                <w:sz w:val="24"/>
              </w:rPr>
              <w:t>çalışmaları yapmıştır.</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554" w:hRule="atLeast"/>
        </w:trPr>
        <w:tc>
          <w:tcPr>
            <w:tcW w:w="456" w:type="dxa"/>
          </w:tcPr>
          <w:p>
            <w:pPr>
              <w:pStyle w:val="TableParagraph"/>
              <w:spacing w:line="270" w:lineRule="exact"/>
              <w:ind w:right="96"/>
              <w:jc w:val="right"/>
              <w:rPr>
                <w:sz w:val="24"/>
              </w:rPr>
            </w:pPr>
            <w:r>
              <w:rPr>
                <w:sz w:val="24"/>
              </w:rPr>
              <w:t>39</w:t>
            </w:r>
          </w:p>
        </w:tc>
        <w:tc>
          <w:tcPr>
            <w:tcW w:w="5607" w:type="dxa"/>
          </w:tcPr>
          <w:p>
            <w:pPr>
              <w:pStyle w:val="TableParagraph"/>
              <w:spacing w:line="270" w:lineRule="exact"/>
              <w:ind w:left="107"/>
              <w:rPr>
                <w:sz w:val="24"/>
              </w:rPr>
            </w:pPr>
            <w:r>
              <w:rPr>
                <w:sz w:val="24"/>
              </w:rPr>
              <w:t>Kurumumuz temel acil durum yönetimi prosedürlerini</w:t>
            </w:r>
          </w:p>
          <w:p>
            <w:pPr>
              <w:pStyle w:val="TableParagraph"/>
              <w:spacing w:line="264" w:lineRule="exact"/>
              <w:ind w:left="107"/>
              <w:rPr>
                <w:sz w:val="24"/>
              </w:rPr>
            </w:pPr>
            <w:r>
              <w:rPr>
                <w:sz w:val="24"/>
              </w:rPr>
              <w:t>(insanları toplu bir şekilde bir yerden tahliye, geçici</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bl>
    <w:p>
      <w:pPr>
        <w:spacing w:after="0"/>
        <w:rPr>
          <w:rFonts w:ascii="DejaVu Sans" w:hAnsi="DejaVu Sans"/>
          <w:sz w:val="28"/>
        </w:rPr>
        <w:sectPr>
          <w:pgSz w:w="11910" w:h="16840"/>
          <w:pgMar w:header="0" w:footer="976" w:top="1580" w:bottom="1160" w:left="1140" w:right="520"/>
        </w:sectPr>
      </w:pPr>
    </w:p>
    <w:p>
      <w:pPr>
        <w:pStyle w:val="BodyText"/>
        <w:spacing w:before="11"/>
        <w:rPr>
          <w:sz w:val="8"/>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6"/>
        <w:gridCol w:w="5607"/>
        <w:gridCol w:w="634"/>
        <w:gridCol w:w="506"/>
        <w:gridCol w:w="420"/>
        <w:gridCol w:w="425"/>
        <w:gridCol w:w="672"/>
      </w:tblGrid>
      <w:tr>
        <w:trPr>
          <w:trHeight w:val="552" w:hRule="atLeast"/>
        </w:trPr>
        <w:tc>
          <w:tcPr>
            <w:tcW w:w="456" w:type="dxa"/>
          </w:tcPr>
          <w:p>
            <w:pPr>
              <w:pStyle w:val="TableParagraph"/>
              <w:rPr>
                <w:sz w:val="24"/>
              </w:rPr>
            </w:pPr>
          </w:p>
        </w:tc>
        <w:tc>
          <w:tcPr>
            <w:tcW w:w="5607" w:type="dxa"/>
          </w:tcPr>
          <w:p>
            <w:pPr>
              <w:pStyle w:val="TableParagraph"/>
              <w:spacing w:line="268" w:lineRule="exact"/>
              <w:ind w:left="107"/>
              <w:rPr>
                <w:sz w:val="24"/>
              </w:rPr>
            </w:pPr>
            <w:r>
              <w:rPr>
                <w:sz w:val="24"/>
              </w:rPr>
              <w:t>iskân sağlama, erken uyarı sistemleriyle uyarma, vb.)</w:t>
            </w:r>
          </w:p>
          <w:p>
            <w:pPr>
              <w:pStyle w:val="TableParagraph"/>
              <w:spacing w:line="264" w:lineRule="exact"/>
              <w:ind w:left="107"/>
              <w:rPr>
                <w:sz w:val="24"/>
              </w:rPr>
            </w:pPr>
            <w:r>
              <w:rPr>
                <w:sz w:val="24"/>
              </w:rPr>
              <w:t>ihtiyaç duyduğunda icra edebilir.</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1103" w:hRule="atLeast"/>
        </w:trPr>
        <w:tc>
          <w:tcPr>
            <w:tcW w:w="456" w:type="dxa"/>
          </w:tcPr>
          <w:p>
            <w:pPr>
              <w:pStyle w:val="TableParagraph"/>
              <w:spacing w:line="268" w:lineRule="exact"/>
              <w:ind w:right="96"/>
              <w:jc w:val="right"/>
              <w:rPr>
                <w:sz w:val="24"/>
              </w:rPr>
            </w:pPr>
            <w:r>
              <w:rPr>
                <w:sz w:val="24"/>
              </w:rPr>
              <w:t>40</w:t>
            </w:r>
          </w:p>
        </w:tc>
        <w:tc>
          <w:tcPr>
            <w:tcW w:w="5607" w:type="dxa"/>
          </w:tcPr>
          <w:p>
            <w:pPr>
              <w:pStyle w:val="TableParagraph"/>
              <w:ind w:left="107" w:right="105"/>
              <w:rPr>
                <w:sz w:val="24"/>
              </w:rPr>
            </w:pPr>
            <w:r>
              <w:rPr>
                <w:sz w:val="24"/>
              </w:rPr>
              <w:t>Olay yerinde kurumumun ve diğer kurumların görevlileri koordineli şekilde çalışırlar. Kritik</w:t>
            </w:r>
          </w:p>
          <w:p>
            <w:pPr>
              <w:pStyle w:val="TableParagraph"/>
              <w:spacing w:line="270" w:lineRule="atLeast"/>
              <w:ind w:left="107" w:right="731"/>
              <w:rPr>
                <w:sz w:val="24"/>
              </w:rPr>
            </w:pPr>
            <w:r>
              <w:rPr>
                <w:sz w:val="24"/>
              </w:rPr>
              <w:t>safhalardaki bu kollektif çalışmaya kimin liderlik edeceği problem oluşturmaz.</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rPr>
                <w:sz w:val="24"/>
              </w:rPr>
            </w:pPr>
          </w:p>
        </w:tc>
        <w:tc>
          <w:tcPr>
            <w:tcW w:w="5607" w:type="dxa"/>
          </w:tcPr>
          <w:p>
            <w:pPr>
              <w:pStyle w:val="TableParagraph"/>
              <w:spacing w:line="272" w:lineRule="exact"/>
              <w:ind w:left="193" w:right="187"/>
              <w:jc w:val="center"/>
              <w:rPr>
                <w:b/>
                <w:sz w:val="24"/>
              </w:rPr>
            </w:pPr>
            <w:r>
              <w:rPr>
                <w:b/>
                <w:sz w:val="24"/>
              </w:rPr>
              <w:t>PERSONEL VE YÖNETİCİLER HAKKINDAKİ</w:t>
            </w:r>
          </w:p>
          <w:p>
            <w:pPr>
              <w:pStyle w:val="TableParagraph"/>
              <w:spacing w:line="259" w:lineRule="exact"/>
              <w:ind w:left="191" w:right="187"/>
              <w:jc w:val="center"/>
              <w:rPr>
                <w:b/>
                <w:sz w:val="24"/>
              </w:rPr>
            </w:pPr>
            <w:r>
              <w:rPr>
                <w:b/>
                <w:sz w:val="24"/>
              </w:rPr>
              <w:t>ANKET 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551" w:hRule="atLeast"/>
        </w:trPr>
        <w:tc>
          <w:tcPr>
            <w:tcW w:w="456" w:type="dxa"/>
          </w:tcPr>
          <w:p>
            <w:pPr>
              <w:pStyle w:val="TableParagraph"/>
              <w:spacing w:line="268" w:lineRule="exact"/>
              <w:ind w:right="96"/>
              <w:jc w:val="right"/>
              <w:rPr>
                <w:sz w:val="24"/>
              </w:rPr>
            </w:pPr>
            <w:r>
              <w:rPr>
                <w:sz w:val="24"/>
              </w:rPr>
              <w:t>41</w:t>
            </w:r>
          </w:p>
        </w:tc>
        <w:tc>
          <w:tcPr>
            <w:tcW w:w="5607" w:type="dxa"/>
          </w:tcPr>
          <w:p>
            <w:pPr>
              <w:pStyle w:val="TableParagraph"/>
              <w:spacing w:line="268" w:lineRule="exact"/>
              <w:ind w:left="107"/>
              <w:rPr>
                <w:sz w:val="24"/>
              </w:rPr>
            </w:pPr>
            <w:r>
              <w:rPr>
                <w:sz w:val="24"/>
              </w:rPr>
              <w:t>Bir afet durumunda kurumumun yöneticileri, Afeti</w:t>
            </w:r>
          </w:p>
          <w:p>
            <w:pPr>
              <w:pStyle w:val="TableParagraph"/>
              <w:spacing w:line="264" w:lineRule="exact"/>
              <w:ind w:left="107"/>
              <w:rPr>
                <w:sz w:val="24"/>
              </w:rPr>
            </w:pPr>
            <w:r>
              <w:rPr>
                <w:sz w:val="24"/>
              </w:rPr>
              <w:t>yönetebilecek bilgi ve beceriye sahiptirler.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5" w:hRule="atLeast"/>
        </w:trPr>
        <w:tc>
          <w:tcPr>
            <w:tcW w:w="456" w:type="dxa"/>
            <w:tcBorders>
              <w:bottom w:val="single" w:sz="6" w:space="0" w:color="000000"/>
            </w:tcBorders>
          </w:tcPr>
          <w:p>
            <w:pPr>
              <w:pStyle w:val="TableParagraph"/>
              <w:spacing w:line="268" w:lineRule="exact"/>
              <w:ind w:right="96"/>
              <w:jc w:val="right"/>
              <w:rPr>
                <w:sz w:val="24"/>
              </w:rPr>
            </w:pPr>
            <w:r>
              <w:rPr>
                <w:sz w:val="24"/>
              </w:rPr>
              <w:t>42</w:t>
            </w:r>
          </w:p>
        </w:tc>
        <w:tc>
          <w:tcPr>
            <w:tcW w:w="5607" w:type="dxa"/>
            <w:tcBorders>
              <w:bottom w:val="single" w:sz="6" w:space="0" w:color="000000"/>
            </w:tcBorders>
          </w:tcPr>
          <w:p>
            <w:pPr>
              <w:pStyle w:val="TableParagraph"/>
              <w:ind w:left="107"/>
              <w:rPr>
                <w:sz w:val="24"/>
              </w:rPr>
            </w:pPr>
            <w:r>
              <w:rPr>
                <w:sz w:val="24"/>
              </w:rPr>
              <w:t>Afette görevi olan personel görevini net ve ayrıntılı olarak bilmektedir. Görevini yerine getirebilecek bilgi</w:t>
            </w:r>
          </w:p>
          <w:p>
            <w:pPr>
              <w:pStyle w:val="TableParagraph"/>
              <w:spacing w:line="262" w:lineRule="exact"/>
              <w:ind w:left="107"/>
              <w:rPr>
                <w:sz w:val="24"/>
              </w:rPr>
            </w:pPr>
            <w:r>
              <w:rPr>
                <w:sz w:val="24"/>
              </w:rPr>
              <w:t>ve beceriye sahiptir.</w:t>
            </w:r>
          </w:p>
        </w:tc>
        <w:tc>
          <w:tcPr>
            <w:tcW w:w="634" w:type="dxa"/>
            <w:tcBorders>
              <w:bottom w:val="single" w:sz="6" w:space="0" w:color="000000"/>
            </w:tcBorders>
          </w:tcPr>
          <w:p>
            <w:pPr>
              <w:pStyle w:val="TableParagraph"/>
              <w:spacing w:before="20"/>
              <w:ind w:left="108"/>
              <w:rPr>
                <w:rFonts w:ascii="DejaVu Sans" w:hAnsi="DejaVu Sans"/>
                <w:sz w:val="28"/>
              </w:rPr>
            </w:pPr>
            <w:r>
              <w:rPr>
                <w:rFonts w:ascii="DejaVu Sans" w:hAnsi="DejaVu Sans"/>
                <w:w w:val="111"/>
                <w:sz w:val="28"/>
              </w:rPr>
              <w:t>⑤</w:t>
            </w:r>
          </w:p>
        </w:tc>
        <w:tc>
          <w:tcPr>
            <w:tcW w:w="506" w:type="dxa"/>
            <w:tcBorders>
              <w:bottom w:val="single" w:sz="6" w:space="0" w:color="000000"/>
            </w:tcBorders>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Borders>
              <w:bottom w:val="single" w:sz="6" w:space="0" w:color="000000"/>
            </w:tcBorders>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Borders>
              <w:bottom w:val="single" w:sz="6" w:space="0" w:color="000000"/>
            </w:tcBorders>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Borders>
              <w:bottom w:val="single" w:sz="6" w:space="0" w:color="000000"/>
            </w:tcBorders>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Borders>
              <w:top w:val="single" w:sz="6" w:space="0" w:color="000000"/>
            </w:tcBorders>
          </w:tcPr>
          <w:p>
            <w:pPr>
              <w:pStyle w:val="TableParagraph"/>
              <w:spacing w:line="268" w:lineRule="exact"/>
              <w:ind w:right="96"/>
              <w:jc w:val="right"/>
              <w:rPr>
                <w:sz w:val="24"/>
              </w:rPr>
            </w:pPr>
            <w:r>
              <w:rPr>
                <w:sz w:val="24"/>
              </w:rPr>
              <w:t>43</w:t>
            </w:r>
          </w:p>
        </w:tc>
        <w:tc>
          <w:tcPr>
            <w:tcW w:w="5607" w:type="dxa"/>
            <w:tcBorders>
              <w:top w:val="single" w:sz="6" w:space="0" w:color="000000"/>
            </w:tcBorders>
          </w:tcPr>
          <w:p>
            <w:pPr>
              <w:pStyle w:val="TableParagraph"/>
              <w:spacing w:line="268" w:lineRule="exact"/>
              <w:ind w:left="107"/>
              <w:rPr>
                <w:sz w:val="24"/>
              </w:rPr>
            </w:pPr>
            <w:r>
              <w:rPr>
                <w:sz w:val="24"/>
              </w:rPr>
              <w:t>Afet durumunda personelle nasıl haberleşeceği</w:t>
            </w:r>
          </w:p>
          <w:p>
            <w:pPr>
              <w:pStyle w:val="TableParagraph"/>
              <w:spacing w:line="270" w:lineRule="atLeast"/>
              <w:ind w:left="107"/>
              <w:rPr>
                <w:sz w:val="24"/>
              </w:rPr>
            </w:pPr>
            <w:r>
              <w:rPr>
                <w:sz w:val="24"/>
              </w:rPr>
              <w:t>planlanmıştır. Kurumun tüm personeli bu plandan haberdardır.</w:t>
            </w:r>
          </w:p>
        </w:tc>
        <w:tc>
          <w:tcPr>
            <w:tcW w:w="634" w:type="dxa"/>
            <w:tcBorders>
              <w:top w:val="single" w:sz="6" w:space="0" w:color="000000"/>
            </w:tcBorders>
          </w:tcPr>
          <w:p>
            <w:pPr>
              <w:pStyle w:val="TableParagraph"/>
              <w:spacing w:before="21"/>
              <w:ind w:left="108"/>
              <w:rPr>
                <w:rFonts w:ascii="DejaVu Sans" w:hAnsi="DejaVu Sans"/>
                <w:sz w:val="28"/>
              </w:rPr>
            </w:pPr>
            <w:r>
              <w:rPr>
                <w:rFonts w:ascii="DejaVu Sans" w:hAnsi="DejaVu Sans"/>
                <w:w w:val="111"/>
                <w:sz w:val="28"/>
              </w:rPr>
              <w:t>⑤</w:t>
            </w:r>
          </w:p>
        </w:tc>
        <w:tc>
          <w:tcPr>
            <w:tcW w:w="506" w:type="dxa"/>
            <w:tcBorders>
              <w:top w:val="single" w:sz="6" w:space="0" w:color="000000"/>
            </w:tcBorders>
          </w:tcPr>
          <w:p>
            <w:pPr>
              <w:pStyle w:val="TableParagraph"/>
              <w:spacing w:before="21"/>
              <w:ind w:left="1"/>
              <w:jc w:val="center"/>
              <w:rPr>
                <w:rFonts w:ascii="DejaVu Sans" w:hAnsi="DejaVu Sans"/>
                <w:sz w:val="28"/>
              </w:rPr>
            </w:pPr>
            <w:r>
              <w:rPr>
                <w:rFonts w:ascii="DejaVu Sans" w:hAnsi="DejaVu Sans"/>
                <w:w w:val="111"/>
                <w:sz w:val="28"/>
              </w:rPr>
              <w:t>④</w:t>
            </w:r>
          </w:p>
        </w:tc>
        <w:tc>
          <w:tcPr>
            <w:tcW w:w="420" w:type="dxa"/>
            <w:tcBorders>
              <w:top w:val="single" w:sz="6" w:space="0" w:color="000000"/>
            </w:tcBorders>
          </w:tcPr>
          <w:p>
            <w:pPr>
              <w:pStyle w:val="TableParagraph"/>
              <w:spacing w:before="21"/>
              <w:ind w:right="18"/>
              <w:jc w:val="right"/>
              <w:rPr>
                <w:rFonts w:ascii="DejaVu Sans" w:hAnsi="DejaVu Sans"/>
                <w:sz w:val="28"/>
              </w:rPr>
            </w:pPr>
            <w:r>
              <w:rPr>
                <w:rFonts w:ascii="DejaVu Sans" w:hAnsi="DejaVu Sans"/>
                <w:w w:val="111"/>
                <w:sz w:val="28"/>
              </w:rPr>
              <w:t>③</w:t>
            </w:r>
          </w:p>
        </w:tc>
        <w:tc>
          <w:tcPr>
            <w:tcW w:w="425" w:type="dxa"/>
            <w:tcBorders>
              <w:top w:val="single" w:sz="6" w:space="0" w:color="000000"/>
            </w:tcBorders>
          </w:tcPr>
          <w:p>
            <w:pPr>
              <w:pStyle w:val="TableParagraph"/>
              <w:spacing w:before="21"/>
              <w:ind w:right="25"/>
              <w:jc w:val="right"/>
              <w:rPr>
                <w:rFonts w:ascii="DejaVu Sans" w:hAnsi="DejaVu Sans"/>
                <w:sz w:val="28"/>
              </w:rPr>
            </w:pPr>
            <w:r>
              <w:rPr>
                <w:rFonts w:ascii="DejaVu Sans" w:hAnsi="DejaVu Sans"/>
                <w:w w:val="111"/>
                <w:sz w:val="28"/>
              </w:rPr>
              <w:t>②</w:t>
            </w:r>
          </w:p>
        </w:tc>
        <w:tc>
          <w:tcPr>
            <w:tcW w:w="672" w:type="dxa"/>
            <w:tcBorders>
              <w:top w:val="single" w:sz="6" w:space="0" w:color="000000"/>
            </w:tcBorders>
          </w:tcPr>
          <w:p>
            <w:pPr>
              <w:pStyle w:val="TableParagraph"/>
              <w:spacing w:before="21"/>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44</w:t>
            </w:r>
          </w:p>
        </w:tc>
        <w:tc>
          <w:tcPr>
            <w:tcW w:w="5607" w:type="dxa"/>
          </w:tcPr>
          <w:p>
            <w:pPr>
              <w:pStyle w:val="TableParagraph"/>
              <w:ind w:left="107" w:right="504"/>
              <w:rPr>
                <w:sz w:val="24"/>
              </w:rPr>
            </w:pPr>
            <w:r>
              <w:rPr>
                <w:sz w:val="24"/>
              </w:rPr>
              <w:t>Afet anında görev başında olan personelin ailesi ve yakınları hakkında nasıl bilgi edinebileceği ayrıntılı</w:t>
            </w:r>
          </w:p>
          <w:p>
            <w:pPr>
              <w:pStyle w:val="TableParagraph"/>
              <w:spacing w:line="264" w:lineRule="exact"/>
              <w:ind w:left="107"/>
              <w:rPr>
                <w:sz w:val="24"/>
              </w:rPr>
            </w:pPr>
            <w:r>
              <w:rPr>
                <w:sz w:val="24"/>
              </w:rPr>
              <w:t>olarak düzenlenmiştir.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45</w:t>
            </w:r>
          </w:p>
        </w:tc>
        <w:tc>
          <w:tcPr>
            <w:tcW w:w="5607" w:type="dxa"/>
          </w:tcPr>
          <w:p>
            <w:pPr>
              <w:pStyle w:val="TableParagraph"/>
              <w:ind w:left="107"/>
              <w:rPr>
                <w:sz w:val="24"/>
              </w:rPr>
            </w:pPr>
            <w:r>
              <w:rPr>
                <w:sz w:val="24"/>
              </w:rPr>
              <w:t>Bir afette kurumumuz personelinin zarar görmesi durumunda, personel kurumumuzun yardımıyla</w:t>
            </w:r>
          </w:p>
          <w:p>
            <w:pPr>
              <w:pStyle w:val="TableParagraph"/>
              <w:spacing w:line="264" w:lineRule="exact"/>
              <w:ind w:left="107"/>
              <w:rPr>
                <w:sz w:val="24"/>
              </w:rPr>
            </w:pPr>
            <w:r>
              <w:rPr>
                <w:sz w:val="24"/>
              </w:rPr>
              <w:t>mağduriyetinin azaltılacağına inanmaktadır.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1103" w:hRule="atLeast"/>
        </w:trPr>
        <w:tc>
          <w:tcPr>
            <w:tcW w:w="456" w:type="dxa"/>
          </w:tcPr>
          <w:p>
            <w:pPr>
              <w:pStyle w:val="TableParagraph"/>
              <w:spacing w:line="268" w:lineRule="exact"/>
              <w:ind w:right="96"/>
              <w:jc w:val="right"/>
              <w:rPr>
                <w:sz w:val="24"/>
              </w:rPr>
            </w:pPr>
            <w:r>
              <w:rPr>
                <w:sz w:val="24"/>
              </w:rPr>
              <w:t>46</w:t>
            </w:r>
          </w:p>
        </w:tc>
        <w:tc>
          <w:tcPr>
            <w:tcW w:w="5607" w:type="dxa"/>
          </w:tcPr>
          <w:p>
            <w:pPr>
              <w:pStyle w:val="TableParagraph"/>
              <w:ind w:left="107" w:right="512"/>
              <w:rPr>
                <w:sz w:val="24"/>
              </w:rPr>
            </w:pPr>
            <w:r>
              <w:rPr>
                <w:sz w:val="24"/>
              </w:rPr>
              <w:t>Yöneticiler ve personel afetlerle ilgili düzenlenen sürekli eğitim ve tatbikatlarla afet planındaki görevlerini en iyi şekilde yerine getirecek becerileri</w:t>
            </w:r>
          </w:p>
          <w:p>
            <w:pPr>
              <w:pStyle w:val="TableParagraph"/>
              <w:spacing w:line="264" w:lineRule="exact"/>
              <w:ind w:left="107"/>
              <w:rPr>
                <w:sz w:val="24"/>
              </w:rPr>
            </w:pPr>
            <w:r>
              <w:rPr>
                <w:sz w:val="24"/>
              </w:rPr>
              <w:t>kazanmışlardır.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1103" w:hRule="atLeast"/>
        </w:trPr>
        <w:tc>
          <w:tcPr>
            <w:tcW w:w="456" w:type="dxa"/>
          </w:tcPr>
          <w:p>
            <w:pPr>
              <w:pStyle w:val="TableParagraph"/>
              <w:spacing w:line="268" w:lineRule="exact"/>
              <w:ind w:right="96"/>
              <w:jc w:val="right"/>
              <w:rPr>
                <w:sz w:val="24"/>
              </w:rPr>
            </w:pPr>
            <w:r>
              <w:rPr>
                <w:sz w:val="24"/>
              </w:rPr>
              <w:t>47</w:t>
            </w:r>
          </w:p>
        </w:tc>
        <w:tc>
          <w:tcPr>
            <w:tcW w:w="5607" w:type="dxa"/>
          </w:tcPr>
          <w:p>
            <w:pPr>
              <w:pStyle w:val="TableParagraph"/>
              <w:ind w:left="107" w:right="364"/>
              <w:rPr>
                <w:sz w:val="24"/>
              </w:rPr>
            </w:pPr>
            <w:r>
              <w:rPr>
                <w:sz w:val="24"/>
              </w:rPr>
              <w:t>Kurumumuzun afet planının hazırlanmasında personelin katkıda bulunmasına önem verilmiştir. Bu durum planın personel tarafından benimsenmesini</w:t>
            </w:r>
          </w:p>
          <w:p>
            <w:pPr>
              <w:pStyle w:val="TableParagraph"/>
              <w:spacing w:line="264" w:lineRule="exact"/>
              <w:ind w:left="107"/>
              <w:rPr>
                <w:sz w:val="24"/>
              </w:rPr>
            </w:pPr>
            <w:r>
              <w:rPr>
                <w:sz w:val="24"/>
              </w:rPr>
              <w:t>sağlamıştır.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48</w:t>
            </w:r>
          </w:p>
        </w:tc>
        <w:tc>
          <w:tcPr>
            <w:tcW w:w="5607" w:type="dxa"/>
          </w:tcPr>
          <w:p>
            <w:pPr>
              <w:pStyle w:val="TableParagraph"/>
              <w:spacing w:line="268" w:lineRule="exact"/>
              <w:ind w:left="107"/>
              <w:rPr>
                <w:sz w:val="24"/>
              </w:rPr>
            </w:pPr>
            <w:r>
              <w:rPr>
                <w:sz w:val="24"/>
              </w:rPr>
              <w:t>Kurumumuz personeli ve yöneticilerinde afetlerle</w:t>
            </w:r>
          </w:p>
          <w:p>
            <w:pPr>
              <w:pStyle w:val="TableParagraph"/>
              <w:spacing w:line="264" w:lineRule="exact"/>
              <w:ind w:left="107"/>
              <w:rPr>
                <w:sz w:val="24"/>
              </w:rPr>
            </w:pPr>
            <w:r>
              <w:rPr>
                <w:sz w:val="24"/>
              </w:rPr>
              <w:t>mücadele etmede bilinç oluşmuştur.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49</w:t>
            </w:r>
          </w:p>
        </w:tc>
        <w:tc>
          <w:tcPr>
            <w:tcW w:w="5607" w:type="dxa"/>
          </w:tcPr>
          <w:p>
            <w:pPr>
              <w:pStyle w:val="TableParagraph"/>
              <w:ind w:left="107" w:right="511"/>
              <w:rPr>
                <w:sz w:val="24"/>
              </w:rPr>
            </w:pPr>
            <w:r>
              <w:rPr>
                <w:sz w:val="24"/>
              </w:rPr>
              <w:t>Kurumumuzun afet planının hazırlanmasında görev verilen personel afetle ilgili risk analizlerini</w:t>
            </w:r>
          </w:p>
          <w:p>
            <w:pPr>
              <w:pStyle w:val="TableParagraph"/>
              <w:spacing w:line="264" w:lineRule="exact"/>
              <w:ind w:left="107"/>
              <w:rPr>
                <w:sz w:val="24"/>
              </w:rPr>
            </w:pPr>
            <w:r>
              <w:rPr>
                <w:sz w:val="24"/>
              </w:rPr>
              <w:t>yapabilecek bilgi, beceri ve kabiliyete sahiptir.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30" w:hRule="atLeast"/>
        </w:trPr>
        <w:tc>
          <w:tcPr>
            <w:tcW w:w="456" w:type="dxa"/>
          </w:tcPr>
          <w:p>
            <w:pPr>
              <w:pStyle w:val="TableParagraph"/>
              <w:rPr>
                <w:sz w:val="24"/>
              </w:rPr>
            </w:pPr>
          </w:p>
        </w:tc>
        <w:tc>
          <w:tcPr>
            <w:tcW w:w="5607" w:type="dxa"/>
          </w:tcPr>
          <w:p>
            <w:pPr>
              <w:pStyle w:val="TableParagraph"/>
              <w:spacing w:line="276" w:lineRule="exact" w:before="2"/>
              <w:ind w:left="143" w:right="138" w:firstLine="3"/>
              <w:jc w:val="center"/>
              <w:rPr>
                <w:b/>
                <w:sz w:val="24"/>
              </w:rPr>
            </w:pPr>
            <w:r>
              <w:rPr>
                <w:b/>
                <w:sz w:val="24"/>
              </w:rPr>
              <w:t>LİDERLİK, EKİP YÖNETİMİ, ÇALIŞMA YÖNETİMİ VE STRES ALTINDA ÇALIŞMA İLE İLGİLİ ANKET 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552" w:hRule="atLeast"/>
        </w:trPr>
        <w:tc>
          <w:tcPr>
            <w:tcW w:w="456" w:type="dxa"/>
          </w:tcPr>
          <w:p>
            <w:pPr>
              <w:pStyle w:val="TableParagraph"/>
              <w:spacing w:line="268" w:lineRule="exact"/>
              <w:ind w:right="96"/>
              <w:jc w:val="right"/>
              <w:rPr>
                <w:sz w:val="24"/>
              </w:rPr>
            </w:pPr>
            <w:r>
              <w:rPr>
                <w:sz w:val="24"/>
              </w:rPr>
              <w:t>50</w:t>
            </w:r>
          </w:p>
        </w:tc>
        <w:tc>
          <w:tcPr>
            <w:tcW w:w="5607" w:type="dxa"/>
          </w:tcPr>
          <w:p>
            <w:pPr>
              <w:pStyle w:val="TableParagraph"/>
              <w:spacing w:line="268" w:lineRule="exact"/>
              <w:ind w:left="107"/>
              <w:rPr>
                <w:sz w:val="24"/>
              </w:rPr>
            </w:pPr>
            <w:r>
              <w:rPr>
                <w:sz w:val="24"/>
              </w:rPr>
              <w:t>Kurumumuzun yöneticileri afette personeline liderlik</w:t>
            </w:r>
          </w:p>
          <w:p>
            <w:pPr>
              <w:pStyle w:val="TableParagraph"/>
              <w:spacing w:line="264" w:lineRule="exact"/>
              <w:ind w:left="107"/>
              <w:rPr>
                <w:sz w:val="24"/>
              </w:rPr>
            </w:pPr>
            <w:r>
              <w:rPr>
                <w:sz w:val="24"/>
              </w:rPr>
              <w:t>yapabilecek kabiliyet ve bilgiye sahiptirler.</w:t>
            </w:r>
          </w:p>
        </w:tc>
        <w:tc>
          <w:tcPr>
            <w:tcW w:w="634" w:type="dxa"/>
          </w:tcPr>
          <w:p>
            <w:pPr>
              <w:pStyle w:val="TableParagraph"/>
              <w:spacing w:before="21"/>
              <w:ind w:left="108"/>
              <w:rPr>
                <w:rFonts w:ascii="DejaVu Sans" w:hAnsi="DejaVu Sans"/>
                <w:sz w:val="28"/>
              </w:rPr>
            </w:pPr>
            <w:r>
              <w:rPr>
                <w:rFonts w:ascii="DejaVu Sans" w:hAnsi="DejaVu Sans"/>
                <w:w w:val="111"/>
                <w:sz w:val="28"/>
              </w:rPr>
              <w:t>⑤</w:t>
            </w:r>
          </w:p>
        </w:tc>
        <w:tc>
          <w:tcPr>
            <w:tcW w:w="506" w:type="dxa"/>
          </w:tcPr>
          <w:p>
            <w:pPr>
              <w:pStyle w:val="TableParagraph"/>
              <w:spacing w:before="21"/>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1"/>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1"/>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1"/>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51</w:t>
            </w:r>
          </w:p>
        </w:tc>
        <w:tc>
          <w:tcPr>
            <w:tcW w:w="5607" w:type="dxa"/>
          </w:tcPr>
          <w:p>
            <w:pPr>
              <w:pStyle w:val="TableParagraph"/>
              <w:spacing w:line="268" w:lineRule="exact"/>
              <w:ind w:left="107"/>
              <w:rPr>
                <w:sz w:val="24"/>
              </w:rPr>
            </w:pPr>
            <w:r>
              <w:rPr>
                <w:sz w:val="24"/>
              </w:rPr>
              <w:t>Kurumumuzda işler her zaman ekip anlayışı içinde</w:t>
            </w:r>
          </w:p>
          <w:p>
            <w:pPr>
              <w:pStyle w:val="TableParagraph"/>
              <w:spacing w:line="264" w:lineRule="exact"/>
              <w:ind w:left="107"/>
              <w:rPr>
                <w:sz w:val="24"/>
              </w:rPr>
            </w:pPr>
            <w:r>
              <w:rPr>
                <w:sz w:val="24"/>
              </w:rPr>
              <w:t>yürütülmektedir.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1103" w:hRule="atLeast"/>
        </w:trPr>
        <w:tc>
          <w:tcPr>
            <w:tcW w:w="456" w:type="dxa"/>
          </w:tcPr>
          <w:p>
            <w:pPr>
              <w:pStyle w:val="TableParagraph"/>
              <w:spacing w:line="268" w:lineRule="exact"/>
              <w:ind w:right="96"/>
              <w:jc w:val="right"/>
              <w:rPr>
                <w:sz w:val="24"/>
              </w:rPr>
            </w:pPr>
            <w:r>
              <w:rPr>
                <w:sz w:val="24"/>
              </w:rPr>
              <w:t>52</w:t>
            </w:r>
          </w:p>
        </w:tc>
        <w:tc>
          <w:tcPr>
            <w:tcW w:w="5607" w:type="dxa"/>
          </w:tcPr>
          <w:p>
            <w:pPr>
              <w:pStyle w:val="TableParagraph"/>
              <w:ind w:left="107"/>
              <w:rPr>
                <w:sz w:val="24"/>
              </w:rPr>
            </w:pPr>
            <w:r>
              <w:rPr>
                <w:sz w:val="24"/>
              </w:rPr>
              <w:t>Afet dönemleri stres ve çatışmanı yoğun olduğu dönemlerdir. Personel bu durum göz önüne alarak eğitilmiştir. Böyle durumlarda birbirlerine veya</w:t>
            </w:r>
          </w:p>
          <w:p>
            <w:pPr>
              <w:pStyle w:val="TableParagraph"/>
              <w:spacing w:line="264" w:lineRule="exact"/>
              <w:ind w:left="107"/>
              <w:rPr>
                <w:sz w:val="24"/>
              </w:rPr>
            </w:pPr>
            <w:r>
              <w:rPr>
                <w:sz w:val="24"/>
              </w:rPr>
              <w:t>afetzedeler karşı nasıl davranacağını bilirler.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bl>
    <w:p>
      <w:pPr>
        <w:spacing w:after="0"/>
        <w:rPr>
          <w:rFonts w:ascii="DejaVu Sans" w:hAnsi="DejaVu Sans"/>
          <w:sz w:val="28"/>
        </w:rPr>
        <w:sectPr>
          <w:pgSz w:w="11910" w:h="16840"/>
          <w:pgMar w:header="0" w:footer="976" w:top="1580" w:bottom="1160" w:left="1140" w:right="520"/>
        </w:sectPr>
      </w:pPr>
    </w:p>
    <w:p>
      <w:pPr>
        <w:pStyle w:val="BodyText"/>
        <w:spacing w:before="11"/>
        <w:rPr>
          <w:sz w:val="8"/>
        </w:rPr>
      </w:pPr>
    </w:p>
    <w:tbl>
      <w:tblPr>
        <w:tblW w:w="0" w:type="auto"/>
        <w:jc w:val="left"/>
        <w:tblInd w:w="1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456"/>
        <w:gridCol w:w="5607"/>
        <w:gridCol w:w="634"/>
        <w:gridCol w:w="506"/>
        <w:gridCol w:w="420"/>
        <w:gridCol w:w="425"/>
        <w:gridCol w:w="672"/>
      </w:tblGrid>
      <w:tr>
        <w:trPr>
          <w:trHeight w:val="2121" w:hRule="atLeast"/>
        </w:trPr>
        <w:tc>
          <w:tcPr>
            <w:tcW w:w="456" w:type="dxa"/>
          </w:tcPr>
          <w:p>
            <w:pPr>
              <w:pStyle w:val="TableParagraph"/>
              <w:rPr>
                <w:sz w:val="24"/>
              </w:rPr>
            </w:pPr>
          </w:p>
        </w:tc>
        <w:tc>
          <w:tcPr>
            <w:tcW w:w="5607" w:type="dxa"/>
          </w:tcPr>
          <w:p>
            <w:pPr>
              <w:pStyle w:val="TableParagraph"/>
              <w:rPr>
                <w:sz w:val="24"/>
              </w:rPr>
            </w:pPr>
          </w:p>
        </w:tc>
        <w:tc>
          <w:tcPr>
            <w:tcW w:w="634" w:type="dxa"/>
            <w:textDirection w:val="tbRl"/>
          </w:tcPr>
          <w:p>
            <w:pPr>
              <w:pStyle w:val="TableParagraph"/>
              <w:spacing w:line="280" w:lineRule="atLeast" w:before="95"/>
              <w:ind w:left="112" w:right="775"/>
              <w:rPr>
                <w:b/>
                <w:sz w:val="24"/>
              </w:rPr>
            </w:pPr>
            <w:r>
              <w:rPr>
                <w:b/>
                <w:sz w:val="24"/>
              </w:rPr>
              <w:t>Kesinlikle katılıyorum</w:t>
            </w:r>
          </w:p>
        </w:tc>
        <w:tc>
          <w:tcPr>
            <w:tcW w:w="506" w:type="dxa"/>
            <w:textDirection w:val="tbRl"/>
          </w:tcPr>
          <w:p>
            <w:pPr>
              <w:pStyle w:val="TableParagraph"/>
              <w:spacing w:before="98"/>
              <w:ind w:left="112"/>
              <w:rPr>
                <w:b/>
                <w:sz w:val="24"/>
              </w:rPr>
            </w:pPr>
            <w:r>
              <w:rPr>
                <w:b/>
                <w:sz w:val="24"/>
              </w:rPr>
              <w:t>Katılıyorum</w:t>
            </w:r>
          </w:p>
        </w:tc>
        <w:tc>
          <w:tcPr>
            <w:tcW w:w="420" w:type="dxa"/>
            <w:textDirection w:val="tbRl"/>
          </w:tcPr>
          <w:p>
            <w:pPr>
              <w:pStyle w:val="TableParagraph"/>
              <w:spacing w:before="98"/>
              <w:ind w:left="112"/>
              <w:rPr>
                <w:b/>
                <w:sz w:val="24"/>
              </w:rPr>
            </w:pPr>
            <w:r>
              <w:rPr>
                <w:b/>
                <w:sz w:val="24"/>
              </w:rPr>
              <w:t>Kararsızım</w:t>
            </w:r>
          </w:p>
        </w:tc>
        <w:tc>
          <w:tcPr>
            <w:tcW w:w="425" w:type="dxa"/>
            <w:textDirection w:val="tbRl"/>
          </w:tcPr>
          <w:p>
            <w:pPr>
              <w:pStyle w:val="TableParagraph"/>
              <w:spacing w:before="101"/>
              <w:ind w:left="112"/>
              <w:rPr>
                <w:b/>
                <w:sz w:val="24"/>
              </w:rPr>
            </w:pPr>
            <w:r>
              <w:rPr>
                <w:b/>
                <w:sz w:val="24"/>
              </w:rPr>
              <w:t>Katılmıyorum</w:t>
            </w:r>
          </w:p>
        </w:tc>
        <w:tc>
          <w:tcPr>
            <w:tcW w:w="672" w:type="dxa"/>
            <w:textDirection w:val="tbRl"/>
          </w:tcPr>
          <w:p>
            <w:pPr>
              <w:pStyle w:val="TableParagraph"/>
              <w:spacing w:line="280" w:lineRule="atLeast" w:before="92"/>
              <w:ind w:left="112" w:right="575"/>
              <w:rPr>
                <w:b/>
                <w:sz w:val="24"/>
              </w:rPr>
            </w:pPr>
            <w:r>
              <w:rPr>
                <w:b/>
                <w:sz w:val="24"/>
              </w:rPr>
              <w:t>Ke sinlikle katılmıyorum</w:t>
            </w:r>
          </w:p>
        </w:tc>
      </w:tr>
      <w:tr>
        <w:trPr>
          <w:trHeight w:val="827" w:hRule="atLeast"/>
        </w:trPr>
        <w:tc>
          <w:tcPr>
            <w:tcW w:w="456" w:type="dxa"/>
          </w:tcPr>
          <w:p>
            <w:pPr>
              <w:pStyle w:val="TableParagraph"/>
              <w:spacing w:line="268" w:lineRule="exact"/>
              <w:ind w:right="96"/>
              <w:jc w:val="right"/>
              <w:rPr>
                <w:sz w:val="24"/>
              </w:rPr>
            </w:pPr>
            <w:r>
              <w:rPr>
                <w:sz w:val="24"/>
              </w:rPr>
              <w:t>53</w:t>
            </w:r>
          </w:p>
        </w:tc>
        <w:tc>
          <w:tcPr>
            <w:tcW w:w="5607" w:type="dxa"/>
          </w:tcPr>
          <w:p>
            <w:pPr>
              <w:pStyle w:val="TableParagraph"/>
              <w:ind w:left="107" w:right="105"/>
              <w:rPr>
                <w:sz w:val="24"/>
              </w:rPr>
            </w:pPr>
            <w:r>
              <w:rPr>
                <w:sz w:val="24"/>
              </w:rPr>
              <w:t>Kurumumuzda iyi bir arkadaşlık ortamı vardır. Bu ortam gergin anlarda dahi birbirimizle koordineli</w:t>
            </w:r>
          </w:p>
          <w:p>
            <w:pPr>
              <w:pStyle w:val="TableParagraph"/>
              <w:spacing w:line="264" w:lineRule="exact"/>
              <w:ind w:left="107"/>
              <w:rPr>
                <w:sz w:val="24"/>
              </w:rPr>
            </w:pPr>
            <w:r>
              <w:rPr>
                <w:sz w:val="24"/>
              </w:rPr>
              <w:t>çalışmamıza olanak sağlamaktadır.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361" w:hRule="atLeast"/>
        </w:trPr>
        <w:tc>
          <w:tcPr>
            <w:tcW w:w="456" w:type="dxa"/>
          </w:tcPr>
          <w:p>
            <w:pPr>
              <w:pStyle w:val="TableParagraph"/>
              <w:spacing w:line="268" w:lineRule="exact"/>
              <w:ind w:right="96"/>
              <w:jc w:val="right"/>
              <w:rPr>
                <w:sz w:val="24"/>
              </w:rPr>
            </w:pPr>
            <w:r>
              <w:rPr>
                <w:sz w:val="24"/>
              </w:rPr>
              <w:t>54</w:t>
            </w:r>
          </w:p>
        </w:tc>
        <w:tc>
          <w:tcPr>
            <w:tcW w:w="5607" w:type="dxa"/>
          </w:tcPr>
          <w:p>
            <w:pPr>
              <w:pStyle w:val="TableParagraph"/>
              <w:spacing w:line="268" w:lineRule="exact"/>
              <w:ind w:left="107"/>
              <w:rPr>
                <w:sz w:val="24"/>
              </w:rPr>
            </w:pPr>
            <w:r>
              <w:rPr>
                <w:sz w:val="24"/>
              </w:rPr>
              <w:t>Afetler beni strese sokar ne yaptığımı bilmem.</w:t>
            </w:r>
          </w:p>
        </w:tc>
        <w:tc>
          <w:tcPr>
            <w:tcW w:w="634" w:type="dxa"/>
          </w:tcPr>
          <w:p>
            <w:pPr>
              <w:pStyle w:val="TableParagraph"/>
              <w:spacing w:line="321" w:lineRule="exact" w:before="20"/>
              <w:ind w:left="108"/>
              <w:rPr>
                <w:rFonts w:ascii="DejaVu Sans" w:hAnsi="DejaVu Sans"/>
                <w:sz w:val="28"/>
              </w:rPr>
            </w:pPr>
            <w:r>
              <w:rPr>
                <w:rFonts w:ascii="DejaVu Sans" w:hAnsi="DejaVu Sans"/>
                <w:w w:val="111"/>
                <w:sz w:val="28"/>
              </w:rPr>
              <w:t>⑤</w:t>
            </w:r>
          </w:p>
        </w:tc>
        <w:tc>
          <w:tcPr>
            <w:tcW w:w="506" w:type="dxa"/>
          </w:tcPr>
          <w:p>
            <w:pPr>
              <w:pStyle w:val="TableParagraph"/>
              <w:spacing w:line="321" w:lineRule="exact"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line="321" w:lineRule="exact"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line="321" w:lineRule="exact"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line="321" w:lineRule="exact" w:before="20"/>
              <w:ind w:left="108"/>
              <w:rPr>
                <w:rFonts w:ascii="DejaVu Sans" w:hAnsi="DejaVu Sans"/>
                <w:sz w:val="28"/>
              </w:rPr>
            </w:pPr>
            <w:r>
              <w:rPr>
                <w:rFonts w:ascii="DejaVu Sans" w:hAnsi="DejaVu Sans"/>
                <w:w w:val="111"/>
                <w:sz w:val="28"/>
              </w:rPr>
              <w:t>①</w:t>
            </w:r>
          </w:p>
        </w:tc>
      </w:tr>
      <w:tr>
        <w:trPr>
          <w:trHeight w:val="552" w:hRule="atLeast"/>
        </w:trPr>
        <w:tc>
          <w:tcPr>
            <w:tcW w:w="456" w:type="dxa"/>
          </w:tcPr>
          <w:p>
            <w:pPr>
              <w:pStyle w:val="TableParagraph"/>
              <w:spacing w:line="268" w:lineRule="exact"/>
              <w:ind w:right="96"/>
              <w:jc w:val="right"/>
              <w:rPr>
                <w:sz w:val="24"/>
              </w:rPr>
            </w:pPr>
            <w:r>
              <w:rPr>
                <w:sz w:val="24"/>
              </w:rPr>
              <w:t>55</w:t>
            </w:r>
          </w:p>
        </w:tc>
        <w:tc>
          <w:tcPr>
            <w:tcW w:w="5607" w:type="dxa"/>
          </w:tcPr>
          <w:p>
            <w:pPr>
              <w:pStyle w:val="TableParagraph"/>
              <w:spacing w:line="268" w:lineRule="exact"/>
              <w:ind w:left="107"/>
              <w:rPr>
                <w:sz w:val="24"/>
              </w:rPr>
            </w:pPr>
            <w:r>
              <w:rPr>
                <w:sz w:val="24"/>
              </w:rPr>
              <w:t>Bir afet sırasında kurumumuzda liderlik sorunu</w:t>
            </w:r>
          </w:p>
          <w:p>
            <w:pPr>
              <w:pStyle w:val="TableParagraph"/>
              <w:spacing w:line="264" w:lineRule="exact"/>
              <w:ind w:left="107"/>
              <w:rPr>
                <w:sz w:val="24"/>
              </w:rPr>
            </w:pPr>
            <w:r>
              <w:rPr>
                <w:sz w:val="24"/>
              </w:rPr>
              <w:t>yaşanacağını düşünmüyorum.</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553" w:hRule="atLeast"/>
        </w:trPr>
        <w:tc>
          <w:tcPr>
            <w:tcW w:w="456" w:type="dxa"/>
          </w:tcPr>
          <w:p>
            <w:pPr>
              <w:pStyle w:val="TableParagraph"/>
              <w:spacing w:line="270" w:lineRule="exact"/>
              <w:ind w:right="96"/>
              <w:jc w:val="right"/>
              <w:rPr>
                <w:sz w:val="24"/>
              </w:rPr>
            </w:pPr>
            <w:r>
              <w:rPr>
                <w:sz w:val="24"/>
              </w:rPr>
              <w:t>56</w:t>
            </w:r>
          </w:p>
        </w:tc>
        <w:tc>
          <w:tcPr>
            <w:tcW w:w="5607" w:type="dxa"/>
          </w:tcPr>
          <w:p>
            <w:pPr>
              <w:pStyle w:val="TableParagraph"/>
              <w:spacing w:line="270" w:lineRule="exact"/>
              <w:ind w:left="107"/>
              <w:rPr>
                <w:sz w:val="24"/>
              </w:rPr>
            </w:pPr>
            <w:r>
              <w:rPr>
                <w:sz w:val="24"/>
              </w:rPr>
              <w:t>Bu kurumda kendimi bir ekibin parçası gibi</w:t>
            </w:r>
          </w:p>
          <w:p>
            <w:pPr>
              <w:pStyle w:val="TableParagraph"/>
              <w:spacing w:line="264" w:lineRule="exact"/>
              <w:ind w:left="107"/>
              <w:rPr>
                <w:sz w:val="24"/>
              </w:rPr>
            </w:pPr>
            <w:r>
              <w:rPr>
                <w:sz w:val="24"/>
              </w:rPr>
              <w:t>hissediyorum</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rPr>
                <w:sz w:val="24"/>
              </w:rPr>
            </w:pPr>
          </w:p>
        </w:tc>
        <w:tc>
          <w:tcPr>
            <w:tcW w:w="5607" w:type="dxa"/>
          </w:tcPr>
          <w:p>
            <w:pPr>
              <w:pStyle w:val="TableParagraph"/>
              <w:spacing w:line="273" w:lineRule="exact"/>
              <w:ind w:left="193" w:right="187"/>
              <w:jc w:val="center"/>
              <w:rPr>
                <w:b/>
                <w:sz w:val="24"/>
              </w:rPr>
            </w:pPr>
            <w:r>
              <w:rPr>
                <w:b/>
                <w:sz w:val="24"/>
              </w:rPr>
              <w:t>TRİAJ, KAYITLAR VE ÖZEL PATOLOJİLER</w:t>
            </w:r>
          </w:p>
          <w:p>
            <w:pPr>
              <w:pStyle w:val="TableParagraph"/>
              <w:spacing w:line="259" w:lineRule="exact"/>
              <w:ind w:left="194" w:right="185"/>
              <w:jc w:val="center"/>
              <w:rPr>
                <w:b/>
                <w:sz w:val="24"/>
              </w:rPr>
            </w:pPr>
            <w:r>
              <w:rPr>
                <w:b/>
                <w:sz w:val="24"/>
              </w:rPr>
              <w:t>HAKKINDA ANKET 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551" w:hRule="atLeast"/>
        </w:trPr>
        <w:tc>
          <w:tcPr>
            <w:tcW w:w="456" w:type="dxa"/>
          </w:tcPr>
          <w:p>
            <w:pPr>
              <w:pStyle w:val="TableParagraph"/>
              <w:spacing w:line="268" w:lineRule="exact"/>
              <w:ind w:right="96"/>
              <w:jc w:val="right"/>
              <w:rPr>
                <w:sz w:val="24"/>
              </w:rPr>
            </w:pPr>
            <w:r>
              <w:rPr>
                <w:sz w:val="24"/>
              </w:rPr>
              <w:t>57</w:t>
            </w:r>
          </w:p>
        </w:tc>
        <w:tc>
          <w:tcPr>
            <w:tcW w:w="5607" w:type="dxa"/>
          </w:tcPr>
          <w:p>
            <w:pPr>
              <w:pStyle w:val="TableParagraph"/>
              <w:spacing w:line="268" w:lineRule="exact"/>
              <w:ind w:left="107"/>
              <w:rPr>
                <w:sz w:val="24"/>
              </w:rPr>
            </w:pPr>
            <w:r>
              <w:rPr>
                <w:sz w:val="24"/>
              </w:rPr>
              <w:t>Kurumumuz çalışanlarınca afet durumlarında triaj</w:t>
            </w:r>
          </w:p>
          <w:p>
            <w:pPr>
              <w:pStyle w:val="TableParagraph"/>
              <w:spacing w:line="264" w:lineRule="exact"/>
              <w:ind w:left="107"/>
              <w:rPr>
                <w:sz w:val="24"/>
              </w:rPr>
            </w:pPr>
            <w:r>
              <w:rPr>
                <w:sz w:val="24"/>
              </w:rPr>
              <w:t>başarılı bir şekilde uygulanacaktır.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362" w:hRule="atLeast"/>
        </w:trPr>
        <w:tc>
          <w:tcPr>
            <w:tcW w:w="456" w:type="dxa"/>
          </w:tcPr>
          <w:p>
            <w:pPr>
              <w:pStyle w:val="TableParagraph"/>
              <w:spacing w:line="268" w:lineRule="exact"/>
              <w:ind w:right="96"/>
              <w:jc w:val="right"/>
              <w:rPr>
                <w:sz w:val="24"/>
              </w:rPr>
            </w:pPr>
            <w:r>
              <w:rPr>
                <w:sz w:val="24"/>
              </w:rPr>
              <w:t>58</w:t>
            </w:r>
          </w:p>
        </w:tc>
        <w:tc>
          <w:tcPr>
            <w:tcW w:w="5607" w:type="dxa"/>
          </w:tcPr>
          <w:p>
            <w:pPr>
              <w:pStyle w:val="TableParagraph"/>
              <w:spacing w:line="268" w:lineRule="exact"/>
              <w:ind w:left="107"/>
              <w:rPr>
                <w:sz w:val="24"/>
              </w:rPr>
            </w:pPr>
            <w:r>
              <w:rPr>
                <w:sz w:val="24"/>
              </w:rPr>
              <w:t>Kurumumuzda triaj çalışmalarına önem verilmektedir.</w:t>
            </w:r>
          </w:p>
        </w:tc>
        <w:tc>
          <w:tcPr>
            <w:tcW w:w="634" w:type="dxa"/>
          </w:tcPr>
          <w:p>
            <w:pPr>
              <w:pStyle w:val="TableParagraph"/>
              <w:spacing w:line="321" w:lineRule="exact" w:before="20"/>
              <w:ind w:left="108"/>
              <w:rPr>
                <w:rFonts w:ascii="DejaVu Sans" w:hAnsi="DejaVu Sans"/>
                <w:sz w:val="28"/>
              </w:rPr>
            </w:pPr>
            <w:r>
              <w:rPr>
                <w:rFonts w:ascii="DejaVu Sans" w:hAnsi="DejaVu Sans"/>
                <w:w w:val="111"/>
                <w:sz w:val="28"/>
              </w:rPr>
              <w:t>⑤</w:t>
            </w:r>
          </w:p>
        </w:tc>
        <w:tc>
          <w:tcPr>
            <w:tcW w:w="506" w:type="dxa"/>
          </w:tcPr>
          <w:p>
            <w:pPr>
              <w:pStyle w:val="TableParagraph"/>
              <w:spacing w:line="321" w:lineRule="exact"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line="321" w:lineRule="exact"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line="321" w:lineRule="exact"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line="321" w:lineRule="exact"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spacing w:line="268" w:lineRule="exact"/>
              <w:ind w:right="96"/>
              <w:jc w:val="right"/>
              <w:rPr>
                <w:sz w:val="24"/>
              </w:rPr>
            </w:pPr>
            <w:r>
              <w:rPr>
                <w:sz w:val="24"/>
              </w:rPr>
              <w:t>59</w:t>
            </w:r>
          </w:p>
        </w:tc>
        <w:tc>
          <w:tcPr>
            <w:tcW w:w="5607" w:type="dxa"/>
          </w:tcPr>
          <w:p>
            <w:pPr>
              <w:pStyle w:val="TableParagraph"/>
              <w:ind w:left="107" w:right="364"/>
              <w:rPr>
                <w:sz w:val="24"/>
              </w:rPr>
            </w:pPr>
            <w:r>
              <w:rPr>
                <w:sz w:val="24"/>
              </w:rPr>
              <w:t>Afet durumlarında artış gösterebilecek bazı özel patolojilere karşı (crush sendromu gibi) tüm personel</w:t>
            </w:r>
          </w:p>
          <w:p>
            <w:pPr>
              <w:pStyle w:val="TableParagraph"/>
              <w:spacing w:line="264" w:lineRule="exact"/>
              <w:ind w:left="107"/>
              <w:rPr>
                <w:sz w:val="24"/>
              </w:rPr>
            </w:pPr>
            <w:r>
              <w:rPr>
                <w:sz w:val="24"/>
              </w:rPr>
              <w:t>eğitilmiştir.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30" w:hRule="atLeast"/>
        </w:trPr>
        <w:tc>
          <w:tcPr>
            <w:tcW w:w="456" w:type="dxa"/>
          </w:tcPr>
          <w:p>
            <w:pPr>
              <w:pStyle w:val="TableParagraph"/>
              <w:spacing w:line="270" w:lineRule="exact"/>
              <w:ind w:right="96"/>
              <w:jc w:val="right"/>
              <w:rPr>
                <w:sz w:val="24"/>
              </w:rPr>
            </w:pPr>
            <w:r>
              <w:rPr>
                <w:sz w:val="24"/>
              </w:rPr>
              <w:t>60</w:t>
            </w:r>
          </w:p>
        </w:tc>
        <w:tc>
          <w:tcPr>
            <w:tcW w:w="5607" w:type="dxa"/>
          </w:tcPr>
          <w:p>
            <w:pPr>
              <w:pStyle w:val="TableParagraph"/>
              <w:spacing w:line="270" w:lineRule="exact"/>
              <w:ind w:left="107"/>
              <w:rPr>
                <w:sz w:val="24"/>
              </w:rPr>
            </w:pPr>
            <w:r>
              <w:rPr>
                <w:sz w:val="24"/>
              </w:rPr>
              <w:t>Kurumumda afet esnasında kayıt tutmaya büyük önem</w:t>
            </w:r>
          </w:p>
          <w:p>
            <w:pPr>
              <w:pStyle w:val="TableParagraph"/>
              <w:spacing w:line="270" w:lineRule="atLeast"/>
              <w:ind w:left="107"/>
              <w:rPr>
                <w:sz w:val="24"/>
              </w:rPr>
            </w:pPr>
            <w:r>
              <w:rPr>
                <w:sz w:val="24"/>
              </w:rPr>
              <w:t>verilmiştir. Bu amaçla görevlendirilen personel kayıt tutmanın öneminin farkındadır.</w:t>
            </w:r>
          </w:p>
        </w:tc>
        <w:tc>
          <w:tcPr>
            <w:tcW w:w="634" w:type="dxa"/>
          </w:tcPr>
          <w:p>
            <w:pPr>
              <w:pStyle w:val="TableParagraph"/>
              <w:spacing w:before="23"/>
              <w:ind w:left="108"/>
              <w:rPr>
                <w:rFonts w:ascii="DejaVu Sans" w:hAnsi="DejaVu Sans"/>
                <w:sz w:val="28"/>
              </w:rPr>
            </w:pPr>
            <w:r>
              <w:rPr>
                <w:rFonts w:ascii="DejaVu Sans" w:hAnsi="DejaVu Sans"/>
                <w:w w:val="111"/>
                <w:sz w:val="28"/>
              </w:rPr>
              <w:t>⑤</w:t>
            </w:r>
          </w:p>
        </w:tc>
        <w:tc>
          <w:tcPr>
            <w:tcW w:w="506" w:type="dxa"/>
          </w:tcPr>
          <w:p>
            <w:pPr>
              <w:pStyle w:val="TableParagraph"/>
              <w:spacing w:before="23"/>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3"/>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3"/>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3"/>
              <w:ind w:left="108"/>
              <w:rPr>
                <w:rFonts w:ascii="DejaVu Sans" w:hAnsi="DejaVu Sans"/>
                <w:sz w:val="28"/>
              </w:rPr>
            </w:pPr>
            <w:r>
              <w:rPr>
                <w:rFonts w:ascii="DejaVu Sans" w:hAnsi="DejaVu Sans"/>
                <w:w w:val="111"/>
                <w:sz w:val="28"/>
              </w:rPr>
              <w:t>①</w:t>
            </w:r>
          </w:p>
        </w:tc>
      </w:tr>
      <w:tr>
        <w:trPr>
          <w:trHeight w:val="551" w:hRule="atLeast"/>
        </w:trPr>
        <w:tc>
          <w:tcPr>
            <w:tcW w:w="456" w:type="dxa"/>
          </w:tcPr>
          <w:p>
            <w:pPr>
              <w:pStyle w:val="TableParagraph"/>
              <w:spacing w:line="268" w:lineRule="exact"/>
              <w:ind w:right="96"/>
              <w:jc w:val="right"/>
              <w:rPr>
                <w:sz w:val="24"/>
              </w:rPr>
            </w:pPr>
            <w:r>
              <w:rPr>
                <w:sz w:val="24"/>
              </w:rPr>
              <w:t>61</w:t>
            </w:r>
          </w:p>
        </w:tc>
        <w:tc>
          <w:tcPr>
            <w:tcW w:w="5607" w:type="dxa"/>
          </w:tcPr>
          <w:p>
            <w:pPr>
              <w:pStyle w:val="TableParagraph"/>
              <w:spacing w:line="268" w:lineRule="exact"/>
              <w:ind w:left="107"/>
              <w:rPr>
                <w:sz w:val="24"/>
              </w:rPr>
            </w:pPr>
            <w:r>
              <w:rPr>
                <w:sz w:val="24"/>
              </w:rPr>
              <w:t>Kayıt tutmayı kolaylaştıracak yöntemler ve malzemeler</w:t>
            </w:r>
          </w:p>
          <w:p>
            <w:pPr>
              <w:pStyle w:val="TableParagraph"/>
              <w:spacing w:line="264" w:lineRule="exact"/>
              <w:ind w:left="107"/>
              <w:rPr>
                <w:sz w:val="24"/>
              </w:rPr>
            </w:pPr>
            <w:r>
              <w:rPr>
                <w:sz w:val="24"/>
              </w:rPr>
              <w:t>temin edilerek ilgili personele öğretilmiş.</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7" w:hRule="atLeast"/>
        </w:trPr>
        <w:tc>
          <w:tcPr>
            <w:tcW w:w="456" w:type="dxa"/>
          </w:tcPr>
          <w:p>
            <w:pPr>
              <w:pStyle w:val="TableParagraph"/>
              <w:rPr>
                <w:sz w:val="24"/>
              </w:rPr>
            </w:pPr>
          </w:p>
        </w:tc>
        <w:tc>
          <w:tcPr>
            <w:tcW w:w="5607" w:type="dxa"/>
          </w:tcPr>
          <w:p>
            <w:pPr>
              <w:pStyle w:val="TableParagraph"/>
              <w:ind w:left="194" w:right="187"/>
              <w:jc w:val="center"/>
              <w:rPr>
                <w:b/>
                <w:sz w:val="24"/>
              </w:rPr>
            </w:pPr>
            <w:r>
              <w:rPr>
                <w:b/>
                <w:sz w:val="24"/>
              </w:rPr>
              <w:t>ÇEVRE SAĞLIĞI, RUH SAĞLIĞI VE TOPLUM SAĞLIĞI HİZMETLERİ İLE İLGİLİ ANKET</w:t>
            </w:r>
          </w:p>
          <w:p>
            <w:pPr>
              <w:pStyle w:val="TableParagraph"/>
              <w:spacing w:line="259" w:lineRule="exact"/>
              <w:ind w:left="194" w:right="185"/>
              <w:jc w:val="center"/>
              <w:rPr>
                <w:b/>
                <w:sz w:val="24"/>
              </w:rPr>
            </w:pPr>
            <w:r>
              <w:rPr>
                <w:b/>
                <w:sz w:val="24"/>
              </w:rPr>
              <w:t>SORULARI</w:t>
            </w:r>
          </w:p>
        </w:tc>
        <w:tc>
          <w:tcPr>
            <w:tcW w:w="634" w:type="dxa"/>
          </w:tcPr>
          <w:p>
            <w:pPr>
              <w:pStyle w:val="TableParagraph"/>
              <w:rPr>
                <w:sz w:val="24"/>
              </w:rPr>
            </w:pPr>
          </w:p>
        </w:tc>
        <w:tc>
          <w:tcPr>
            <w:tcW w:w="506" w:type="dxa"/>
          </w:tcPr>
          <w:p>
            <w:pPr>
              <w:pStyle w:val="TableParagraph"/>
              <w:rPr>
                <w:sz w:val="24"/>
              </w:rPr>
            </w:pPr>
          </w:p>
        </w:tc>
        <w:tc>
          <w:tcPr>
            <w:tcW w:w="420" w:type="dxa"/>
          </w:tcPr>
          <w:p>
            <w:pPr>
              <w:pStyle w:val="TableParagraph"/>
              <w:rPr>
                <w:sz w:val="24"/>
              </w:rPr>
            </w:pPr>
          </w:p>
        </w:tc>
        <w:tc>
          <w:tcPr>
            <w:tcW w:w="425" w:type="dxa"/>
          </w:tcPr>
          <w:p>
            <w:pPr>
              <w:pStyle w:val="TableParagraph"/>
              <w:rPr>
                <w:sz w:val="24"/>
              </w:rPr>
            </w:pPr>
          </w:p>
        </w:tc>
        <w:tc>
          <w:tcPr>
            <w:tcW w:w="672" w:type="dxa"/>
          </w:tcPr>
          <w:p>
            <w:pPr>
              <w:pStyle w:val="TableParagraph"/>
              <w:rPr>
                <w:sz w:val="24"/>
              </w:rPr>
            </w:pPr>
          </w:p>
        </w:tc>
      </w:tr>
      <w:tr>
        <w:trPr>
          <w:trHeight w:val="551" w:hRule="atLeast"/>
        </w:trPr>
        <w:tc>
          <w:tcPr>
            <w:tcW w:w="456" w:type="dxa"/>
          </w:tcPr>
          <w:p>
            <w:pPr>
              <w:pStyle w:val="TableParagraph"/>
              <w:spacing w:line="268" w:lineRule="exact"/>
              <w:ind w:right="96"/>
              <w:jc w:val="right"/>
              <w:rPr>
                <w:sz w:val="24"/>
              </w:rPr>
            </w:pPr>
            <w:r>
              <w:rPr>
                <w:sz w:val="24"/>
              </w:rPr>
              <w:t>62</w:t>
            </w:r>
          </w:p>
        </w:tc>
        <w:tc>
          <w:tcPr>
            <w:tcW w:w="5607" w:type="dxa"/>
          </w:tcPr>
          <w:p>
            <w:pPr>
              <w:pStyle w:val="TableParagraph"/>
              <w:spacing w:line="268" w:lineRule="exact"/>
              <w:ind w:left="107"/>
              <w:rPr>
                <w:sz w:val="24"/>
              </w:rPr>
            </w:pPr>
            <w:r>
              <w:rPr>
                <w:sz w:val="24"/>
              </w:rPr>
              <w:t>Kurumum çalışan personelinin afette ruh sağlığı</w:t>
            </w:r>
          </w:p>
          <w:p>
            <w:pPr>
              <w:pStyle w:val="TableParagraph"/>
              <w:spacing w:line="264" w:lineRule="exact"/>
              <w:ind w:left="107"/>
              <w:rPr>
                <w:sz w:val="24"/>
              </w:rPr>
            </w:pPr>
            <w:r>
              <w:rPr>
                <w:sz w:val="24"/>
              </w:rPr>
              <w:t>yönünden etkileneceğini düşünerek hazırlıklarını yapar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1103" w:hRule="atLeast"/>
        </w:trPr>
        <w:tc>
          <w:tcPr>
            <w:tcW w:w="456" w:type="dxa"/>
          </w:tcPr>
          <w:p>
            <w:pPr>
              <w:pStyle w:val="TableParagraph"/>
              <w:spacing w:line="268" w:lineRule="exact"/>
              <w:ind w:right="96"/>
              <w:jc w:val="right"/>
              <w:rPr>
                <w:sz w:val="24"/>
              </w:rPr>
            </w:pPr>
            <w:r>
              <w:rPr>
                <w:sz w:val="24"/>
              </w:rPr>
              <w:t>63</w:t>
            </w:r>
          </w:p>
        </w:tc>
        <w:tc>
          <w:tcPr>
            <w:tcW w:w="5607" w:type="dxa"/>
          </w:tcPr>
          <w:p>
            <w:pPr>
              <w:pStyle w:val="TableParagraph"/>
              <w:ind w:left="107" w:right="158"/>
              <w:rPr>
                <w:sz w:val="24"/>
              </w:rPr>
            </w:pPr>
            <w:r>
              <w:rPr>
                <w:sz w:val="24"/>
              </w:rPr>
              <w:t>Kurumum personelinin afetten etkileneceği gibi afetten etkilenenlere yönelik hizmet vereceğini bilerek personelinin afetlerde ruh sağlığı yönünden birbirlerine</w:t>
            </w:r>
          </w:p>
          <w:p>
            <w:pPr>
              <w:pStyle w:val="TableParagraph"/>
              <w:spacing w:line="264" w:lineRule="exact"/>
              <w:ind w:left="107"/>
              <w:rPr>
                <w:sz w:val="24"/>
              </w:rPr>
            </w:pPr>
            <w:r>
              <w:rPr>
                <w:sz w:val="24"/>
              </w:rPr>
              <w:t>ve afetzedelere yardımcı olacak şekilde yetiştirir.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r>
        <w:trPr>
          <w:trHeight w:val="828" w:hRule="atLeast"/>
        </w:trPr>
        <w:tc>
          <w:tcPr>
            <w:tcW w:w="456" w:type="dxa"/>
          </w:tcPr>
          <w:p>
            <w:pPr>
              <w:pStyle w:val="TableParagraph"/>
              <w:spacing w:line="268" w:lineRule="exact"/>
              <w:ind w:right="96"/>
              <w:jc w:val="right"/>
              <w:rPr>
                <w:sz w:val="24"/>
              </w:rPr>
            </w:pPr>
            <w:r>
              <w:rPr>
                <w:sz w:val="24"/>
              </w:rPr>
              <w:t>64</w:t>
            </w:r>
          </w:p>
        </w:tc>
        <w:tc>
          <w:tcPr>
            <w:tcW w:w="5607" w:type="dxa"/>
          </w:tcPr>
          <w:p>
            <w:pPr>
              <w:pStyle w:val="TableParagraph"/>
              <w:ind w:left="107" w:right="511"/>
              <w:rPr>
                <w:sz w:val="24"/>
              </w:rPr>
            </w:pPr>
            <w:r>
              <w:rPr>
                <w:sz w:val="24"/>
              </w:rPr>
              <w:t>Kurumumun afette meydana gelebilecek kendinden kaynaklanan veya çevreden gelen çevre sağlığı</w:t>
            </w:r>
          </w:p>
          <w:p>
            <w:pPr>
              <w:pStyle w:val="TableParagraph"/>
              <w:spacing w:line="264" w:lineRule="exact"/>
              <w:ind w:left="107"/>
              <w:rPr>
                <w:sz w:val="24"/>
              </w:rPr>
            </w:pPr>
            <w:r>
              <w:rPr>
                <w:sz w:val="24"/>
              </w:rPr>
              <w:t>sorunlarını çözmeye yönelik bir planı vardır.</w:t>
            </w:r>
          </w:p>
        </w:tc>
        <w:tc>
          <w:tcPr>
            <w:tcW w:w="634" w:type="dxa"/>
          </w:tcPr>
          <w:p>
            <w:pPr>
              <w:pStyle w:val="TableParagraph"/>
              <w:spacing w:before="21"/>
              <w:ind w:left="108"/>
              <w:rPr>
                <w:rFonts w:ascii="DejaVu Sans" w:hAnsi="DejaVu Sans"/>
                <w:sz w:val="28"/>
              </w:rPr>
            </w:pPr>
            <w:r>
              <w:rPr>
                <w:rFonts w:ascii="DejaVu Sans" w:hAnsi="DejaVu Sans"/>
                <w:w w:val="111"/>
                <w:sz w:val="28"/>
              </w:rPr>
              <w:t>⑤</w:t>
            </w:r>
          </w:p>
        </w:tc>
        <w:tc>
          <w:tcPr>
            <w:tcW w:w="506" w:type="dxa"/>
          </w:tcPr>
          <w:p>
            <w:pPr>
              <w:pStyle w:val="TableParagraph"/>
              <w:spacing w:before="21"/>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1"/>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1"/>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1"/>
              <w:ind w:left="108"/>
              <w:rPr>
                <w:rFonts w:ascii="DejaVu Sans" w:hAnsi="DejaVu Sans"/>
                <w:sz w:val="28"/>
              </w:rPr>
            </w:pPr>
            <w:r>
              <w:rPr>
                <w:rFonts w:ascii="DejaVu Sans" w:hAnsi="DejaVu Sans"/>
                <w:w w:val="111"/>
                <w:sz w:val="28"/>
              </w:rPr>
              <w:t>①</w:t>
            </w:r>
          </w:p>
        </w:tc>
      </w:tr>
      <w:tr>
        <w:trPr>
          <w:trHeight w:val="830" w:hRule="atLeast"/>
        </w:trPr>
        <w:tc>
          <w:tcPr>
            <w:tcW w:w="456" w:type="dxa"/>
          </w:tcPr>
          <w:p>
            <w:pPr>
              <w:pStyle w:val="TableParagraph"/>
              <w:spacing w:line="268" w:lineRule="exact"/>
              <w:ind w:right="96"/>
              <w:jc w:val="right"/>
              <w:rPr>
                <w:sz w:val="24"/>
              </w:rPr>
            </w:pPr>
            <w:r>
              <w:rPr>
                <w:sz w:val="24"/>
              </w:rPr>
              <w:t>65</w:t>
            </w:r>
          </w:p>
        </w:tc>
        <w:tc>
          <w:tcPr>
            <w:tcW w:w="5607" w:type="dxa"/>
          </w:tcPr>
          <w:p>
            <w:pPr>
              <w:pStyle w:val="TableParagraph"/>
              <w:ind w:left="107" w:right="684"/>
              <w:rPr>
                <w:sz w:val="24"/>
              </w:rPr>
            </w:pPr>
            <w:r>
              <w:rPr>
                <w:sz w:val="24"/>
              </w:rPr>
              <w:t>Kurumumun afetlerde toplum sağlığı hizmetlerini izleyecek değerlendirilecek ve gerektiği zaman</w:t>
            </w:r>
          </w:p>
          <w:p>
            <w:pPr>
              <w:pStyle w:val="TableParagraph"/>
              <w:spacing w:line="266" w:lineRule="exact"/>
              <w:ind w:left="107"/>
              <w:rPr>
                <w:sz w:val="24"/>
              </w:rPr>
            </w:pPr>
            <w:r>
              <w:rPr>
                <w:sz w:val="24"/>
              </w:rPr>
              <w:t>müdahale edecek planı vardır</w:t>
            </w:r>
          </w:p>
        </w:tc>
        <w:tc>
          <w:tcPr>
            <w:tcW w:w="634" w:type="dxa"/>
          </w:tcPr>
          <w:p>
            <w:pPr>
              <w:pStyle w:val="TableParagraph"/>
              <w:spacing w:before="20"/>
              <w:ind w:left="108"/>
              <w:rPr>
                <w:rFonts w:ascii="DejaVu Sans" w:hAnsi="DejaVu Sans"/>
                <w:sz w:val="28"/>
              </w:rPr>
            </w:pPr>
            <w:r>
              <w:rPr>
                <w:rFonts w:ascii="DejaVu Sans" w:hAnsi="DejaVu Sans"/>
                <w:w w:val="111"/>
                <w:sz w:val="28"/>
              </w:rPr>
              <w:t>⑤</w:t>
            </w:r>
          </w:p>
        </w:tc>
        <w:tc>
          <w:tcPr>
            <w:tcW w:w="506" w:type="dxa"/>
          </w:tcPr>
          <w:p>
            <w:pPr>
              <w:pStyle w:val="TableParagraph"/>
              <w:spacing w:before="20"/>
              <w:ind w:left="1"/>
              <w:jc w:val="center"/>
              <w:rPr>
                <w:rFonts w:ascii="DejaVu Sans" w:hAnsi="DejaVu Sans"/>
                <w:sz w:val="28"/>
              </w:rPr>
            </w:pPr>
            <w:r>
              <w:rPr>
                <w:rFonts w:ascii="DejaVu Sans" w:hAnsi="DejaVu Sans"/>
                <w:w w:val="111"/>
                <w:sz w:val="28"/>
              </w:rPr>
              <w:t>④</w:t>
            </w:r>
          </w:p>
        </w:tc>
        <w:tc>
          <w:tcPr>
            <w:tcW w:w="420" w:type="dxa"/>
          </w:tcPr>
          <w:p>
            <w:pPr>
              <w:pStyle w:val="TableParagraph"/>
              <w:spacing w:before="20"/>
              <w:ind w:right="18"/>
              <w:jc w:val="right"/>
              <w:rPr>
                <w:rFonts w:ascii="DejaVu Sans" w:hAnsi="DejaVu Sans"/>
                <w:sz w:val="28"/>
              </w:rPr>
            </w:pPr>
            <w:r>
              <w:rPr>
                <w:rFonts w:ascii="DejaVu Sans" w:hAnsi="DejaVu Sans"/>
                <w:w w:val="111"/>
                <w:sz w:val="28"/>
              </w:rPr>
              <w:t>③</w:t>
            </w:r>
          </w:p>
        </w:tc>
        <w:tc>
          <w:tcPr>
            <w:tcW w:w="425" w:type="dxa"/>
          </w:tcPr>
          <w:p>
            <w:pPr>
              <w:pStyle w:val="TableParagraph"/>
              <w:spacing w:before="20"/>
              <w:ind w:right="25"/>
              <w:jc w:val="right"/>
              <w:rPr>
                <w:rFonts w:ascii="DejaVu Sans" w:hAnsi="DejaVu Sans"/>
                <w:sz w:val="28"/>
              </w:rPr>
            </w:pPr>
            <w:r>
              <w:rPr>
                <w:rFonts w:ascii="DejaVu Sans" w:hAnsi="DejaVu Sans"/>
                <w:w w:val="111"/>
                <w:sz w:val="28"/>
              </w:rPr>
              <w:t>②</w:t>
            </w:r>
          </w:p>
        </w:tc>
        <w:tc>
          <w:tcPr>
            <w:tcW w:w="672" w:type="dxa"/>
          </w:tcPr>
          <w:p>
            <w:pPr>
              <w:pStyle w:val="TableParagraph"/>
              <w:spacing w:before="20"/>
              <w:ind w:left="108"/>
              <w:rPr>
                <w:rFonts w:ascii="DejaVu Sans" w:hAnsi="DejaVu Sans"/>
                <w:sz w:val="28"/>
              </w:rPr>
            </w:pPr>
            <w:r>
              <w:rPr>
                <w:rFonts w:ascii="DejaVu Sans" w:hAnsi="DejaVu Sans"/>
                <w:w w:val="111"/>
                <w:sz w:val="28"/>
              </w:rPr>
              <w:t>①</w:t>
            </w:r>
          </w:p>
        </w:tc>
      </w:tr>
    </w:tbl>
    <w:sectPr>
      <w:pgSz w:w="11910" w:h="16840"/>
      <w:pgMar w:header="0" w:footer="976" w:top="1580" w:bottom="1160" w:left="1140" w:right="52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Trebuchet MS">
    <w:altName w:val="Trebuchet MS"/>
    <w:charset w:val="0"/>
    <w:family w:val="swiss"/>
    <w:pitch w:val="variable"/>
  </w:font>
  <w:font w:name="Symbol">
    <w:altName w:val="Symbol"/>
    <w:charset w:val="2"/>
    <w:family w:val="roman"/>
    <w:pitch w:val="variable"/>
  </w:font>
  <w:font w:name="Wingdings">
    <w:altName w:val="Wingdings"/>
    <w:charset w:val="2"/>
    <w:family w:val="auto"/>
    <w:pitch w:val="variable"/>
  </w:font>
  <w:font w:name="DejaVu Sans">
    <w:altName w:val="DejaVu Sans"/>
    <w:charset w:val="0"/>
    <w:family w:val="swiss"/>
    <w:pitch w:val="variable"/>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type id="_x0000_t202" o:spt="202" coordsize="21600,21600" path="m,l,21600r21600,l21600,xe">
          <v:stroke joinstyle="miter"/>
          <v:path gradientshapeok="t" o:connecttype="rect"/>
        </v:shapetype>
        <v:shape style="position:absolute;margin-left:313.670013pt;margin-top:778.482605pt;width:24.7pt;height:15.3pt;mso-position-horizontal-relative:page;mso-position-vertical-relative:page;z-index:-287632" type="#_x0000_t202" filled="false" stroked="false">
          <v:textbox inset="0,0,0,0">
            <w:txbxContent>
              <w:p>
                <w:pPr>
                  <w:pStyle w:val="BodyText"/>
                  <w:spacing w:before="10"/>
                  <w:ind w:left="40"/>
                </w:pPr>
                <w:r>
                  <w:rPr/>
                  <w:fldChar w:fldCharType="begin"/>
                </w:r>
                <w:r>
                  <w:rPr/>
                  <w:instrText> PAGE  \* ROMAN </w:instrText>
                </w:r>
                <w:r>
                  <w:rPr/>
                  <w:fldChar w:fldCharType="separate"/>
                </w:r>
                <w:r>
                  <w:rPr/>
                  <w:t>VIII</w:t>
                </w:r>
                <w:r>
                  <w:rPr/>
                  <w:fldChar w:fldCharType="end"/>
                </w:r>
              </w:p>
            </w:txbxContent>
          </v:textbox>
          <w10:wrap type="non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3.670013pt;margin-top:778.482605pt;width:24.7pt;height:15.3pt;mso-position-horizontal-relative:page;mso-position-vertical-relative:page;z-index:-287608" type="#_x0000_t202" filled="false" stroked="false">
          <v:textbox inset="0,0,0,0">
            <w:txbxContent>
              <w:p>
                <w:pPr>
                  <w:pStyle w:val="BodyText"/>
                  <w:spacing w:before="10"/>
                  <w:ind w:left="40"/>
                </w:pPr>
                <w:r>
                  <w:rPr/>
                  <w:fldChar w:fldCharType="begin"/>
                </w:r>
                <w:r>
                  <w:rPr/>
                  <w:instrText> PAGE  \* ROMAN </w:instrText>
                </w:r>
                <w:r>
                  <w:rPr/>
                  <w:fldChar w:fldCharType="separate"/>
                </w:r>
                <w:r>
                  <w:rPr/>
                  <w:t>XIII</w:t>
                </w:r>
                <w:r>
                  <w:rPr/>
                  <w:fldChar w:fldCharType="end"/>
                </w:r>
              </w:p>
            </w:txbxContent>
          </v:textbox>
          <w10:wrap type="non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3.309998pt;margin-top:778.482605pt;width:25.3pt;height:15.3pt;mso-position-horizontal-relative:page;mso-position-vertical-relative:page;z-index:-287584" type="#_x0000_t202" filled="false" stroked="false">
          <v:textbox inset="0,0,0,0">
            <w:txbxContent>
              <w:p>
                <w:pPr>
                  <w:pStyle w:val="BodyText"/>
                  <w:spacing w:before="10"/>
                  <w:ind w:left="40"/>
                </w:pPr>
                <w:r>
                  <w:rPr/>
                  <w:fldChar w:fldCharType="begin"/>
                </w:r>
                <w:r>
                  <w:rPr/>
                  <w:instrText> PAGE  \* ROMAN </w:instrText>
                </w:r>
                <w:r>
                  <w:rPr/>
                  <w:fldChar w:fldCharType="separate"/>
                </w:r>
                <w:r>
                  <w:rPr/>
                  <w:t>XIV</w:t>
                </w:r>
                <w:r>
                  <w:rPr/>
                  <w:fldChar w:fldCharType="end"/>
                </w:r>
              </w:p>
            </w:txbxContent>
          </v:textbox>
          <w10:wrap type="none"/>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1.369995pt;margin-top:778.482605pt;width:29.4pt;height:15.3pt;mso-position-horizontal-relative:page;mso-position-vertical-relative:page;z-index:-287560" type="#_x0000_t202" filled="false" stroked="false">
          <v:textbox inset="0,0,0,0">
            <w:txbxContent>
              <w:p>
                <w:pPr>
                  <w:pStyle w:val="BodyText"/>
                  <w:spacing w:before="10"/>
                  <w:ind w:left="40"/>
                </w:pPr>
                <w:r>
                  <w:rPr/>
                  <w:fldChar w:fldCharType="begin"/>
                </w:r>
                <w:r>
                  <w:rPr/>
                  <w:instrText> PAGE  \* ROMAN </w:instrText>
                </w:r>
                <w:r>
                  <w:rPr/>
                  <w:fldChar w:fldCharType="separate"/>
                </w:r>
                <w:r>
                  <w:rPr/>
                  <w:t>XVII</w:t>
                </w:r>
                <w:r>
                  <w:rPr/>
                  <w:fldChar w:fldCharType="end"/>
                </w:r>
              </w:p>
            </w:txbxContent>
          </v:textbox>
          <w10:wrap type="non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7.989990pt;margin-top:778.482605pt;width:16pt;height:15.3pt;mso-position-horizontal-relative:page;mso-position-vertical-relative:page;z-index:-287536" type="#_x0000_t202" filled="false" stroked="false">
          <v:textbox inset="0,0,0,0">
            <w:txbxContent>
              <w:p>
                <w:pPr>
                  <w:pStyle w:val="BodyText"/>
                  <w:spacing w:before="10"/>
                  <w:ind w:left="40"/>
                </w:pPr>
                <w:r>
                  <w:rPr/>
                  <w:fldChar w:fldCharType="begin"/>
                </w:r>
                <w:r>
                  <w:rPr/>
                  <w:instrText> PAGE </w:instrText>
                </w:r>
                <w:r>
                  <w:rPr/>
                  <w:fldChar w:fldCharType="separate"/>
                </w:r>
                <w:r>
                  <w:rPr/>
                  <w:t>10</w:t>
                </w:r>
                <w:r>
                  <w:rPr/>
                  <w:fldChar w:fldCharType="end"/>
                </w:r>
              </w:p>
            </w:txbxContent>
          </v:textbox>
          <w10:wrap type="none"/>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20"/>
      </w:rPr>
    </w:pPr>
    <w:r>
      <w:rPr/>
      <w:pict>
        <v:shape style="position:absolute;margin-left:318.989990pt;margin-top:791.946594pt;width:14pt;height:15.3pt;mso-position-horizontal-relative:page;mso-position-vertical-relative:page;z-index:-287512" type="#_x0000_t202" filled="false" stroked="false">
          <v:textbox inset="0,0,0,0">
            <w:txbxContent>
              <w:p>
                <w:pPr>
                  <w:pStyle w:val="BodyText"/>
                  <w:spacing w:before="10"/>
                  <w:ind w:left="20"/>
                </w:pPr>
                <w:r>
                  <w:rPr/>
                  <w:t>12</w:t>
                </w:r>
              </w:p>
            </w:txbxContent>
          </v:textbox>
          <w10:wrap type="none"/>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p>
    <w:pPr>
      <w:pStyle w:val="BodyText"/>
      <w:spacing w:line="14" w:lineRule="auto"/>
      <w:rPr>
        <w:sz w:val="19"/>
      </w:rPr>
    </w:pPr>
    <w:r>
      <w:rPr/>
      <w:pict>
        <v:shape style="position:absolute;margin-left:314.989990pt;margin-top:778.12262pt;width:22pt;height:15.65pt;mso-position-horizontal-relative:page;mso-position-vertical-relative:page;z-index:-287488" type="#_x0000_t202" filled="false" stroked="false">
          <v:textbox inset="0,0,0,0">
            <w:txbxContent>
              <w:p>
                <w:pPr>
                  <w:pStyle w:val="BodyText"/>
                  <w:spacing w:before="10"/>
                  <w:ind w:left="40"/>
                </w:pPr>
                <w:r>
                  <w:rPr/>
                  <w:fldChar w:fldCharType="begin"/>
                </w:r>
                <w:r>
                  <w:rPr/>
                  <w:instrText> PAGE </w:instrText>
                </w:r>
                <w:r>
                  <w:rPr/>
                  <w:fldChar w:fldCharType="separate"/>
                </w:r>
                <w:r>
                  <w:rPr/>
                  <w:t>100</w:t>
                </w:r>
                <w:r>
                  <w:rPr/>
                  <w:fldChar w:fldCharType="end"/>
                </w:r>
              </w:p>
            </w:txbxContent>
          </v:textbox>
          <w10:wrap type="none"/>
        </v:shape>
      </w:pict>
    </w: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15">
    <w:multiLevelType w:val="hybridMultilevel"/>
    <w:lvl w:ilvl="0">
      <w:start w:val="4"/>
      <w:numFmt w:val="decimal"/>
      <w:lvlText w:val="%1."/>
      <w:lvlJc w:val="left"/>
      <w:pPr>
        <w:ind w:left="1368" w:hanging="240"/>
        <w:jc w:val="left"/>
      </w:pPr>
      <w:rPr>
        <w:rFonts w:hint="default" w:ascii="Times New Roman" w:hAnsi="Times New Roman" w:eastAsia="Times New Roman" w:cs="Times New Roman"/>
        <w:spacing w:val="-3"/>
        <w:w w:val="100"/>
        <w:sz w:val="24"/>
        <w:szCs w:val="24"/>
        <w:lang w:val="tr-TR" w:eastAsia="tr-TR" w:bidi="tr-TR"/>
      </w:rPr>
    </w:lvl>
    <w:lvl w:ilvl="1">
      <w:start w:val="0"/>
      <w:numFmt w:val="bullet"/>
      <w:lvlText w:val=""/>
      <w:lvlJc w:val="left"/>
      <w:pPr>
        <w:ind w:left="1128" w:hanging="708"/>
      </w:pPr>
      <w:rPr>
        <w:rFonts w:hint="default" w:ascii="Wingdings" w:hAnsi="Wingdings" w:eastAsia="Wingdings" w:cs="Wingdings"/>
        <w:w w:val="100"/>
        <w:sz w:val="24"/>
        <w:szCs w:val="24"/>
        <w:lang w:val="tr-TR" w:eastAsia="tr-TR" w:bidi="tr-TR"/>
      </w:rPr>
    </w:lvl>
    <w:lvl w:ilvl="2">
      <w:start w:val="0"/>
      <w:numFmt w:val="bullet"/>
      <w:lvlText w:val="•"/>
      <w:lvlJc w:val="left"/>
      <w:pPr>
        <w:ind w:left="3160" w:hanging="708"/>
      </w:pPr>
      <w:rPr>
        <w:rFonts w:hint="default"/>
        <w:lang w:val="tr-TR" w:eastAsia="tr-TR" w:bidi="tr-TR"/>
      </w:rPr>
    </w:lvl>
    <w:lvl w:ilvl="3">
      <w:start w:val="0"/>
      <w:numFmt w:val="bullet"/>
      <w:lvlText w:val="•"/>
      <w:lvlJc w:val="left"/>
      <w:pPr>
        <w:ind w:left="3459" w:hanging="708"/>
      </w:pPr>
      <w:rPr>
        <w:rFonts w:hint="default"/>
        <w:lang w:val="tr-TR" w:eastAsia="tr-TR" w:bidi="tr-TR"/>
      </w:rPr>
    </w:lvl>
    <w:lvl w:ilvl="4">
      <w:start w:val="0"/>
      <w:numFmt w:val="bullet"/>
      <w:lvlText w:val="•"/>
      <w:lvlJc w:val="left"/>
      <w:pPr>
        <w:ind w:left="3759" w:hanging="708"/>
      </w:pPr>
      <w:rPr>
        <w:rFonts w:hint="default"/>
        <w:lang w:val="tr-TR" w:eastAsia="tr-TR" w:bidi="tr-TR"/>
      </w:rPr>
    </w:lvl>
    <w:lvl w:ilvl="5">
      <w:start w:val="0"/>
      <w:numFmt w:val="bullet"/>
      <w:lvlText w:val="•"/>
      <w:lvlJc w:val="left"/>
      <w:pPr>
        <w:ind w:left="4058" w:hanging="708"/>
      </w:pPr>
      <w:rPr>
        <w:rFonts w:hint="default"/>
        <w:lang w:val="tr-TR" w:eastAsia="tr-TR" w:bidi="tr-TR"/>
      </w:rPr>
    </w:lvl>
    <w:lvl w:ilvl="6">
      <w:start w:val="0"/>
      <w:numFmt w:val="bullet"/>
      <w:lvlText w:val="•"/>
      <w:lvlJc w:val="left"/>
      <w:pPr>
        <w:ind w:left="4358" w:hanging="708"/>
      </w:pPr>
      <w:rPr>
        <w:rFonts w:hint="default"/>
        <w:lang w:val="tr-TR" w:eastAsia="tr-TR" w:bidi="tr-TR"/>
      </w:rPr>
    </w:lvl>
    <w:lvl w:ilvl="7">
      <w:start w:val="0"/>
      <w:numFmt w:val="bullet"/>
      <w:lvlText w:val="•"/>
      <w:lvlJc w:val="left"/>
      <w:pPr>
        <w:ind w:left="4657" w:hanging="708"/>
      </w:pPr>
      <w:rPr>
        <w:rFonts w:hint="default"/>
        <w:lang w:val="tr-TR" w:eastAsia="tr-TR" w:bidi="tr-TR"/>
      </w:rPr>
    </w:lvl>
    <w:lvl w:ilvl="8">
      <w:start w:val="0"/>
      <w:numFmt w:val="bullet"/>
      <w:lvlText w:val="•"/>
      <w:lvlJc w:val="left"/>
      <w:pPr>
        <w:ind w:left="4957" w:hanging="708"/>
      </w:pPr>
      <w:rPr>
        <w:rFonts w:hint="default"/>
        <w:lang w:val="tr-TR" w:eastAsia="tr-TR" w:bidi="tr-TR"/>
      </w:rPr>
    </w:lvl>
  </w:abstractNum>
  <w:abstractNum w:abstractNumId="14">
    <w:multiLevelType w:val="hybridMultilevel"/>
    <w:lvl w:ilvl="0">
      <w:start w:val="0"/>
      <w:numFmt w:val="bullet"/>
      <w:lvlText w:val=""/>
      <w:lvlJc w:val="left"/>
      <w:pPr>
        <w:ind w:left="3253" w:hanging="697"/>
      </w:pPr>
      <w:rPr>
        <w:rFonts w:hint="default" w:ascii="Symbol" w:hAnsi="Symbol" w:eastAsia="Symbol" w:cs="Symbol"/>
        <w:w w:val="100"/>
        <w:sz w:val="24"/>
        <w:szCs w:val="24"/>
        <w:lang w:val="tr-TR" w:eastAsia="tr-TR" w:bidi="tr-TR"/>
      </w:rPr>
    </w:lvl>
    <w:lvl w:ilvl="1">
      <w:start w:val="0"/>
      <w:numFmt w:val="bullet"/>
      <w:lvlText w:val="•"/>
      <w:lvlJc w:val="left"/>
      <w:pPr>
        <w:ind w:left="3958" w:hanging="697"/>
      </w:pPr>
      <w:rPr>
        <w:rFonts w:hint="default"/>
        <w:lang w:val="tr-TR" w:eastAsia="tr-TR" w:bidi="tr-TR"/>
      </w:rPr>
    </w:lvl>
    <w:lvl w:ilvl="2">
      <w:start w:val="0"/>
      <w:numFmt w:val="bullet"/>
      <w:lvlText w:val="•"/>
      <w:lvlJc w:val="left"/>
      <w:pPr>
        <w:ind w:left="4657" w:hanging="697"/>
      </w:pPr>
      <w:rPr>
        <w:rFonts w:hint="default"/>
        <w:lang w:val="tr-TR" w:eastAsia="tr-TR" w:bidi="tr-TR"/>
      </w:rPr>
    </w:lvl>
    <w:lvl w:ilvl="3">
      <w:start w:val="0"/>
      <w:numFmt w:val="bullet"/>
      <w:lvlText w:val="•"/>
      <w:lvlJc w:val="left"/>
      <w:pPr>
        <w:ind w:left="5355" w:hanging="697"/>
      </w:pPr>
      <w:rPr>
        <w:rFonts w:hint="default"/>
        <w:lang w:val="tr-TR" w:eastAsia="tr-TR" w:bidi="tr-TR"/>
      </w:rPr>
    </w:lvl>
    <w:lvl w:ilvl="4">
      <w:start w:val="0"/>
      <w:numFmt w:val="bullet"/>
      <w:lvlText w:val="•"/>
      <w:lvlJc w:val="left"/>
      <w:pPr>
        <w:ind w:left="6054" w:hanging="697"/>
      </w:pPr>
      <w:rPr>
        <w:rFonts w:hint="default"/>
        <w:lang w:val="tr-TR" w:eastAsia="tr-TR" w:bidi="tr-TR"/>
      </w:rPr>
    </w:lvl>
    <w:lvl w:ilvl="5">
      <w:start w:val="0"/>
      <w:numFmt w:val="bullet"/>
      <w:lvlText w:val="•"/>
      <w:lvlJc w:val="left"/>
      <w:pPr>
        <w:ind w:left="6753" w:hanging="697"/>
      </w:pPr>
      <w:rPr>
        <w:rFonts w:hint="default"/>
        <w:lang w:val="tr-TR" w:eastAsia="tr-TR" w:bidi="tr-TR"/>
      </w:rPr>
    </w:lvl>
    <w:lvl w:ilvl="6">
      <w:start w:val="0"/>
      <w:numFmt w:val="bullet"/>
      <w:lvlText w:val="•"/>
      <w:lvlJc w:val="left"/>
      <w:pPr>
        <w:ind w:left="7451" w:hanging="697"/>
      </w:pPr>
      <w:rPr>
        <w:rFonts w:hint="default"/>
        <w:lang w:val="tr-TR" w:eastAsia="tr-TR" w:bidi="tr-TR"/>
      </w:rPr>
    </w:lvl>
    <w:lvl w:ilvl="7">
      <w:start w:val="0"/>
      <w:numFmt w:val="bullet"/>
      <w:lvlText w:val="•"/>
      <w:lvlJc w:val="left"/>
      <w:pPr>
        <w:ind w:left="8150" w:hanging="697"/>
      </w:pPr>
      <w:rPr>
        <w:rFonts w:hint="default"/>
        <w:lang w:val="tr-TR" w:eastAsia="tr-TR" w:bidi="tr-TR"/>
      </w:rPr>
    </w:lvl>
    <w:lvl w:ilvl="8">
      <w:start w:val="0"/>
      <w:numFmt w:val="bullet"/>
      <w:lvlText w:val="•"/>
      <w:lvlJc w:val="left"/>
      <w:pPr>
        <w:ind w:left="8849" w:hanging="697"/>
      </w:pPr>
      <w:rPr>
        <w:rFonts w:hint="default"/>
        <w:lang w:val="tr-TR" w:eastAsia="tr-TR" w:bidi="tr-TR"/>
      </w:rPr>
    </w:lvl>
  </w:abstractNum>
  <w:abstractNum w:abstractNumId="13">
    <w:multiLevelType w:val="hybridMultilevel"/>
    <w:lvl w:ilvl="0">
      <w:start w:val="0"/>
      <w:numFmt w:val="bullet"/>
      <w:lvlText w:val=""/>
      <w:lvlJc w:val="left"/>
      <w:pPr>
        <w:ind w:left="1848" w:hanging="757"/>
      </w:pPr>
      <w:rPr>
        <w:rFonts w:hint="default" w:ascii="Symbol" w:hAnsi="Symbol" w:eastAsia="Symbol" w:cs="Symbol"/>
        <w:w w:val="100"/>
        <w:sz w:val="24"/>
        <w:szCs w:val="24"/>
        <w:lang w:val="tr-TR" w:eastAsia="tr-TR" w:bidi="tr-TR"/>
      </w:rPr>
    </w:lvl>
    <w:lvl w:ilvl="1">
      <w:start w:val="0"/>
      <w:numFmt w:val="bullet"/>
      <w:lvlText w:val="•"/>
      <w:lvlJc w:val="left"/>
      <w:pPr>
        <w:ind w:left="2680" w:hanging="757"/>
      </w:pPr>
      <w:rPr>
        <w:rFonts w:hint="default"/>
        <w:lang w:val="tr-TR" w:eastAsia="tr-TR" w:bidi="tr-TR"/>
      </w:rPr>
    </w:lvl>
    <w:lvl w:ilvl="2">
      <w:start w:val="0"/>
      <w:numFmt w:val="bullet"/>
      <w:lvlText w:val="•"/>
      <w:lvlJc w:val="left"/>
      <w:pPr>
        <w:ind w:left="3521" w:hanging="757"/>
      </w:pPr>
      <w:rPr>
        <w:rFonts w:hint="default"/>
        <w:lang w:val="tr-TR" w:eastAsia="tr-TR" w:bidi="tr-TR"/>
      </w:rPr>
    </w:lvl>
    <w:lvl w:ilvl="3">
      <w:start w:val="0"/>
      <w:numFmt w:val="bullet"/>
      <w:lvlText w:val="•"/>
      <w:lvlJc w:val="left"/>
      <w:pPr>
        <w:ind w:left="4361" w:hanging="757"/>
      </w:pPr>
      <w:rPr>
        <w:rFonts w:hint="default"/>
        <w:lang w:val="tr-TR" w:eastAsia="tr-TR" w:bidi="tr-TR"/>
      </w:rPr>
    </w:lvl>
    <w:lvl w:ilvl="4">
      <w:start w:val="0"/>
      <w:numFmt w:val="bullet"/>
      <w:lvlText w:val="•"/>
      <w:lvlJc w:val="left"/>
      <w:pPr>
        <w:ind w:left="5202" w:hanging="757"/>
      </w:pPr>
      <w:rPr>
        <w:rFonts w:hint="default"/>
        <w:lang w:val="tr-TR" w:eastAsia="tr-TR" w:bidi="tr-TR"/>
      </w:rPr>
    </w:lvl>
    <w:lvl w:ilvl="5">
      <w:start w:val="0"/>
      <w:numFmt w:val="bullet"/>
      <w:lvlText w:val="•"/>
      <w:lvlJc w:val="left"/>
      <w:pPr>
        <w:ind w:left="6043" w:hanging="757"/>
      </w:pPr>
      <w:rPr>
        <w:rFonts w:hint="default"/>
        <w:lang w:val="tr-TR" w:eastAsia="tr-TR" w:bidi="tr-TR"/>
      </w:rPr>
    </w:lvl>
    <w:lvl w:ilvl="6">
      <w:start w:val="0"/>
      <w:numFmt w:val="bullet"/>
      <w:lvlText w:val="•"/>
      <w:lvlJc w:val="left"/>
      <w:pPr>
        <w:ind w:left="6883" w:hanging="757"/>
      </w:pPr>
      <w:rPr>
        <w:rFonts w:hint="default"/>
        <w:lang w:val="tr-TR" w:eastAsia="tr-TR" w:bidi="tr-TR"/>
      </w:rPr>
    </w:lvl>
    <w:lvl w:ilvl="7">
      <w:start w:val="0"/>
      <w:numFmt w:val="bullet"/>
      <w:lvlText w:val="•"/>
      <w:lvlJc w:val="left"/>
      <w:pPr>
        <w:ind w:left="7724" w:hanging="757"/>
      </w:pPr>
      <w:rPr>
        <w:rFonts w:hint="default"/>
        <w:lang w:val="tr-TR" w:eastAsia="tr-TR" w:bidi="tr-TR"/>
      </w:rPr>
    </w:lvl>
    <w:lvl w:ilvl="8">
      <w:start w:val="0"/>
      <w:numFmt w:val="bullet"/>
      <w:lvlText w:val="•"/>
      <w:lvlJc w:val="left"/>
      <w:pPr>
        <w:ind w:left="8565" w:hanging="757"/>
      </w:pPr>
      <w:rPr>
        <w:rFonts w:hint="default"/>
        <w:lang w:val="tr-TR" w:eastAsia="tr-TR" w:bidi="tr-TR"/>
      </w:rPr>
    </w:lvl>
  </w:abstractNum>
  <w:abstractNum w:abstractNumId="12">
    <w:multiLevelType w:val="hybridMultilevel"/>
    <w:lvl w:ilvl="0">
      <w:start w:val="1"/>
      <w:numFmt w:val="decimal"/>
      <w:lvlText w:val="%1-"/>
      <w:lvlJc w:val="left"/>
      <w:pPr>
        <w:ind w:left="1128" w:hanging="260"/>
        <w:jc w:val="left"/>
      </w:pPr>
      <w:rPr>
        <w:rFonts w:hint="default" w:ascii="Times New Roman" w:hAnsi="Times New Roman" w:eastAsia="Times New Roman" w:cs="Times New Roman"/>
        <w:w w:val="100"/>
        <w:sz w:val="24"/>
        <w:szCs w:val="24"/>
        <w:lang w:val="tr-TR" w:eastAsia="tr-TR" w:bidi="tr-TR"/>
      </w:rPr>
    </w:lvl>
    <w:lvl w:ilvl="1">
      <w:start w:val="0"/>
      <w:numFmt w:val="bullet"/>
      <w:lvlText w:val="•"/>
      <w:lvlJc w:val="left"/>
      <w:pPr>
        <w:ind w:left="2032" w:hanging="260"/>
      </w:pPr>
      <w:rPr>
        <w:rFonts w:hint="default"/>
        <w:lang w:val="tr-TR" w:eastAsia="tr-TR" w:bidi="tr-TR"/>
      </w:rPr>
    </w:lvl>
    <w:lvl w:ilvl="2">
      <w:start w:val="0"/>
      <w:numFmt w:val="bullet"/>
      <w:lvlText w:val="•"/>
      <w:lvlJc w:val="left"/>
      <w:pPr>
        <w:ind w:left="2945" w:hanging="260"/>
      </w:pPr>
      <w:rPr>
        <w:rFonts w:hint="default"/>
        <w:lang w:val="tr-TR" w:eastAsia="tr-TR" w:bidi="tr-TR"/>
      </w:rPr>
    </w:lvl>
    <w:lvl w:ilvl="3">
      <w:start w:val="0"/>
      <w:numFmt w:val="bullet"/>
      <w:lvlText w:val="•"/>
      <w:lvlJc w:val="left"/>
      <w:pPr>
        <w:ind w:left="3857" w:hanging="260"/>
      </w:pPr>
      <w:rPr>
        <w:rFonts w:hint="default"/>
        <w:lang w:val="tr-TR" w:eastAsia="tr-TR" w:bidi="tr-TR"/>
      </w:rPr>
    </w:lvl>
    <w:lvl w:ilvl="4">
      <w:start w:val="0"/>
      <w:numFmt w:val="bullet"/>
      <w:lvlText w:val="•"/>
      <w:lvlJc w:val="left"/>
      <w:pPr>
        <w:ind w:left="4770" w:hanging="260"/>
      </w:pPr>
      <w:rPr>
        <w:rFonts w:hint="default"/>
        <w:lang w:val="tr-TR" w:eastAsia="tr-TR" w:bidi="tr-TR"/>
      </w:rPr>
    </w:lvl>
    <w:lvl w:ilvl="5">
      <w:start w:val="0"/>
      <w:numFmt w:val="bullet"/>
      <w:lvlText w:val="•"/>
      <w:lvlJc w:val="left"/>
      <w:pPr>
        <w:ind w:left="5683" w:hanging="260"/>
      </w:pPr>
      <w:rPr>
        <w:rFonts w:hint="default"/>
        <w:lang w:val="tr-TR" w:eastAsia="tr-TR" w:bidi="tr-TR"/>
      </w:rPr>
    </w:lvl>
    <w:lvl w:ilvl="6">
      <w:start w:val="0"/>
      <w:numFmt w:val="bullet"/>
      <w:lvlText w:val="•"/>
      <w:lvlJc w:val="left"/>
      <w:pPr>
        <w:ind w:left="6595" w:hanging="260"/>
      </w:pPr>
      <w:rPr>
        <w:rFonts w:hint="default"/>
        <w:lang w:val="tr-TR" w:eastAsia="tr-TR" w:bidi="tr-TR"/>
      </w:rPr>
    </w:lvl>
    <w:lvl w:ilvl="7">
      <w:start w:val="0"/>
      <w:numFmt w:val="bullet"/>
      <w:lvlText w:val="•"/>
      <w:lvlJc w:val="left"/>
      <w:pPr>
        <w:ind w:left="7508" w:hanging="260"/>
      </w:pPr>
      <w:rPr>
        <w:rFonts w:hint="default"/>
        <w:lang w:val="tr-TR" w:eastAsia="tr-TR" w:bidi="tr-TR"/>
      </w:rPr>
    </w:lvl>
    <w:lvl w:ilvl="8">
      <w:start w:val="0"/>
      <w:numFmt w:val="bullet"/>
      <w:lvlText w:val="•"/>
      <w:lvlJc w:val="left"/>
      <w:pPr>
        <w:ind w:left="8421" w:hanging="260"/>
      </w:pPr>
      <w:rPr>
        <w:rFonts w:hint="default"/>
        <w:lang w:val="tr-TR" w:eastAsia="tr-TR" w:bidi="tr-TR"/>
      </w:rPr>
    </w:lvl>
  </w:abstractNum>
  <w:abstractNum w:abstractNumId="11">
    <w:multiLevelType w:val="hybridMultilevel"/>
    <w:lvl w:ilvl="0">
      <w:start w:val="3"/>
      <w:numFmt w:val="decimal"/>
      <w:lvlText w:val="%1."/>
      <w:lvlJc w:val="left"/>
      <w:pPr>
        <w:ind w:left="2122" w:hanging="240"/>
        <w:jc w:val="left"/>
      </w:pPr>
      <w:rPr>
        <w:rFonts w:hint="default" w:ascii="Times New Roman" w:hAnsi="Times New Roman" w:eastAsia="Times New Roman" w:cs="Times New Roman"/>
        <w:b/>
        <w:bCs/>
        <w:spacing w:val="-4"/>
        <w:w w:val="100"/>
        <w:sz w:val="24"/>
        <w:szCs w:val="24"/>
        <w:lang w:val="tr-TR" w:eastAsia="tr-TR" w:bidi="tr-TR"/>
      </w:rPr>
    </w:lvl>
    <w:lvl w:ilvl="1">
      <w:start w:val="1"/>
      <w:numFmt w:val="decimal"/>
      <w:lvlText w:val="%1.%2."/>
      <w:lvlJc w:val="left"/>
      <w:pPr>
        <w:ind w:left="2256" w:hanging="420"/>
        <w:jc w:val="left"/>
      </w:pPr>
      <w:rPr>
        <w:rFonts w:hint="default" w:ascii="Times New Roman" w:hAnsi="Times New Roman" w:eastAsia="Times New Roman" w:cs="Times New Roman"/>
        <w:b/>
        <w:bCs/>
        <w:spacing w:val="-4"/>
        <w:w w:val="99"/>
        <w:sz w:val="24"/>
        <w:szCs w:val="24"/>
        <w:lang w:val="tr-TR" w:eastAsia="tr-TR" w:bidi="tr-TR"/>
      </w:rPr>
    </w:lvl>
    <w:lvl w:ilvl="2">
      <w:start w:val="1"/>
      <w:numFmt w:val="decimal"/>
      <w:lvlText w:val="%1.%2.%3."/>
      <w:lvlJc w:val="left"/>
      <w:pPr>
        <w:ind w:left="2436" w:hanging="600"/>
        <w:jc w:val="left"/>
      </w:pPr>
      <w:rPr>
        <w:rFonts w:hint="default" w:ascii="Times New Roman" w:hAnsi="Times New Roman" w:eastAsia="Times New Roman" w:cs="Times New Roman"/>
        <w:b/>
        <w:bCs/>
        <w:spacing w:val="-2"/>
        <w:w w:val="99"/>
        <w:sz w:val="24"/>
        <w:szCs w:val="24"/>
        <w:lang w:val="tr-TR" w:eastAsia="tr-TR" w:bidi="tr-TR"/>
      </w:rPr>
    </w:lvl>
    <w:lvl w:ilvl="3">
      <w:start w:val="0"/>
      <w:numFmt w:val="bullet"/>
      <w:lvlText w:val="•"/>
      <w:lvlJc w:val="left"/>
      <w:pPr>
        <w:ind w:left="3415" w:hanging="600"/>
      </w:pPr>
      <w:rPr>
        <w:rFonts w:hint="default"/>
        <w:lang w:val="tr-TR" w:eastAsia="tr-TR" w:bidi="tr-TR"/>
      </w:rPr>
    </w:lvl>
    <w:lvl w:ilvl="4">
      <w:start w:val="0"/>
      <w:numFmt w:val="bullet"/>
      <w:lvlText w:val="•"/>
      <w:lvlJc w:val="left"/>
      <w:pPr>
        <w:ind w:left="4391" w:hanging="600"/>
      </w:pPr>
      <w:rPr>
        <w:rFonts w:hint="default"/>
        <w:lang w:val="tr-TR" w:eastAsia="tr-TR" w:bidi="tr-TR"/>
      </w:rPr>
    </w:lvl>
    <w:lvl w:ilvl="5">
      <w:start w:val="0"/>
      <w:numFmt w:val="bullet"/>
      <w:lvlText w:val="•"/>
      <w:lvlJc w:val="left"/>
      <w:pPr>
        <w:ind w:left="5367" w:hanging="600"/>
      </w:pPr>
      <w:rPr>
        <w:rFonts w:hint="default"/>
        <w:lang w:val="tr-TR" w:eastAsia="tr-TR" w:bidi="tr-TR"/>
      </w:rPr>
    </w:lvl>
    <w:lvl w:ilvl="6">
      <w:start w:val="0"/>
      <w:numFmt w:val="bullet"/>
      <w:lvlText w:val="•"/>
      <w:lvlJc w:val="left"/>
      <w:pPr>
        <w:ind w:left="6343" w:hanging="600"/>
      </w:pPr>
      <w:rPr>
        <w:rFonts w:hint="default"/>
        <w:lang w:val="tr-TR" w:eastAsia="tr-TR" w:bidi="tr-TR"/>
      </w:rPr>
    </w:lvl>
    <w:lvl w:ilvl="7">
      <w:start w:val="0"/>
      <w:numFmt w:val="bullet"/>
      <w:lvlText w:val="•"/>
      <w:lvlJc w:val="left"/>
      <w:pPr>
        <w:ind w:left="7319" w:hanging="600"/>
      </w:pPr>
      <w:rPr>
        <w:rFonts w:hint="default"/>
        <w:lang w:val="tr-TR" w:eastAsia="tr-TR" w:bidi="tr-TR"/>
      </w:rPr>
    </w:lvl>
    <w:lvl w:ilvl="8">
      <w:start w:val="0"/>
      <w:numFmt w:val="bullet"/>
      <w:lvlText w:val="•"/>
      <w:lvlJc w:val="left"/>
      <w:pPr>
        <w:ind w:left="8294" w:hanging="600"/>
      </w:pPr>
      <w:rPr>
        <w:rFonts w:hint="default"/>
        <w:lang w:val="tr-TR" w:eastAsia="tr-TR" w:bidi="tr-TR"/>
      </w:rPr>
    </w:lvl>
  </w:abstractNum>
  <w:abstractNum w:abstractNumId="10">
    <w:multiLevelType w:val="hybridMultilevel"/>
    <w:lvl w:ilvl="0">
      <w:start w:val="1"/>
      <w:numFmt w:val="decimal"/>
      <w:lvlText w:val="%1."/>
      <w:lvlJc w:val="left"/>
      <w:pPr>
        <w:ind w:left="1128" w:hanging="240"/>
        <w:jc w:val="left"/>
      </w:pPr>
      <w:rPr>
        <w:rFonts w:hint="default" w:ascii="Times New Roman" w:hAnsi="Times New Roman" w:eastAsia="Times New Roman" w:cs="Times New Roman"/>
        <w:spacing w:val="-5"/>
        <w:w w:val="100"/>
        <w:sz w:val="24"/>
        <w:szCs w:val="24"/>
        <w:lang w:val="tr-TR" w:eastAsia="tr-TR" w:bidi="tr-TR"/>
      </w:rPr>
    </w:lvl>
    <w:lvl w:ilvl="1">
      <w:start w:val="0"/>
      <w:numFmt w:val="bullet"/>
      <w:lvlText w:val="•"/>
      <w:lvlJc w:val="left"/>
      <w:pPr>
        <w:ind w:left="2032" w:hanging="240"/>
      </w:pPr>
      <w:rPr>
        <w:rFonts w:hint="default"/>
        <w:lang w:val="tr-TR" w:eastAsia="tr-TR" w:bidi="tr-TR"/>
      </w:rPr>
    </w:lvl>
    <w:lvl w:ilvl="2">
      <w:start w:val="0"/>
      <w:numFmt w:val="bullet"/>
      <w:lvlText w:val="•"/>
      <w:lvlJc w:val="left"/>
      <w:pPr>
        <w:ind w:left="2945" w:hanging="240"/>
      </w:pPr>
      <w:rPr>
        <w:rFonts w:hint="default"/>
        <w:lang w:val="tr-TR" w:eastAsia="tr-TR" w:bidi="tr-TR"/>
      </w:rPr>
    </w:lvl>
    <w:lvl w:ilvl="3">
      <w:start w:val="0"/>
      <w:numFmt w:val="bullet"/>
      <w:lvlText w:val="•"/>
      <w:lvlJc w:val="left"/>
      <w:pPr>
        <w:ind w:left="3857" w:hanging="240"/>
      </w:pPr>
      <w:rPr>
        <w:rFonts w:hint="default"/>
        <w:lang w:val="tr-TR" w:eastAsia="tr-TR" w:bidi="tr-TR"/>
      </w:rPr>
    </w:lvl>
    <w:lvl w:ilvl="4">
      <w:start w:val="0"/>
      <w:numFmt w:val="bullet"/>
      <w:lvlText w:val="•"/>
      <w:lvlJc w:val="left"/>
      <w:pPr>
        <w:ind w:left="4770" w:hanging="240"/>
      </w:pPr>
      <w:rPr>
        <w:rFonts w:hint="default"/>
        <w:lang w:val="tr-TR" w:eastAsia="tr-TR" w:bidi="tr-TR"/>
      </w:rPr>
    </w:lvl>
    <w:lvl w:ilvl="5">
      <w:start w:val="0"/>
      <w:numFmt w:val="bullet"/>
      <w:lvlText w:val="•"/>
      <w:lvlJc w:val="left"/>
      <w:pPr>
        <w:ind w:left="5683" w:hanging="240"/>
      </w:pPr>
      <w:rPr>
        <w:rFonts w:hint="default"/>
        <w:lang w:val="tr-TR" w:eastAsia="tr-TR" w:bidi="tr-TR"/>
      </w:rPr>
    </w:lvl>
    <w:lvl w:ilvl="6">
      <w:start w:val="0"/>
      <w:numFmt w:val="bullet"/>
      <w:lvlText w:val="•"/>
      <w:lvlJc w:val="left"/>
      <w:pPr>
        <w:ind w:left="6595" w:hanging="240"/>
      </w:pPr>
      <w:rPr>
        <w:rFonts w:hint="default"/>
        <w:lang w:val="tr-TR" w:eastAsia="tr-TR" w:bidi="tr-TR"/>
      </w:rPr>
    </w:lvl>
    <w:lvl w:ilvl="7">
      <w:start w:val="0"/>
      <w:numFmt w:val="bullet"/>
      <w:lvlText w:val="•"/>
      <w:lvlJc w:val="left"/>
      <w:pPr>
        <w:ind w:left="7508" w:hanging="240"/>
      </w:pPr>
      <w:rPr>
        <w:rFonts w:hint="default"/>
        <w:lang w:val="tr-TR" w:eastAsia="tr-TR" w:bidi="tr-TR"/>
      </w:rPr>
    </w:lvl>
    <w:lvl w:ilvl="8">
      <w:start w:val="0"/>
      <w:numFmt w:val="bullet"/>
      <w:lvlText w:val="•"/>
      <w:lvlJc w:val="left"/>
      <w:pPr>
        <w:ind w:left="8421" w:hanging="240"/>
      </w:pPr>
      <w:rPr>
        <w:rFonts w:hint="default"/>
        <w:lang w:val="tr-TR" w:eastAsia="tr-TR" w:bidi="tr-TR"/>
      </w:rPr>
    </w:lvl>
  </w:abstractNum>
  <w:abstractNum w:abstractNumId="9">
    <w:multiLevelType w:val="hybridMultilevel"/>
    <w:lvl w:ilvl="0">
      <w:start w:val="2"/>
      <w:numFmt w:val="decimal"/>
      <w:lvlText w:val="%1"/>
      <w:lvlJc w:val="left"/>
      <w:pPr>
        <w:ind w:left="2256" w:hanging="420"/>
        <w:jc w:val="left"/>
      </w:pPr>
      <w:rPr>
        <w:rFonts w:hint="default"/>
        <w:lang w:val="tr-TR" w:eastAsia="tr-TR" w:bidi="tr-TR"/>
      </w:rPr>
    </w:lvl>
    <w:lvl w:ilvl="1">
      <w:start w:val="4"/>
      <w:numFmt w:val="decimal"/>
      <w:lvlText w:val="%1.%2."/>
      <w:lvlJc w:val="left"/>
      <w:pPr>
        <w:ind w:left="2256" w:hanging="420"/>
        <w:jc w:val="left"/>
      </w:pPr>
      <w:rPr>
        <w:rFonts w:hint="default" w:ascii="Times New Roman" w:hAnsi="Times New Roman" w:eastAsia="Times New Roman" w:cs="Times New Roman"/>
        <w:b/>
        <w:bCs/>
        <w:spacing w:val="-4"/>
        <w:w w:val="99"/>
        <w:sz w:val="24"/>
        <w:szCs w:val="24"/>
        <w:lang w:val="tr-TR" w:eastAsia="tr-TR" w:bidi="tr-TR"/>
      </w:rPr>
    </w:lvl>
    <w:lvl w:ilvl="2">
      <w:start w:val="1"/>
      <w:numFmt w:val="decimal"/>
      <w:lvlText w:val="%1.%2.%3."/>
      <w:lvlJc w:val="left"/>
      <w:pPr>
        <w:ind w:left="2436" w:hanging="600"/>
        <w:jc w:val="left"/>
      </w:pPr>
      <w:rPr>
        <w:rFonts w:hint="default" w:ascii="Times New Roman" w:hAnsi="Times New Roman" w:eastAsia="Times New Roman" w:cs="Times New Roman"/>
        <w:b/>
        <w:bCs/>
        <w:spacing w:val="-4"/>
        <w:w w:val="99"/>
        <w:sz w:val="24"/>
        <w:szCs w:val="24"/>
        <w:lang w:val="tr-TR" w:eastAsia="tr-TR" w:bidi="tr-TR"/>
      </w:rPr>
    </w:lvl>
    <w:lvl w:ilvl="3">
      <w:start w:val="0"/>
      <w:numFmt w:val="bullet"/>
      <w:lvlText w:val="•"/>
      <w:lvlJc w:val="left"/>
      <w:pPr>
        <w:ind w:left="4174" w:hanging="600"/>
      </w:pPr>
      <w:rPr>
        <w:rFonts w:hint="default"/>
        <w:lang w:val="tr-TR" w:eastAsia="tr-TR" w:bidi="tr-TR"/>
      </w:rPr>
    </w:lvl>
    <w:lvl w:ilvl="4">
      <w:start w:val="0"/>
      <w:numFmt w:val="bullet"/>
      <w:lvlText w:val="•"/>
      <w:lvlJc w:val="left"/>
      <w:pPr>
        <w:ind w:left="5042" w:hanging="600"/>
      </w:pPr>
      <w:rPr>
        <w:rFonts w:hint="default"/>
        <w:lang w:val="tr-TR" w:eastAsia="tr-TR" w:bidi="tr-TR"/>
      </w:rPr>
    </w:lvl>
    <w:lvl w:ilvl="5">
      <w:start w:val="0"/>
      <w:numFmt w:val="bullet"/>
      <w:lvlText w:val="•"/>
      <w:lvlJc w:val="left"/>
      <w:pPr>
        <w:ind w:left="5909" w:hanging="600"/>
      </w:pPr>
      <w:rPr>
        <w:rFonts w:hint="default"/>
        <w:lang w:val="tr-TR" w:eastAsia="tr-TR" w:bidi="tr-TR"/>
      </w:rPr>
    </w:lvl>
    <w:lvl w:ilvl="6">
      <w:start w:val="0"/>
      <w:numFmt w:val="bullet"/>
      <w:lvlText w:val="•"/>
      <w:lvlJc w:val="left"/>
      <w:pPr>
        <w:ind w:left="6776" w:hanging="600"/>
      </w:pPr>
      <w:rPr>
        <w:rFonts w:hint="default"/>
        <w:lang w:val="tr-TR" w:eastAsia="tr-TR" w:bidi="tr-TR"/>
      </w:rPr>
    </w:lvl>
    <w:lvl w:ilvl="7">
      <w:start w:val="0"/>
      <w:numFmt w:val="bullet"/>
      <w:lvlText w:val="•"/>
      <w:lvlJc w:val="left"/>
      <w:pPr>
        <w:ind w:left="7644" w:hanging="600"/>
      </w:pPr>
      <w:rPr>
        <w:rFonts w:hint="default"/>
        <w:lang w:val="tr-TR" w:eastAsia="tr-TR" w:bidi="tr-TR"/>
      </w:rPr>
    </w:lvl>
    <w:lvl w:ilvl="8">
      <w:start w:val="0"/>
      <w:numFmt w:val="bullet"/>
      <w:lvlText w:val="•"/>
      <w:lvlJc w:val="left"/>
      <w:pPr>
        <w:ind w:left="8511" w:hanging="600"/>
      </w:pPr>
      <w:rPr>
        <w:rFonts w:hint="default"/>
        <w:lang w:val="tr-TR" w:eastAsia="tr-TR" w:bidi="tr-TR"/>
      </w:rPr>
    </w:lvl>
  </w:abstractNum>
  <w:abstractNum w:abstractNumId="8">
    <w:multiLevelType w:val="hybridMultilevel"/>
    <w:lvl w:ilvl="0">
      <w:start w:val="2"/>
      <w:numFmt w:val="decimal"/>
      <w:lvlText w:val="%1"/>
      <w:lvlJc w:val="left"/>
      <w:pPr>
        <w:ind w:left="2436" w:hanging="600"/>
        <w:jc w:val="left"/>
      </w:pPr>
      <w:rPr>
        <w:rFonts w:hint="default"/>
        <w:lang w:val="tr-TR" w:eastAsia="tr-TR" w:bidi="tr-TR"/>
      </w:rPr>
    </w:lvl>
    <w:lvl w:ilvl="1">
      <w:start w:val="3"/>
      <w:numFmt w:val="decimal"/>
      <w:lvlText w:val="%1.%2"/>
      <w:lvlJc w:val="left"/>
      <w:pPr>
        <w:ind w:left="2436" w:hanging="600"/>
        <w:jc w:val="left"/>
      </w:pPr>
      <w:rPr>
        <w:rFonts w:hint="default"/>
        <w:lang w:val="tr-TR" w:eastAsia="tr-TR" w:bidi="tr-TR"/>
      </w:rPr>
    </w:lvl>
    <w:lvl w:ilvl="2">
      <w:start w:val="1"/>
      <w:numFmt w:val="decimal"/>
      <w:lvlText w:val="%1.%2.%3."/>
      <w:lvlJc w:val="left"/>
      <w:pPr>
        <w:ind w:left="2436" w:hanging="600"/>
        <w:jc w:val="left"/>
      </w:pPr>
      <w:rPr>
        <w:rFonts w:hint="default" w:ascii="Times New Roman" w:hAnsi="Times New Roman" w:eastAsia="Times New Roman" w:cs="Times New Roman"/>
        <w:b/>
        <w:bCs/>
        <w:spacing w:val="-4"/>
        <w:w w:val="100"/>
        <w:sz w:val="24"/>
        <w:szCs w:val="24"/>
        <w:lang w:val="tr-TR" w:eastAsia="tr-TR" w:bidi="tr-TR"/>
      </w:rPr>
    </w:lvl>
    <w:lvl w:ilvl="3">
      <w:start w:val="1"/>
      <w:numFmt w:val="decimal"/>
      <w:lvlText w:val="%1.%2.%3.%4."/>
      <w:lvlJc w:val="left"/>
      <w:pPr>
        <w:ind w:left="2616" w:hanging="780"/>
        <w:jc w:val="left"/>
      </w:pPr>
      <w:rPr>
        <w:rFonts w:hint="default" w:ascii="Times New Roman" w:hAnsi="Times New Roman" w:eastAsia="Times New Roman" w:cs="Times New Roman"/>
        <w:b/>
        <w:bCs/>
        <w:spacing w:val="-4"/>
        <w:w w:val="100"/>
        <w:sz w:val="24"/>
        <w:szCs w:val="24"/>
        <w:lang w:val="tr-TR" w:eastAsia="tr-TR" w:bidi="tr-TR"/>
      </w:rPr>
    </w:lvl>
    <w:lvl w:ilvl="4">
      <w:start w:val="1"/>
      <w:numFmt w:val="decimal"/>
      <w:lvlText w:val="%1.%2.%3.%4.%5."/>
      <w:lvlJc w:val="left"/>
      <w:pPr>
        <w:ind w:left="2797" w:hanging="961"/>
        <w:jc w:val="left"/>
      </w:pPr>
      <w:rPr>
        <w:rFonts w:hint="default" w:ascii="Times New Roman" w:hAnsi="Times New Roman" w:eastAsia="Times New Roman" w:cs="Times New Roman"/>
        <w:b/>
        <w:bCs/>
        <w:spacing w:val="-2"/>
        <w:w w:val="99"/>
        <w:sz w:val="24"/>
        <w:szCs w:val="24"/>
        <w:lang w:val="tr-TR" w:eastAsia="tr-TR" w:bidi="tr-TR"/>
      </w:rPr>
    </w:lvl>
    <w:lvl w:ilvl="5">
      <w:start w:val="0"/>
      <w:numFmt w:val="bullet"/>
      <w:lvlText w:val="•"/>
      <w:lvlJc w:val="left"/>
      <w:pPr>
        <w:ind w:left="5592" w:hanging="961"/>
      </w:pPr>
      <w:rPr>
        <w:rFonts w:hint="default"/>
        <w:lang w:val="tr-TR" w:eastAsia="tr-TR" w:bidi="tr-TR"/>
      </w:rPr>
    </w:lvl>
    <w:lvl w:ilvl="6">
      <w:start w:val="0"/>
      <w:numFmt w:val="bullet"/>
      <w:lvlText w:val="•"/>
      <w:lvlJc w:val="left"/>
      <w:pPr>
        <w:ind w:left="6523" w:hanging="961"/>
      </w:pPr>
      <w:rPr>
        <w:rFonts w:hint="default"/>
        <w:lang w:val="tr-TR" w:eastAsia="tr-TR" w:bidi="tr-TR"/>
      </w:rPr>
    </w:lvl>
    <w:lvl w:ilvl="7">
      <w:start w:val="0"/>
      <w:numFmt w:val="bullet"/>
      <w:lvlText w:val="•"/>
      <w:lvlJc w:val="left"/>
      <w:pPr>
        <w:ind w:left="7454" w:hanging="961"/>
      </w:pPr>
      <w:rPr>
        <w:rFonts w:hint="default"/>
        <w:lang w:val="tr-TR" w:eastAsia="tr-TR" w:bidi="tr-TR"/>
      </w:rPr>
    </w:lvl>
    <w:lvl w:ilvl="8">
      <w:start w:val="0"/>
      <w:numFmt w:val="bullet"/>
      <w:lvlText w:val="•"/>
      <w:lvlJc w:val="left"/>
      <w:pPr>
        <w:ind w:left="8384" w:hanging="961"/>
      </w:pPr>
      <w:rPr>
        <w:rFonts w:hint="default"/>
        <w:lang w:val="tr-TR" w:eastAsia="tr-TR" w:bidi="tr-TR"/>
      </w:rPr>
    </w:lvl>
  </w:abstractNum>
  <w:abstractNum w:abstractNumId="7">
    <w:multiLevelType w:val="hybridMultilevel"/>
    <w:lvl w:ilvl="0">
      <w:start w:val="1"/>
      <w:numFmt w:val="decimal"/>
      <w:lvlText w:val="%1."/>
      <w:lvlJc w:val="left"/>
      <w:pPr>
        <w:ind w:left="2076" w:hanging="240"/>
        <w:jc w:val="left"/>
      </w:pPr>
      <w:rPr>
        <w:rFonts w:hint="default" w:ascii="Times New Roman" w:hAnsi="Times New Roman" w:eastAsia="Times New Roman" w:cs="Times New Roman"/>
        <w:spacing w:val="-1"/>
        <w:w w:val="100"/>
        <w:sz w:val="24"/>
        <w:szCs w:val="24"/>
        <w:lang w:val="tr-TR" w:eastAsia="tr-TR" w:bidi="tr-TR"/>
      </w:rPr>
    </w:lvl>
    <w:lvl w:ilvl="1">
      <w:start w:val="0"/>
      <w:numFmt w:val="bullet"/>
      <w:lvlText w:val="•"/>
      <w:lvlJc w:val="left"/>
      <w:pPr>
        <w:ind w:left="2896" w:hanging="240"/>
      </w:pPr>
      <w:rPr>
        <w:rFonts w:hint="default"/>
        <w:lang w:val="tr-TR" w:eastAsia="tr-TR" w:bidi="tr-TR"/>
      </w:rPr>
    </w:lvl>
    <w:lvl w:ilvl="2">
      <w:start w:val="0"/>
      <w:numFmt w:val="bullet"/>
      <w:lvlText w:val="•"/>
      <w:lvlJc w:val="left"/>
      <w:pPr>
        <w:ind w:left="3713" w:hanging="240"/>
      </w:pPr>
      <w:rPr>
        <w:rFonts w:hint="default"/>
        <w:lang w:val="tr-TR" w:eastAsia="tr-TR" w:bidi="tr-TR"/>
      </w:rPr>
    </w:lvl>
    <w:lvl w:ilvl="3">
      <w:start w:val="0"/>
      <w:numFmt w:val="bullet"/>
      <w:lvlText w:val="•"/>
      <w:lvlJc w:val="left"/>
      <w:pPr>
        <w:ind w:left="4529" w:hanging="240"/>
      </w:pPr>
      <w:rPr>
        <w:rFonts w:hint="default"/>
        <w:lang w:val="tr-TR" w:eastAsia="tr-TR" w:bidi="tr-TR"/>
      </w:rPr>
    </w:lvl>
    <w:lvl w:ilvl="4">
      <w:start w:val="0"/>
      <w:numFmt w:val="bullet"/>
      <w:lvlText w:val="•"/>
      <w:lvlJc w:val="left"/>
      <w:pPr>
        <w:ind w:left="5346" w:hanging="240"/>
      </w:pPr>
      <w:rPr>
        <w:rFonts w:hint="default"/>
        <w:lang w:val="tr-TR" w:eastAsia="tr-TR" w:bidi="tr-TR"/>
      </w:rPr>
    </w:lvl>
    <w:lvl w:ilvl="5">
      <w:start w:val="0"/>
      <w:numFmt w:val="bullet"/>
      <w:lvlText w:val="•"/>
      <w:lvlJc w:val="left"/>
      <w:pPr>
        <w:ind w:left="6163" w:hanging="240"/>
      </w:pPr>
      <w:rPr>
        <w:rFonts w:hint="default"/>
        <w:lang w:val="tr-TR" w:eastAsia="tr-TR" w:bidi="tr-TR"/>
      </w:rPr>
    </w:lvl>
    <w:lvl w:ilvl="6">
      <w:start w:val="0"/>
      <w:numFmt w:val="bullet"/>
      <w:lvlText w:val="•"/>
      <w:lvlJc w:val="left"/>
      <w:pPr>
        <w:ind w:left="6979" w:hanging="240"/>
      </w:pPr>
      <w:rPr>
        <w:rFonts w:hint="default"/>
        <w:lang w:val="tr-TR" w:eastAsia="tr-TR" w:bidi="tr-TR"/>
      </w:rPr>
    </w:lvl>
    <w:lvl w:ilvl="7">
      <w:start w:val="0"/>
      <w:numFmt w:val="bullet"/>
      <w:lvlText w:val="•"/>
      <w:lvlJc w:val="left"/>
      <w:pPr>
        <w:ind w:left="7796" w:hanging="240"/>
      </w:pPr>
      <w:rPr>
        <w:rFonts w:hint="default"/>
        <w:lang w:val="tr-TR" w:eastAsia="tr-TR" w:bidi="tr-TR"/>
      </w:rPr>
    </w:lvl>
    <w:lvl w:ilvl="8">
      <w:start w:val="0"/>
      <w:numFmt w:val="bullet"/>
      <w:lvlText w:val="•"/>
      <w:lvlJc w:val="left"/>
      <w:pPr>
        <w:ind w:left="8613" w:hanging="240"/>
      </w:pPr>
      <w:rPr>
        <w:rFonts w:hint="default"/>
        <w:lang w:val="tr-TR" w:eastAsia="tr-TR" w:bidi="tr-TR"/>
      </w:rPr>
    </w:lvl>
  </w:abstractNum>
  <w:abstractNum w:abstractNumId="6">
    <w:multiLevelType w:val="hybridMultilevel"/>
    <w:lvl w:ilvl="0">
      <w:start w:val="0"/>
      <w:numFmt w:val="bullet"/>
      <w:lvlText w:val="•"/>
      <w:lvlJc w:val="left"/>
      <w:pPr>
        <w:ind w:left="1128" w:hanging="363"/>
      </w:pPr>
      <w:rPr>
        <w:rFonts w:hint="default" w:ascii="Times New Roman" w:hAnsi="Times New Roman" w:eastAsia="Times New Roman" w:cs="Times New Roman"/>
        <w:spacing w:val="-22"/>
        <w:w w:val="99"/>
        <w:sz w:val="24"/>
        <w:szCs w:val="24"/>
        <w:lang w:val="tr-TR" w:eastAsia="tr-TR" w:bidi="tr-TR"/>
      </w:rPr>
    </w:lvl>
    <w:lvl w:ilvl="1">
      <w:start w:val="0"/>
      <w:numFmt w:val="bullet"/>
      <w:lvlText w:val="•"/>
      <w:lvlJc w:val="left"/>
      <w:pPr>
        <w:ind w:left="2032" w:hanging="363"/>
      </w:pPr>
      <w:rPr>
        <w:rFonts w:hint="default"/>
        <w:lang w:val="tr-TR" w:eastAsia="tr-TR" w:bidi="tr-TR"/>
      </w:rPr>
    </w:lvl>
    <w:lvl w:ilvl="2">
      <w:start w:val="0"/>
      <w:numFmt w:val="bullet"/>
      <w:lvlText w:val="•"/>
      <w:lvlJc w:val="left"/>
      <w:pPr>
        <w:ind w:left="2945" w:hanging="363"/>
      </w:pPr>
      <w:rPr>
        <w:rFonts w:hint="default"/>
        <w:lang w:val="tr-TR" w:eastAsia="tr-TR" w:bidi="tr-TR"/>
      </w:rPr>
    </w:lvl>
    <w:lvl w:ilvl="3">
      <w:start w:val="0"/>
      <w:numFmt w:val="bullet"/>
      <w:lvlText w:val="•"/>
      <w:lvlJc w:val="left"/>
      <w:pPr>
        <w:ind w:left="3857" w:hanging="363"/>
      </w:pPr>
      <w:rPr>
        <w:rFonts w:hint="default"/>
        <w:lang w:val="tr-TR" w:eastAsia="tr-TR" w:bidi="tr-TR"/>
      </w:rPr>
    </w:lvl>
    <w:lvl w:ilvl="4">
      <w:start w:val="0"/>
      <w:numFmt w:val="bullet"/>
      <w:lvlText w:val="•"/>
      <w:lvlJc w:val="left"/>
      <w:pPr>
        <w:ind w:left="4770" w:hanging="363"/>
      </w:pPr>
      <w:rPr>
        <w:rFonts w:hint="default"/>
        <w:lang w:val="tr-TR" w:eastAsia="tr-TR" w:bidi="tr-TR"/>
      </w:rPr>
    </w:lvl>
    <w:lvl w:ilvl="5">
      <w:start w:val="0"/>
      <w:numFmt w:val="bullet"/>
      <w:lvlText w:val="•"/>
      <w:lvlJc w:val="left"/>
      <w:pPr>
        <w:ind w:left="5683" w:hanging="363"/>
      </w:pPr>
      <w:rPr>
        <w:rFonts w:hint="default"/>
        <w:lang w:val="tr-TR" w:eastAsia="tr-TR" w:bidi="tr-TR"/>
      </w:rPr>
    </w:lvl>
    <w:lvl w:ilvl="6">
      <w:start w:val="0"/>
      <w:numFmt w:val="bullet"/>
      <w:lvlText w:val="•"/>
      <w:lvlJc w:val="left"/>
      <w:pPr>
        <w:ind w:left="6595" w:hanging="363"/>
      </w:pPr>
      <w:rPr>
        <w:rFonts w:hint="default"/>
        <w:lang w:val="tr-TR" w:eastAsia="tr-TR" w:bidi="tr-TR"/>
      </w:rPr>
    </w:lvl>
    <w:lvl w:ilvl="7">
      <w:start w:val="0"/>
      <w:numFmt w:val="bullet"/>
      <w:lvlText w:val="•"/>
      <w:lvlJc w:val="left"/>
      <w:pPr>
        <w:ind w:left="7508" w:hanging="363"/>
      </w:pPr>
      <w:rPr>
        <w:rFonts w:hint="default"/>
        <w:lang w:val="tr-TR" w:eastAsia="tr-TR" w:bidi="tr-TR"/>
      </w:rPr>
    </w:lvl>
    <w:lvl w:ilvl="8">
      <w:start w:val="0"/>
      <w:numFmt w:val="bullet"/>
      <w:lvlText w:val="•"/>
      <w:lvlJc w:val="left"/>
      <w:pPr>
        <w:ind w:left="8421" w:hanging="363"/>
      </w:pPr>
      <w:rPr>
        <w:rFonts w:hint="default"/>
        <w:lang w:val="tr-TR" w:eastAsia="tr-TR" w:bidi="tr-TR"/>
      </w:rPr>
    </w:lvl>
  </w:abstractNum>
  <w:abstractNum w:abstractNumId="5">
    <w:multiLevelType w:val="hybridMultilevel"/>
    <w:lvl w:ilvl="0">
      <w:start w:val="0"/>
      <w:numFmt w:val="bullet"/>
      <w:lvlText w:val="-"/>
      <w:lvlJc w:val="left"/>
      <w:pPr>
        <w:ind w:left="1128" w:hanging="140"/>
      </w:pPr>
      <w:rPr>
        <w:rFonts w:hint="default" w:ascii="Times New Roman" w:hAnsi="Times New Roman" w:eastAsia="Times New Roman" w:cs="Times New Roman"/>
        <w:w w:val="99"/>
        <w:sz w:val="24"/>
        <w:szCs w:val="24"/>
        <w:lang w:val="tr-TR" w:eastAsia="tr-TR" w:bidi="tr-TR"/>
      </w:rPr>
    </w:lvl>
    <w:lvl w:ilvl="1">
      <w:start w:val="0"/>
      <w:numFmt w:val="bullet"/>
      <w:lvlText w:val="•"/>
      <w:lvlJc w:val="left"/>
      <w:pPr>
        <w:ind w:left="2032" w:hanging="140"/>
      </w:pPr>
      <w:rPr>
        <w:rFonts w:hint="default"/>
        <w:lang w:val="tr-TR" w:eastAsia="tr-TR" w:bidi="tr-TR"/>
      </w:rPr>
    </w:lvl>
    <w:lvl w:ilvl="2">
      <w:start w:val="0"/>
      <w:numFmt w:val="bullet"/>
      <w:lvlText w:val="•"/>
      <w:lvlJc w:val="left"/>
      <w:pPr>
        <w:ind w:left="2945" w:hanging="140"/>
      </w:pPr>
      <w:rPr>
        <w:rFonts w:hint="default"/>
        <w:lang w:val="tr-TR" w:eastAsia="tr-TR" w:bidi="tr-TR"/>
      </w:rPr>
    </w:lvl>
    <w:lvl w:ilvl="3">
      <w:start w:val="0"/>
      <w:numFmt w:val="bullet"/>
      <w:lvlText w:val="•"/>
      <w:lvlJc w:val="left"/>
      <w:pPr>
        <w:ind w:left="3857" w:hanging="140"/>
      </w:pPr>
      <w:rPr>
        <w:rFonts w:hint="default"/>
        <w:lang w:val="tr-TR" w:eastAsia="tr-TR" w:bidi="tr-TR"/>
      </w:rPr>
    </w:lvl>
    <w:lvl w:ilvl="4">
      <w:start w:val="0"/>
      <w:numFmt w:val="bullet"/>
      <w:lvlText w:val="•"/>
      <w:lvlJc w:val="left"/>
      <w:pPr>
        <w:ind w:left="4770" w:hanging="140"/>
      </w:pPr>
      <w:rPr>
        <w:rFonts w:hint="default"/>
        <w:lang w:val="tr-TR" w:eastAsia="tr-TR" w:bidi="tr-TR"/>
      </w:rPr>
    </w:lvl>
    <w:lvl w:ilvl="5">
      <w:start w:val="0"/>
      <w:numFmt w:val="bullet"/>
      <w:lvlText w:val="•"/>
      <w:lvlJc w:val="left"/>
      <w:pPr>
        <w:ind w:left="5683" w:hanging="140"/>
      </w:pPr>
      <w:rPr>
        <w:rFonts w:hint="default"/>
        <w:lang w:val="tr-TR" w:eastAsia="tr-TR" w:bidi="tr-TR"/>
      </w:rPr>
    </w:lvl>
    <w:lvl w:ilvl="6">
      <w:start w:val="0"/>
      <w:numFmt w:val="bullet"/>
      <w:lvlText w:val="•"/>
      <w:lvlJc w:val="left"/>
      <w:pPr>
        <w:ind w:left="6595" w:hanging="140"/>
      </w:pPr>
      <w:rPr>
        <w:rFonts w:hint="default"/>
        <w:lang w:val="tr-TR" w:eastAsia="tr-TR" w:bidi="tr-TR"/>
      </w:rPr>
    </w:lvl>
    <w:lvl w:ilvl="7">
      <w:start w:val="0"/>
      <w:numFmt w:val="bullet"/>
      <w:lvlText w:val="•"/>
      <w:lvlJc w:val="left"/>
      <w:pPr>
        <w:ind w:left="7508" w:hanging="140"/>
      </w:pPr>
      <w:rPr>
        <w:rFonts w:hint="default"/>
        <w:lang w:val="tr-TR" w:eastAsia="tr-TR" w:bidi="tr-TR"/>
      </w:rPr>
    </w:lvl>
    <w:lvl w:ilvl="8">
      <w:start w:val="0"/>
      <w:numFmt w:val="bullet"/>
      <w:lvlText w:val="•"/>
      <w:lvlJc w:val="left"/>
      <w:pPr>
        <w:ind w:left="8421" w:hanging="140"/>
      </w:pPr>
      <w:rPr>
        <w:rFonts w:hint="default"/>
        <w:lang w:val="tr-TR" w:eastAsia="tr-TR" w:bidi="tr-TR"/>
      </w:rPr>
    </w:lvl>
  </w:abstractNum>
  <w:abstractNum w:abstractNumId="4">
    <w:multiLevelType w:val="hybridMultilevel"/>
    <w:lvl w:ilvl="0">
      <w:start w:val="1"/>
      <w:numFmt w:val="decimal"/>
      <w:lvlText w:val="%1"/>
      <w:lvlJc w:val="left"/>
      <w:pPr>
        <w:ind w:left="2256" w:hanging="420"/>
        <w:jc w:val="left"/>
      </w:pPr>
      <w:rPr>
        <w:rFonts w:hint="default"/>
        <w:lang w:val="tr-TR" w:eastAsia="tr-TR" w:bidi="tr-TR"/>
      </w:rPr>
    </w:lvl>
    <w:lvl w:ilvl="1">
      <w:start w:val="3"/>
      <w:numFmt w:val="decimal"/>
      <w:lvlText w:val="%1.%2."/>
      <w:lvlJc w:val="left"/>
      <w:pPr>
        <w:ind w:left="2256" w:hanging="420"/>
        <w:jc w:val="left"/>
      </w:pPr>
      <w:rPr>
        <w:rFonts w:hint="default" w:ascii="Times New Roman" w:hAnsi="Times New Roman" w:eastAsia="Times New Roman" w:cs="Times New Roman"/>
        <w:b/>
        <w:bCs/>
        <w:spacing w:val="-2"/>
        <w:w w:val="99"/>
        <w:sz w:val="24"/>
        <w:szCs w:val="24"/>
        <w:lang w:val="tr-TR" w:eastAsia="tr-TR" w:bidi="tr-TR"/>
      </w:rPr>
    </w:lvl>
    <w:lvl w:ilvl="2">
      <w:start w:val="1"/>
      <w:numFmt w:val="decimal"/>
      <w:lvlText w:val="%1.%2.%3."/>
      <w:lvlJc w:val="left"/>
      <w:pPr>
        <w:ind w:left="2436" w:hanging="600"/>
        <w:jc w:val="left"/>
      </w:pPr>
      <w:rPr>
        <w:rFonts w:hint="default" w:ascii="Times New Roman" w:hAnsi="Times New Roman" w:eastAsia="Times New Roman" w:cs="Times New Roman"/>
        <w:b/>
        <w:bCs/>
        <w:spacing w:val="-2"/>
        <w:w w:val="100"/>
        <w:sz w:val="24"/>
        <w:szCs w:val="24"/>
        <w:lang w:val="tr-TR" w:eastAsia="tr-TR" w:bidi="tr-TR"/>
      </w:rPr>
    </w:lvl>
    <w:lvl w:ilvl="3">
      <w:start w:val="1"/>
      <w:numFmt w:val="decimal"/>
      <w:lvlText w:val="%1.%2.%3.%4."/>
      <w:lvlJc w:val="left"/>
      <w:pPr>
        <w:ind w:left="2616" w:hanging="780"/>
        <w:jc w:val="left"/>
      </w:pPr>
      <w:rPr>
        <w:rFonts w:hint="default" w:ascii="Times New Roman" w:hAnsi="Times New Roman" w:eastAsia="Times New Roman" w:cs="Times New Roman"/>
        <w:b/>
        <w:bCs/>
        <w:spacing w:val="-2"/>
        <w:w w:val="99"/>
        <w:sz w:val="24"/>
        <w:szCs w:val="24"/>
        <w:lang w:val="tr-TR" w:eastAsia="tr-TR" w:bidi="tr-TR"/>
      </w:rPr>
    </w:lvl>
    <w:lvl w:ilvl="4">
      <w:start w:val="0"/>
      <w:numFmt w:val="bullet"/>
      <w:lvlText w:val="•"/>
      <w:lvlJc w:val="left"/>
      <w:pPr>
        <w:ind w:left="4526" w:hanging="780"/>
      </w:pPr>
      <w:rPr>
        <w:rFonts w:hint="default"/>
        <w:lang w:val="tr-TR" w:eastAsia="tr-TR" w:bidi="tr-TR"/>
      </w:rPr>
    </w:lvl>
    <w:lvl w:ilvl="5">
      <w:start w:val="0"/>
      <w:numFmt w:val="bullet"/>
      <w:lvlText w:val="•"/>
      <w:lvlJc w:val="left"/>
      <w:pPr>
        <w:ind w:left="5479" w:hanging="780"/>
      </w:pPr>
      <w:rPr>
        <w:rFonts w:hint="default"/>
        <w:lang w:val="tr-TR" w:eastAsia="tr-TR" w:bidi="tr-TR"/>
      </w:rPr>
    </w:lvl>
    <w:lvl w:ilvl="6">
      <w:start w:val="0"/>
      <w:numFmt w:val="bullet"/>
      <w:lvlText w:val="•"/>
      <w:lvlJc w:val="left"/>
      <w:pPr>
        <w:ind w:left="6433" w:hanging="780"/>
      </w:pPr>
      <w:rPr>
        <w:rFonts w:hint="default"/>
        <w:lang w:val="tr-TR" w:eastAsia="tr-TR" w:bidi="tr-TR"/>
      </w:rPr>
    </w:lvl>
    <w:lvl w:ilvl="7">
      <w:start w:val="0"/>
      <w:numFmt w:val="bullet"/>
      <w:lvlText w:val="•"/>
      <w:lvlJc w:val="left"/>
      <w:pPr>
        <w:ind w:left="7386" w:hanging="780"/>
      </w:pPr>
      <w:rPr>
        <w:rFonts w:hint="default"/>
        <w:lang w:val="tr-TR" w:eastAsia="tr-TR" w:bidi="tr-TR"/>
      </w:rPr>
    </w:lvl>
    <w:lvl w:ilvl="8">
      <w:start w:val="0"/>
      <w:numFmt w:val="bullet"/>
      <w:lvlText w:val="•"/>
      <w:lvlJc w:val="left"/>
      <w:pPr>
        <w:ind w:left="8339" w:hanging="780"/>
      </w:pPr>
      <w:rPr>
        <w:rFonts w:hint="default"/>
        <w:lang w:val="tr-TR" w:eastAsia="tr-TR" w:bidi="tr-TR"/>
      </w:rPr>
    </w:lvl>
  </w:abstractNum>
  <w:abstractNum w:abstractNumId="3">
    <w:multiLevelType w:val="hybridMultilevel"/>
    <w:lvl w:ilvl="0">
      <w:start w:val="4"/>
      <w:numFmt w:val="decimal"/>
      <w:lvlText w:val="%1"/>
      <w:lvlJc w:val="left"/>
      <w:pPr>
        <w:ind w:left="1769" w:hanging="420"/>
        <w:jc w:val="left"/>
      </w:pPr>
      <w:rPr>
        <w:rFonts w:hint="default"/>
        <w:lang w:val="tr-TR" w:eastAsia="tr-TR" w:bidi="tr-TR"/>
      </w:rPr>
    </w:lvl>
    <w:lvl w:ilvl="1">
      <w:start w:val="1"/>
      <w:numFmt w:val="decimal"/>
      <w:lvlText w:val="%1.%2."/>
      <w:lvlJc w:val="left"/>
      <w:pPr>
        <w:ind w:left="1769" w:hanging="420"/>
        <w:jc w:val="left"/>
      </w:pPr>
      <w:rPr>
        <w:rFonts w:hint="default" w:ascii="Times New Roman" w:hAnsi="Times New Roman" w:eastAsia="Times New Roman" w:cs="Times New Roman"/>
        <w:spacing w:val="-2"/>
        <w:w w:val="99"/>
        <w:sz w:val="24"/>
        <w:szCs w:val="24"/>
        <w:lang w:val="tr-TR" w:eastAsia="tr-TR" w:bidi="tr-TR"/>
      </w:rPr>
    </w:lvl>
    <w:lvl w:ilvl="2">
      <w:start w:val="1"/>
      <w:numFmt w:val="decimal"/>
      <w:lvlText w:val="%3."/>
      <w:lvlJc w:val="left"/>
      <w:pPr>
        <w:ind w:left="1128" w:hanging="181"/>
        <w:jc w:val="left"/>
      </w:pPr>
      <w:rPr>
        <w:rFonts w:hint="default" w:ascii="Times New Roman" w:hAnsi="Times New Roman" w:eastAsia="Times New Roman" w:cs="Times New Roman"/>
        <w:b/>
        <w:bCs/>
        <w:spacing w:val="-2"/>
        <w:w w:val="99"/>
        <w:sz w:val="22"/>
        <w:szCs w:val="22"/>
        <w:lang w:val="tr-TR" w:eastAsia="tr-TR" w:bidi="tr-TR"/>
      </w:rPr>
    </w:lvl>
    <w:lvl w:ilvl="3">
      <w:start w:val="1"/>
      <w:numFmt w:val="decimal"/>
      <w:lvlText w:val="%3.%4."/>
      <w:lvlJc w:val="left"/>
      <w:pPr>
        <w:ind w:left="2256" w:hanging="420"/>
        <w:jc w:val="left"/>
      </w:pPr>
      <w:rPr>
        <w:rFonts w:hint="default" w:ascii="Times New Roman" w:hAnsi="Times New Roman" w:eastAsia="Times New Roman" w:cs="Times New Roman"/>
        <w:b/>
        <w:bCs/>
        <w:spacing w:val="-4"/>
        <w:w w:val="99"/>
        <w:sz w:val="24"/>
        <w:szCs w:val="24"/>
        <w:lang w:val="tr-TR" w:eastAsia="tr-TR" w:bidi="tr-TR"/>
      </w:rPr>
    </w:lvl>
    <w:lvl w:ilvl="4">
      <w:start w:val="1"/>
      <w:numFmt w:val="decimal"/>
      <w:lvlText w:val="%3.%4.%5."/>
      <w:lvlJc w:val="left"/>
      <w:pPr>
        <w:ind w:left="2436" w:hanging="600"/>
        <w:jc w:val="left"/>
      </w:pPr>
      <w:rPr>
        <w:rFonts w:hint="default" w:ascii="Times New Roman" w:hAnsi="Times New Roman" w:eastAsia="Times New Roman" w:cs="Times New Roman"/>
        <w:b/>
        <w:bCs/>
        <w:spacing w:val="-2"/>
        <w:w w:val="99"/>
        <w:sz w:val="24"/>
        <w:szCs w:val="24"/>
        <w:lang w:val="tr-TR" w:eastAsia="tr-TR" w:bidi="tr-TR"/>
      </w:rPr>
    </w:lvl>
    <w:lvl w:ilvl="5">
      <w:start w:val="0"/>
      <w:numFmt w:val="bullet"/>
      <w:lvlText w:val="•"/>
      <w:lvlJc w:val="left"/>
      <w:pPr>
        <w:ind w:left="4670" w:hanging="600"/>
      </w:pPr>
      <w:rPr>
        <w:rFonts w:hint="default"/>
        <w:lang w:val="tr-TR" w:eastAsia="tr-TR" w:bidi="tr-TR"/>
      </w:rPr>
    </w:lvl>
    <w:lvl w:ilvl="6">
      <w:start w:val="0"/>
      <w:numFmt w:val="bullet"/>
      <w:lvlText w:val="•"/>
      <w:lvlJc w:val="left"/>
      <w:pPr>
        <w:ind w:left="5785" w:hanging="600"/>
      </w:pPr>
      <w:rPr>
        <w:rFonts w:hint="default"/>
        <w:lang w:val="tr-TR" w:eastAsia="tr-TR" w:bidi="tr-TR"/>
      </w:rPr>
    </w:lvl>
    <w:lvl w:ilvl="7">
      <w:start w:val="0"/>
      <w:numFmt w:val="bullet"/>
      <w:lvlText w:val="•"/>
      <w:lvlJc w:val="left"/>
      <w:pPr>
        <w:ind w:left="6900" w:hanging="600"/>
      </w:pPr>
      <w:rPr>
        <w:rFonts w:hint="default"/>
        <w:lang w:val="tr-TR" w:eastAsia="tr-TR" w:bidi="tr-TR"/>
      </w:rPr>
    </w:lvl>
    <w:lvl w:ilvl="8">
      <w:start w:val="0"/>
      <w:numFmt w:val="bullet"/>
      <w:lvlText w:val="•"/>
      <w:lvlJc w:val="left"/>
      <w:pPr>
        <w:ind w:left="8016" w:hanging="600"/>
      </w:pPr>
      <w:rPr>
        <w:rFonts w:hint="default"/>
        <w:lang w:val="tr-TR" w:eastAsia="tr-TR" w:bidi="tr-TR"/>
      </w:rPr>
    </w:lvl>
  </w:abstractNum>
  <w:abstractNum w:abstractNumId="2">
    <w:multiLevelType w:val="hybridMultilevel"/>
    <w:lvl w:ilvl="0">
      <w:start w:val="2"/>
      <w:numFmt w:val="decimal"/>
      <w:lvlText w:val="%1"/>
      <w:lvlJc w:val="left"/>
      <w:pPr>
        <w:ind w:left="1769" w:hanging="420"/>
        <w:jc w:val="left"/>
      </w:pPr>
      <w:rPr>
        <w:rFonts w:hint="default"/>
        <w:lang w:val="tr-TR" w:eastAsia="tr-TR" w:bidi="tr-TR"/>
      </w:rPr>
    </w:lvl>
    <w:lvl w:ilvl="1">
      <w:start w:val="1"/>
      <w:numFmt w:val="decimal"/>
      <w:lvlText w:val="%1.%2."/>
      <w:lvlJc w:val="left"/>
      <w:pPr>
        <w:ind w:left="1769" w:hanging="420"/>
        <w:jc w:val="left"/>
      </w:pPr>
      <w:rPr>
        <w:rFonts w:hint="default" w:ascii="Times New Roman" w:hAnsi="Times New Roman" w:eastAsia="Times New Roman" w:cs="Times New Roman"/>
        <w:spacing w:val="-2"/>
        <w:w w:val="100"/>
        <w:sz w:val="24"/>
        <w:szCs w:val="24"/>
        <w:lang w:val="tr-TR" w:eastAsia="tr-TR" w:bidi="tr-TR"/>
      </w:rPr>
    </w:lvl>
    <w:lvl w:ilvl="2">
      <w:start w:val="1"/>
      <w:numFmt w:val="decimal"/>
      <w:lvlText w:val="%1.%2.%3."/>
      <w:lvlJc w:val="left"/>
      <w:pPr>
        <w:ind w:left="2167" w:hanging="600"/>
        <w:jc w:val="left"/>
      </w:pPr>
      <w:rPr>
        <w:rFonts w:hint="default" w:ascii="Times New Roman" w:hAnsi="Times New Roman" w:eastAsia="Times New Roman" w:cs="Times New Roman"/>
        <w:spacing w:val="-2"/>
        <w:w w:val="99"/>
        <w:sz w:val="24"/>
        <w:szCs w:val="24"/>
        <w:lang w:val="tr-TR" w:eastAsia="tr-TR" w:bidi="tr-TR"/>
      </w:rPr>
    </w:lvl>
    <w:lvl w:ilvl="3">
      <w:start w:val="1"/>
      <w:numFmt w:val="decimal"/>
      <w:lvlText w:val="%1.%2.%3.%4."/>
      <w:lvlJc w:val="left"/>
      <w:pPr>
        <w:ind w:left="2568" w:hanging="780"/>
        <w:jc w:val="left"/>
      </w:pPr>
      <w:rPr>
        <w:rFonts w:hint="default" w:ascii="Times New Roman" w:hAnsi="Times New Roman" w:eastAsia="Times New Roman" w:cs="Times New Roman"/>
        <w:spacing w:val="-3"/>
        <w:w w:val="100"/>
        <w:sz w:val="24"/>
        <w:szCs w:val="24"/>
        <w:lang w:val="tr-TR" w:eastAsia="tr-TR" w:bidi="tr-TR"/>
      </w:rPr>
    </w:lvl>
    <w:lvl w:ilvl="4">
      <w:start w:val="1"/>
      <w:numFmt w:val="decimal"/>
      <w:lvlText w:val="%1.%2.%3.%4.%5."/>
      <w:lvlJc w:val="left"/>
      <w:pPr>
        <w:ind w:left="2972" w:hanging="963"/>
        <w:jc w:val="left"/>
      </w:pPr>
      <w:rPr>
        <w:rFonts w:hint="default" w:ascii="Times New Roman" w:hAnsi="Times New Roman" w:eastAsia="Times New Roman" w:cs="Times New Roman"/>
        <w:w w:val="100"/>
        <w:sz w:val="24"/>
        <w:szCs w:val="24"/>
        <w:lang w:val="tr-TR" w:eastAsia="tr-TR" w:bidi="tr-TR"/>
      </w:rPr>
    </w:lvl>
    <w:lvl w:ilvl="5">
      <w:start w:val="0"/>
      <w:numFmt w:val="bullet"/>
      <w:lvlText w:val="•"/>
      <w:lvlJc w:val="left"/>
      <w:pPr>
        <w:ind w:left="5056" w:hanging="963"/>
      </w:pPr>
      <w:rPr>
        <w:rFonts w:hint="default"/>
        <w:lang w:val="tr-TR" w:eastAsia="tr-TR" w:bidi="tr-TR"/>
      </w:rPr>
    </w:lvl>
    <w:lvl w:ilvl="6">
      <w:start w:val="0"/>
      <w:numFmt w:val="bullet"/>
      <w:lvlText w:val="•"/>
      <w:lvlJc w:val="left"/>
      <w:pPr>
        <w:ind w:left="6094" w:hanging="963"/>
      </w:pPr>
      <w:rPr>
        <w:rFonts w:hint="default"/>
        <w:lang w:val="tr-TR" w:eastAsia="tr-TR" w:bidi="tr-TR"/>
      </w:rPr>
    </w:lvl>
    <w:lvl w:ilvl="7">
      <w:start w:val="0"/>
      <w:numFmt w:val="bullet"/>
      <w:lvlText w:val="•"/>
      <w:lvlJc w:val="left"/>
      <w:pPr>
        <w:ind w:left="7132" w:hanging="963"/>
      </w:pPr>
      <w:rPr>
        <w:rFonts w:hint="default"/>
        <w:lang w:val="tr-TR" w:eastAsia="tr-TR" w:bidi="tr-TR"/>
      </w:rPr>
    </w:lvl>
    <w:lvl w:ilvl="8">
      <w:start w:val="0"/>
      <w:numFmt w:val="bullet"/>
      <w:lvlText w:val="•"/>
      <w:lvlJc w:val="left"/>
      <w:pPr>
        <w:ind w:left="8170" w:hanging="963"/>
      </w:pPr>
      <w:rPr>
        <w:rFonts w:hint="default"/>
        <w:lang w:val="tr-TR" w:eastAsia="tr-TR" w:bidi="tr-TR"/>
      </w:rPr>
    </w:lvl>
  </w:abstractNum>
  <w:abstractNum w:abstractNumId="1">
    <w:multiLevelType w:val="hybridMultilevel"/>
    <w:lvl w:ilvl="0">
      <w:start w:val="1"/>
      <w:numFmt w:val="decimal"/>
      <w:lvlText w:val="%1"/>
      <w:lvlJc w:val="left"/>
      <w:pPr>
        <w:ind w:left="2167" w:hanging="600"/>
        <w:jc w:val="left"/>
      </w:pPr>
      <w:rPr>
        <w:rFonts w:hint="default"/>
        <w:lang w:val="tr-TR" w:eastAsia="tr-TR" w:bidi="tr-TR"/>
      </w:rPr>
    </w:lvl>
    <w:lvl w:ilvl="1">
      <w:start w:val="2"/>
      <w:numFmt w:val="decimal"/>
      <w:lvlText w:val="%1.%2"/>
      <w:lvlJc w:val="left"/>
      <w:pPr>
        <w:ind w:left="2167" w:hanging="600"/>
        <w:jc w:val="left"/>
      </w:pPr>
      <w:rPr>
        <w:rFonts w:hint="default"/>
        <w:lang w:val="tr-TR" w:eastAsia="tr-TR" w:bidi="tr-TR"/>
      </w:rPr>
    </w:lvl>
    <w:lvl w:ilvl="2">
      <w:start w:val="4"/>
      <w:numFmt w:val="decimal"/>
      <w:lvlText w:val="%1.%2.%3."/>
      <w:lvlJc w:val="left"/>
      <w:pPr>
        <w:ind w:left="2167" w:hanging="600"/>
        <w:jc w:val="left"/>
      </w:pPr>
      <w:rPr>
        <w:rFonts w:hint="default" w:ascii="Times New Roman" w:hAnsi="Times New Roman" w:eastAsia="Times New Roman" w:cs="Times New Roman"/>
        <w:spacing w:val="-2"/>
        <w:w w:val="100"/>
        <w:sz w:val="24"/>
        <w:szCs w:val="24"/>
        <w:lang w:val="tr-TR" w:eastAsia="tr-TR" w:bidi="tr-TR"/>
      </w:rPr>
    </w:lvl>
    <w:lvl w:ilvl="3">
      <w:start w:val="0"/>
      <w:numFmt w:val="bullet"/>
      <w:lvlText w:val="•"/>
      <w:lvlJc w:val="left"/>
      <w:pPr>
        <w:ind w:left="4585" w:hanging="600"/>
      </w:pPr>
      <w:rPr>
        <w:rFonts w:hint="default"/>
        <w:lang w:val="tr-TR" w:eastAsia="tr-TR" w:bidi="tr-TR"/>
      </w:rPr>
    </w:lvl>
    <w:lvl w:ilvl="4">
      <w:start w:val="0"/>
      <w:numFmt w:val="bullet"/>
      <w:lvlText w:val="•"/>
      <w:lvlJc w:val="left"/>
      <w:pPr>
        <w:ind w:left="5394" w:hanging="600"/>
      </w:pPr>
      <w:rPr>
        <w:rFonts w:hint="default"/>
        <w:lang w:val="tr-TR" w:eastAsia="tr-TR" w:bidi="tr-TR"/>
      </w:rPr>
    </w:lvl>
    <w:lvl w:ilvl="5">
      <w:start w:val="0"/>
      <w:numFmt w:val="bullet"/>
      <w:lvlText w:val="•"/>
      <w:lvlJc w:val="left"/>
      <w:pPr>
        <w:ind w:left="6203" w:hanging="600"/>
      </w:pPr>
      <w:rPr>
        <w:rFonts w:hint="default"/>
        <w:lang w:val="tr-TR" w:eastAsia="tr-TR" w:bidi="tr-TR"/>
      </w:rPr>
    </w:lvl>
    <w:lvl w:ilvl="6">
      <w:start w:val="0"/>
      <w:numFmt w:val="bullet"/>
      <w:lvlText w:val="•"/>
      <w:lvlJc w:val="left"/>
      <w:pPr>
        <w:ind w:left="7011" w:hanging="600"/>
      </w:pPr>
      <w:rPr>
        <w:rFonts w:hint="default"/>
        <w:lang w:val="tr-TR" w:eastAsia="tr-TR" w:bidi="tr-TR"/>
      </w:rPr>
    </w:lvl>
    <w:lvl w:ilvl="7">
      <w:start w:val="0"/>
      <w:numFmt w:val="bullet"/>
      <w:lvlText w:val="•"/>
      <w:lvlJc w:val="left"/>
      <w:pPr>
        <w:ind w:left="7820" w:hanging="600"/>
      </w:pPr>
      <w:rPr>
        <w:rFonts w:hint="default"/>
        <w:lang w:val="tr-TR" w:eastAsia="tr-TR" w:bidi="tr-TR"/>
      </w:rPr>
    </w:lvl>
    <w:lvl w:ilvl="8">
      <w:start w:val="0"/>
      <w:numFmt w:val="bullet"/>
      <w:lvlText w:val="•"/>
      <w:lvlJc w:val="left"/>
      <w:pPr>
        <w:ind w:left="8629" w:hanging="600"/>
      </w:pPr>
      <w:rPr>
        <w:rFonts w:hint="default"/>
        <w:lang w:val="tr-TR" w:eastAsia="tr-TR" w:bidi="tr-TR"/>
      </w:rPr>
    </w:lvl>
  </w:abstractNum>
  <w:abstractNum w:abstractNumId="0">
    <w:multiLevelType w:val="hybridMultilevel"/>
    <w:lvl w:ilvl="0">
      <w:start w:val="1"/>
      <w:numFmt w:val="decimal"/>
      <w:lvlText w:val="%1."/>
      <w:lvlJc w:val="left"/>
      <w:pPr>
        <w:ind w:left="1128" w:hanging="240"/>
        <w:jc w:val="right"/>
      </w:pPr>
      <w:rPr>
        <w:rFonts w:hint="default" w:ascii="Times New Roman" w:hAnsi="Times New Roman" w:eastAsia="Times New Roman" w:cs="Times New Roman"/>
        <w:b/>
        <w:bCs/>
        <w:spacing w:val="-2"/>
        <w:w w:val="100"/>
        <w:sz w:val="24"/>
        <w:szCs w:val="24"/>
        <w:lang w:val="tr-TR" w:eastAsia="tr-TR" w:bidi="tr-TR"/>
      </w:rPr>
    </w:lvl>
    <w:lvl w:ilvl="1">
      <w:start w:val="1"/>
      <w:numFmt w:val="decimal"/>
      <w:lvlText w:val="%1.%2."/>
      <w:lvlJc w:val="left"/>
      <w:pPr>
        <w:ind w:left="1769" w:hanging="420"/>
        <w:jc w:val="left"/>
      </w:pPr>
      <w:rPr>
        <w:rFonts w:hint="default" w:ascii="Times New Roman" w:hAnsi="Times New Roman" w:eastAsia="Times New Roman" w:cs="Times New Roman"/>
        <w:spacing w:val="-4"/>
        <w:w w:val="100"/>
        <w:sz w:val="24"/>
        <w:szCs w:val="24"/>
        <w:lang w:val="tr-TR" w:eastAsia="tr-TR" w:bidi="tr-TR"/>
      </w:rPr>
    </w:lvl>
    <w:lvl w:ilvl="2">
      <w:start w:val="1"/>
      <w:numFmt w:val="decimal"/>
      <w:lvlText w:val="%1.%2.%3."/>
      <w:lvlJc w:val="left"/>
      <w:pPr>
        <w:ind w:left="2167" w:hanging="600"/>
        <w:jc w:val="left"/>
      </w:pPr>
      <w:rPr>
        <w:rFonts w:hint="default" w:ascii="Times New Roman" w:hAnsi="Times New Roman" w:eastAsia="Times New Roman" w:cs="Times New Roman"/>
        <w:spacing w:val="-2"/>
        <w:w w:val="99"/>
        <w:sz w:val="24"/>
        <w:szCs w:val="24"/>
        <w:lang w:val="tr-TR" w:eastAsia="tr-TR" w:bidi="tr-TR"/>
      </w:rPr>
    </w:lvl>
    <w:lvl w:ilvl="3">
      <w:start w:val="1"/>
      <w:numFmt w:val="decimal"/>
      <w:lvlText w:val="%1.%2.%3.%4."/>
      <w:lvlJc w:val="left"/>
      <w:pPr>
        <w:ind w:left="2568" w:hanging="780"/>
        <w:jc w:val="left"/>
      </w:pPr>
      <w:rPr>
        <w:rFonts w:hint="default" w:ascii="Times New Roman" w:hAnsi="Times New Roman" w:eastAsia="Times New Roman" w:cs="Times New Roman"/>
        <w:spacing w:val="-2"/>
        <w:w w:val="99"/>
        <w:sz w:val="24"/>
        <w:szCs w:val="24"/>
        <w:lang w:val="tr-TR" w:eastAsia="tr-TR" w:bidi="tr-TR"/>
      </w:rPr>
    </w:lvl>
    <w:lvl w:ilvl="4">
      <w:start w:val="0"/>
      <w:numFmt w:val="bullet"/>
      <w:lvlText w:val="•"/>
      <w:lvlJc w:val="left"/>
      <w:pPr>
        <w:ind w:left="2560" w:hanging="780"/>
      </w:pPr>
      <w:rPr>
        <w:rFonts w:hint="default"/>
        <w:lang w:val="tr-TR" w:eastAsia="tr-TR" w:bidi="tr-TR"/>
      </w:rPr>
    </w:lvl>
    <w:lvl w:ilvl="5">
      <w:start w:val="0"/>
      <w:numFmt w:val="bullet"/>
      <w:lvlText w:val="•"/>
      <w:lvlJc w:val="left"/>
      <w:pPr>
        <w:ind w:left="3841" w:hanging="780"/>
      </w:pPr>
      <w:rPr>
        <w:rFonts w:hint="default"/>
        <w:lang w:val="tr-TR" w:eastAsia="tr-TR" w:bidi="tr-TR"/>
      </w:rPr>
    </w:lvl>
    <w:lvl w:ilvl="6">
      <w:start w:val="0"/>
      <w:numFmt w:val="bullet"/>
      <w:lvlText w:val="•"/>
      <w:lvlJc w:val="left"/>
      <w:pPr>
        <w:ind w:left="5122" w:hanging="780"/>
      </w:pPr>
      <w:rPr>
        <w:rFonts w:hint="default"/>
        <w:lang w:val="tr-TR" w:eastAsia="tr-TR" w:bidi="tr-TR"/>
      </w:rPr>
    </w:lvl>
    <w:lvl w:ilvl="7">
      <w:start w:val="0"/>
      <w:numFmt w:val="bullet"/>
      <w:lvlText w:val="•"/>
      <w:lvlJc w:val="left"/>
      <w:pPr>
        <w:ind w:left="6403" w:hanging="780"/>
      </w:pPr>
      <w:rPr>
        <w:rFonts w:hint="default"/>
        <w:lang w:val="tr-TR" w:eastAsia="tr-TR" w:bidi="tr-TR"/>
      </w:rPr>
    </w:lvl>
    <w:lvl w:ilvl="8">
      <w:start w:val="0"/>
      <w:numFmt w:val="bullet"/>
      <w:lvlText w:val="•"/>
      <w:lvlJc w:val="left"/>
      <w:pPr>
        <w:ind w:left="7684" w:hanging="780"/>
      </w:pPr>
      <w:rPr>
        <w:rFonts w:hint="default"/>
        <w:lang w:val="tr-TR" w:eastAsia="tr-TR" w:bidi="tr-TR"/>
      </w:rPr>
    </w:lvl>
  </w:abstract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useFELayout/>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tr-TR" w:eastAsia="tr-TR" w:bidi="tr-TR"/>
    </w:rPr>
  </w:style>
  <w:style w:styleId="TOC1" w:type="paragraph">
    <w:name w:val="TOC 1"/>
    <w:basedOn w:val="Normal"/>
    <w:uiPriority w:val="1"/>
    <w:qFormat/>
    <w:pPr>
      <w:spacing w:before="182"/>
      <w:ind w:left="1128"/>
    </w:pPr>
    <w:rPr>
      <w:rFonts w:ascii="Times New Roman" w:hAnsi="Times New Roman" w:eastAsia="Times New Roman" w:cs="Times New Roman"/>
      <w:b/>
      <w:bCs/>
      <w:sz w:val="24"/>
      <w:szCs w:val="24"/>
      <w:lang w:val="tr-TR" w:eastAsia="tr-TR" w:bidi="tr-TR"/>
    </w:rPr>
  </w:style>
  <w:style w:styleId="TOC2" w:type="paragraph">
    <w:name w:val="TOC 2"/>
    <w:basedOn w:val="Normal"/>
    <w:uiPriority w:val="1"/>
    <w:qFormat/>
    <w:pPr>
      <w:spacing w:before="552"/>
      <w:ind w:left="1128" w:right="611" w:firstLine="192"/>
    </w:pPr>
    <w:rPr>
      <w:rFonts w:ascii="Times New Roman" w:hAnsi="Times New Roman" w:eastAsia="Times New Roman" w:cs="Times New Roman"/>
      <w:b/>
      <w:bCs/>
      <w:sz w:val="24"/>
      <w:szCs w:val="24"/>
      <w:lang w:val="tr-TR" w:eastAsia="tr-TR" w:bidi="tr-TR"/>
    </w:rPr>
  </w:style>
  <w:style w:styleId="TOC3" w:type="paragraph">
    <w:name w:val="TOC 3"/>
    <w:basedOn w:val="Normal"/>
    <w:uiPriority w:val="1"/>
    <w:qFormat/>
    <w:pPr>
      <w:spacing w:before="137"/>
      <w:ind w:left="1769" w:hanging="420"/>
    </w:pPr>
    <w:rPr>
      <w:rFonts w:ascii="Times New Roman" w:hAnsi="Times New Roman" w:eastAsia="Times New Roman" w:cs="Times New Roman"/>
      <w:sz w:val="24"/>
      <w:szCs w:val="24"/>
      <w:lang w:val="tr-TR" w:eastAsia="tr-TR" w:bidi="tr-TR"/>
    </w:rPr>
  </w:style>
  <w:style w:styleId="TOC4" w:type="paragraph">
    <w:name w:val="TOC 4"/>
    <w:basedOn w:val="Normal"/>
    <w:uiPriority w:val="1"/>
    <w:qFormat/>
    <w:pPr>
      <w:spacing w:before="102"/>
      <w:ind w:left="1458" w:right="943"/>
      <w:jc w:val="center"/>
    </w:pPr>
    <w:rPr>
      <w:rFonts w:ascii="Times New Roman" w:hAnsi="Times New Roman" w:eastAsia="Times New Roman" w:cs="Times New Roman"/>
      <w:b/>
      <w:bCs/>
      <w:sz w:val="24"/>
      <w:szCs w:val="24"/>
      <w:lang w:val="tr-TR" w:eastAsia="tr-TR" w:bidi="tr-TR"/>
    </w:rPr>
  </w:style>
  <w:style w:styleId="TOC5" w:type="paragraph">
    <w:name w:val="TOC 5"/>
    <w:basedOn w:val="Normal"/>
    <w:uiPriority w:val="1"/>
    <w:qFormat/>
    <w:pPr>
      <w:spacing w:before="137"/>
      <w:ind w:left="2167" w:hanging="600"/>
    </w:pPr>
    <w:rPr>
      <w:rFonts w:ascii="Times New Roman" w:hAnsi="Times New Roman" w:eastAsia="Times New Roman" w:cs="Times New Roman"/>
      <w:sz w:val="24"/>
      <w:szCs w:val="24"/>
      <w:lang w:val="tr-TR" w:eastAsia="tr-TR" w:bidi="tr-TR"/>
    </w:rPr>
  </w:style>
  <w:style w:styleId="TOC6" w:type="paragraph">
    <w:name w:val="TOC 6"/>
    <w:basedOn w:val="Normal"/>
    <w:uiPriority w:val="1"/>
    <w:qFormat/>
    <w:pPr>
      <w:spacing w:before="552"/>
      <w:ind w:left="1128" w:right="611" w:firstLine="598"/>
    </w:pPr>
    <w:rPr>
      <w:rFonts w:ascii="Times New Roman" w:hAnsi="Times New Roman" w:eastAsia="Times New Roman" w:cs="Times New Roman"/>
      <w:b/>
      <w:bCs/>
      <w:sz w:val="24"/>
      <w:szCs w:val="24"/>
      <w:lang w:val="tr-TR" w:eastAsia="tr-TR" w:bidi="tr-TR"/>
    </w:rPr>
  </w:style>
  <w:style w:styleId="TOC7" w:type="paragraph">
    <w:name w:val="TOC 7"/>
    <w:basedOn w:val="Normal"/>
    <w:uiPriority w:val="1"/>
    <w:qFormat/>
    <w:pPr>
      <w:spacing w:before="137"/>
      <w:ind w:left="2568" w:hanging="780"/>
    </w:pPr>
    <w:rPr>
      <w:rFonts w:ascii="Times New Roman" w:hAnsi="Times New Roman" w:eastAsia="Times New Roman" w:cs="Times New Roman"/>
      <w:sz w:val="24"/>
      <w:szCs w:val="24"/>
      <w:lang w:val="tr-TR" w:eastAsia="tr-TR" w:bidi="tr-TR"/>
    </w:rPr>
  </w:style>
  <w:style w:styleId="TOC8" w:type="paragraph">
    <w:name w:val="TOC 8"/>
    <w:basedOn w:val="Normal"/>
    <w:uiPriority w:val="1"/>
    <w:qFormat/>
    <w:pPr>
      <w:spacing w:before="137"/>
      <w:ind w:left="2969" w:hanging="963"/>
    </w:pPr>
    <w:rPr>
      <w:rFonts w:ascii="Times New Roman" w:hAnsi="Times New Roman" w:eastAsia="Times New Roman" w:cs="Times New Roman"/>
      <w:sz w:val="24"/>
      <w:szCs w:val="24"/>
      <w:lang w:val="tr-TR" w:eastAsia="tr-TR" w:bidi="tr-TR"/>
    </w:rPr>
  </w:style>
  <w:style w:styleId="BodyText" w:type="paragraph">
    <w:name w:val="Body Text"/>
    <w:basedOn w:val="Normal"/>
    <w:uiPriority w:val="1"/>
    <w:qFormat/>
    <w:pPr/>
    <w:rPr>
      <w:rFonts w:ascii="Times New Roman" w:hAnsi="Times New Roman" w:eastAsia="Times New Roman" w:cs="Times New Roman"/>
      <w:sz w:val="24"/>
      <w:szCs w:val="24"/>
      <w:lang w:val="tr-TR" w:eastAsia="tr-TR" w:bidi="tr-TR"/>
    </w:rPr>
  </w:style>
  <w:style w:styleId="Heading1" w:type="paragraph">
    <w:name w:val="Heading 1"/>
    <w:basedOn w:val="Normal"/>
    <w:uiPriority w:val="1"/>
    <w:qFormat/>
    <w:pPr>
      <w:ind w:left="2436"/>
      <w:outlineLvl w:val="1"/>
    </w:pPr>
    <w:rPr>
      <w:rFonts w:ascii="Times New Roman" w:hAnsi="Times New Roman" w:eastAsia="Times New Roman" w:cs="Times New Roman"/>
      <w:b/>
      <w:bCs/>
      <w:sz w:val="24"/>
      <w:szCs w:val="24"/>
      <w:lang w:val="tr-TR" w:eastAsia="tr-TR" w:bidi="tr-TR"/>
    </w:rPr>
  </w:style>
  <w:style w:styleId="Heading2" w:type="paragraph">
    <w:name w:val="Heading 2"/>
    <w:basedOn w:val="Normal"/>
    <w:uiPriority w:val="1"/>
    <w:qFormat/>
    <w:pPr>
      <w:ind w:left="1836"/>
      <w:outlineLvl w:val="2"/>
    </w:pPr>
    <w:rPr>
      <w:rFonts w:ascii="Times New Roman" w:hAnsi="Times New Roman" w:eastAsia="Times New Roman" w:cs="Times New Roman"/>
      <w:b/>
      <w:bCs/>
      <w:i/>
      <w:sz w:val="24"/>
      <w:szCs w:val="24"/>
      <w:lang w:val="tr-TR" w:eastAsia="tr-TR" w:bidi="tr-TR"/>
    </w:rPr>
  </w:style>
  <w:style w:styleId="ListParagraph" w:type="paragraph">
    <w:name w:val="List Paragraph"/>
    <w:basedOn w:val="Normal"/>
    <w:uiPriority w:val="1"/>
    <w:qFormat/>
    <w:pPr>
      <w:ind w:left="1128" w:hanging="600"/>
    </w:pPr>
    <w:rPr>
      <w:rFonts w:ascii="Times New Roman" w:hAnsi="Times New Roman" w:eastAsia="Times New Roman" w:cs="Times New Roman"/>
      <w:lang w:val="tr-TR" w:eastAsia="tr-TR" w:bidi="tr-TR"/>
    </w:rPr>
  </w:style>
  <w:style w:styleId="TableParagraph" w:type="paragraph">
    <w:name w:val="Table Paragraph"/>
    <w:basedOn w:val="Normal"/>
    <w:uiPriority w:val="1"/>
    <w:qFormat/>
    <w:pPr/>
    <w:rPr>
      <w:rFonts w:ascii="Times New Roman" w:hAnsi="Times New Roman" w:eastAsia="Times New Roman" w:cs="Times New Roman"/>
      <w:lang w:val="tr-TR" w:eastAsia="tr-TR" w:bidi="tr-TR"/>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footer" Target="footer4.xml"/><Relationship Id="rId10" Type="http://schemas.openxmlformats.org/officeDocument/2006/relationships/footer" Target="footer5.xml"/><Relationship Id="rId11" Type="http://schemas.openxmlformats.org/officeDocument/2006/relationships/image" Target="media/image2.png"/><Relationship Id="rId12" Type="http://schemas.openxmlformats.org/officeDocument/2006/relationships/image" Target="media/image3.jpeg"/><Relationship Id="rId13" Type="http://schemas.openxmlformats.org/officeDocument/2006/relationships/hyperlink" Target="https://deprem.afad.gov.tr/deprem-tehlike-haritasi" TargetMode="External"/><Relationship Id="rId14" Type="http://schemas.openxmlformats.org/officeDocument/2006/relationships/hyperlink" Target="http://www.deprem.gov.tr/" TargetMode="External"/><Relationship Id="rId15" Type="http://schemas.openxmlformats.org/officeDocument/2006/relationships/footer" Target="footer6.xml"/><Relationship Id="rId16" Type="http://schemas.openxmlformats.org/officeDocument/2006/relationships/footer" Target="footer7.xml"/><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20" Type="http://schemas.openxmlformats.org/officeDocument/2006/relationships/image" Target="media/image7.jpeg"/><Relationship Id="rId21" Type="http://schemas.openxmlformats.org/officeDocument/2006/relationships/hyperlink" Target="https://www.afad.gov.tr/tr/2218/Teskilat-Semasi" TargetMode="External"/><Relationship Id="rId22" Type="http://schemas.openxmlformats.org/officeDocument/2006/relationships/hyperlink" Target="http://turkafet.org/tr" TargetMode="External"/><Relationship Id="rId23" Type="http://schemas.openxmlformats.org/officeDocument/2006/relationships/hyperlink" Target="http://www.fema.gov.tr/" TargetMode="External"/><Relationship Id="rId24" Type="http://schemas.openxmlformats.org/officeDocument/2006/relationships/image" Target="media/image8.jpeg"/><Relationship Id="rId25" Type="http://schemas.openxmlformats.org/officeDocument/2006/relationships/hyperlink" Target="http://www.gumushane.gov.tr/" TargetMode="External"/><Relationship Id="rId26" Type="http://schemas.openxmlformats.org/officeDocument/2006/relationships/image" Target="media/image9.jpeg"/><Relationship Id="rId27" Type="http://schemas.openxmlformats.org/officeDocument/2006/relationships/hyperlink" Target="http://www.mgm.gov.tr/" TargetMode="External"/><Relationship Id="rId28" Type="http://schemas.openxmlformats.org/officeDocument/2006/relationships/hyperlink" Target="https://gumushane.afad.gov.tr/" TargetMode="External"/><Relationship Id="rId29" Type="http://schemas.openxmlformats.org/officeDocument/2006/relationships/image" Target="media/image10.jpeg"/><Relationship Id="rId30" Type="http://schemas.openxmlformats.org/officeDocument/2006/relationships/hyperlink" Target="http://www.gumushane.afad.gov.tr/" TargetMode="External"/><Relationship Id="rId31" Type="http://schemas.openxmlformats.org/officeDocument/2006/relationships/image" Target="media/image11.jpeg"/><Relationship Id="rId32" Type="http://schemas.openxmlformats.org/officeDocument/2006/relationships/image" Target="media/image12.png"/><Relationship Id="rId33" Type="http://schemas.openxmlformats.org/officeDocument/2006/relationships/hyperlink" Target="https://www.afad.gov.tr/upload/Node/3495/xfiles/sozluk.pdf" TargetMode="External"/><Relationship Id="rId34" Type="http://schemas.openxmlformats.org/officeDocument/2006/relationships/hyperlink" Target="http://www.afad.gov.tr/upload/Node/3923/xfiles/turkiye-afet-farkindaligi-" TargetMode="External"/><Relationship Id="rId35" Type="http://schemas.openxmlformats.org/officeDocument/2006/relationships/hyperlink" Target="https://deprem.afad.gov.tr/" TargetMode="External"/><Relationship Id="rId36" Type="http://schemas.openxmlformats.org/officeDocument/2006/relationships/hyperlink" Target="http://www.deprem.gov.tr/sarbis/depbolge/gumushane.gif/" TargetMode="External"/><Relationship Id="rId37" Type="http://schemas.openxmlformats.org/officeDocument/2006/relationships/hyperlink" Target="http://www.oes.ca.gov/" TargetMode="External"/><Relationship Id="rId38" Type="http://schemas.openxmlformats.org/officeDocument/2006/relationships/hyperlink" Target="http://www.tepav.org.tr/" TargetMode="External"/><Relationship Id="rId39" Type="http://schemas.openxmlformats.org/officeDocument/2006/relationships/hyperlink" Target="https://www.fema.gov/media-library-data/20130726-1514-204909176/this_is_fema.pdf" TargetMode="External"/><Relationship Id="rId40" Type="http://schemas.openxmlformats.org/officeDocument/2006/relationships/hyperlink" Target="http://www.deprem.gov.tr/Sarbis/DDK/JICA_%C3%83%C2%BClke%20strateji%20raporu%2Cpdf" TargetMode="External"/><Relationship Id="rId41" Type="http://schemas.openxmlformats.org/officeDocument/2006/relationships/hyperlink" Target="http://turkafet.org.tr/" TargetMode="External"/><Relationship Id="rId42" Type="http://schemas.openxmlformats.org/officeDocument/2006/relationships/hyperlink" Target="http://www.icisleri.gov.tr/_icisleri/TurkIdareDergisi/UpLoadedFiles/434_155_1" TargetMode="External"/><Relationship Id="rId43" Type="http://schemas.openxmlformats.org/officeDocument/2006/relationships/hyperlink" Target="mailto:jasminkoca94@gmail.com" TargetMode="External"/><Relationship Id="rId44" Type="http://schemas.openxmlformats.org/officeDocument/2006/relationships/image" Target="media/image13.jpeg"/><Relationship Id="rId45" Type="http://schemas.openxmlformats.org/officeDocument/2006/relationships/image" Target="media/image14.jpeg"/><Relationship Id="rId46" Type="http://schemas.openxmlformats.org/officeDocument/2006/relationships/image" Target="media/image15.jpeg"/><Relationship Id="rId47" Type="http://schemas.openxmlformats.org/officeDocument/2006/relationships/image" Target="media/image16.png"/><Relationship Id="rId48" Type="http://schemas.openxmlformats.org/officeDocument/2006/relationships/image" Target="media/image17.png"/><Relationship Id="rId49" Type="http://schemas.openxmlformats.org/officeDocument/2006/relationships/hyperlink" Target="mailto:mehmet.karabiyik1@saglik.gov.tr" TargetMode="External"/><Relationship Id="rId50" Type="http://schemas.openxmlformats.org/officeDocument/2006/relationships/hyperlink" Target="http://gumushane.ism.saglik.gov.tr/" TargetMode="External"/><Relationship Id="rId51" Type="http://schemas.openxmlformats.org/officeDocument/2006/relationships/hyperlink" Target="http://e-belge.saglik.gov.tr/" TargetMode="External"/><Relationship Id="rId52"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yasemin kocaman</dc:creator>
  <dcterms:created xsi:type="dcterms:W3CDTF">2019-06-21T13:54:06Z</dcterms:created>
  <dcterms:modified xsi:type="dcterms:W3CDTF">2019-06-21T13:54:06Z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2019-06-19T00:00:00Z</vt:filetime>
  </property>
  <property fmtid="{D5CDD505-2E9C-101B-9397-08002B2CF9AE}" pid="3" name="Creator">
    <vt:lpwstr>Microsoft® Word 2013</vt:lpwstr>
  </property>
  <property fmtid="{D5CDD505-2E9C-101B-9397-08002B2CF9AE}" pid="4" name="LastSaved">
    <vt:filetime>2019-06-21T00:00:00Z</vt:filetime>
  </property>
</Properties>
</file>