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176" w:rsidRDefault="00D75176" w:rsidP="00BD2992">
      <w:pPr>
        <w:tabs>
          <w:tab w:val="left" w:pos="426"/>
        </w:tabs>
        <w:spacing w:before="120" w:after="120"/>
        <w:ind w:firstLine="0"/>
        <w:jc w:val="center"/>
        <w:rPr>
          <w:b/>
          <w:bCs/>
        </w:rPr>
      </w:pPr>
      <w:r w:rsidRPr="00D75176">
        <w:rPr>
          <w:b/>
          <w:bCs/>
          <w:noProof/>
        </w:rPr>
        <w:drawing>
          <wp:inline distT="0" distB="0" distL="0" distR="0">
            <wp:extent cx="638175" cy="638175"/>
            <wp:effectExtent l="0" t="0" r="9525" b="9525"/>
            <wp:docPr id="5" name="Resim 5" descr="C:\Users\w10\Desktop\unnam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w10\Desktop\unnamed.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rsidR="008C535A" w:rsidRPr="00115FA3" w:rsidRDefault="008C535A" w:rsidP="00BD2992">
      <w:pPr>
        <w:tabs>
          <w:tab w:val="left" w:pos="426"/>
        </w:tabs>
        <w:spacing w:before="120" w:after="120"/>
        <w:ind w:firstLine="0"/>
        <w:jc w:val="center"/>
        <w:rPr>
          <w:b/>
          <w:bCs/>
        </w:rPr>
      </w:pPr>
      <w:r w:rsidRPr="00115FA3">
        <w:rPr>
          <w:b/>
          <w:bCs/>
        </w:rPr>
        <w:t>GÜMÜŞHANE ÜNİVERSİTESİ * SOSYAL BİLİMLER ENSTİTÜSÜ</w:t>
      </w:r>
    </w:p>
    <w:p w:rsidR="008C535A" w:rsidRPr="00115FA3" w:rsidRDefault="008C535A" w:rsidP="00BD2992">
      <w:pPr>
        <w:tabs>
          <w:tab w:val="left" w:pos="426"/>
        </w:tabs>
        <w:spacing w:before="120" w:after="120"/>
        <w:ind w:firstLine="0"/>
        <w:jc w:val="center"/>
        <w:rPr>
          <w:b/>
          <w:bCs/>
        </w:rPr>
      </w:pPr>
    </w:p>
    <w:p w:rsidR="008C535A" w:rsidRPr="00115FA3" w:rsidRDefault="008C535A" w:rsidP="00BD2992">
      <w:pPr>
        <w:tabs>
          <w:tab w:val="left" w:pos="426"/>
        </w:tabs>
        <w:spacing w:before="120" w:after="120"/>
        <w:ind w:firstLine="0"/>
        <w:jc w:val="center"/>
        <w:rPr>
          <w:b/>
          <w:bCs/>
        </w:rPr>
      </w:pPr>
      <w:r w:rsidRPr="00115FA3">
        <w:rPr>
          <w:b/>
          <w:bCs/>
        </w:rPr>
        <w:t>İKTİSAT</w:t>
      </w:r>
      <w:r w:rsidR="00D75176">
        <w:rPr>
          <w:b/>
          <w:bCs/>
        </w:rPr>
        <w:t xml:space="preserve"> </w:t>
      </w:r>
      <w:r w:rsidRPr="00115FA3">
        <w:rPr>
          <w:b/>
          <w:bCs/>
        </w:rPr>
        <w:t>ANABİLİM DALI</w:t>
      </w:r>
    </w:p>
    <w:p w:rsidR="008C535A" w:rsidRPr="00115FA3" w:rsidRDefault="008C535A" w:rsidP="00BD2992">
      <w:pPr>
        <w:tabs>
          <w:tab w:val="left" w:pos="426"/>
        </w:tabs>
        <w:spacing w:before="120" w:after="120"/>
        <w:ind w:firstLine="0"/>
        <w:jc w:val="center"/>
        <w:rPr>
          <w:b/>
          <w:bCs/>
        </w:rPr>
      </w:pPr>
    </w:p>
    <w:p w:rsidR="008C535A" w:rsidRDefault="008C535A" w:rsidP="00BD2992">
      <w:pPr>
        <w:tabs>
          <w:tab w:val="left" w:pos="426"/>
        </w:tabs>
        <w:spacing w:before="120" w:after="120"/>
        <w:ind w:firstLine="0"/>
        <w:jc w:val="center"/>
        <w:rPr>
          <w:b/>
          <w:bCs/>
        </w:rPr>
      </w:pPr>
      <w:r w:rsidRPr="00115FA3">
        <w:rPr>
          <w:b/>
          <w:bCs/>
        </w:rPr>
        <w:t>İKTİSAT BÖLÜMÜ</w:t>
      </w:r>
    </w:p>
    <w:p w:rsidR="000B2765" w:rsidRPr="00115FA3" w:rsidRDefault="000B2765" w:rsidP="000B2765">
      <w:pPr>
        <w:tabs>
          <w:tab w:val="left" w:pos="426"/>
        </w:tabs>
        <w:spacing w:before="120" w:after="120"/>
        <w:ind w:firstLine="0"/>
        <w:jc w:val="center"/>
        <w:rPr>
          <w:b/>
          <w:bCs/>
        </w:rPr>
      </w:pPr>
    </w:p>
    <w:p w:rsidR="000B2765" w:rsidRPr="000B2765" w:rsidRDefault="00667710" w:rsidP="000B2765">
      <w:pPr>
        <w:tabs>
          <w:tab w:val="left" w:pos="426"/>
        </w:tabs>
        <w:spacing w:before="120" w:after="120"/>
        <w:ind w:firstLine="0"/>
        <w:jc w:val="center"/>
        <w:rPr>
          <w:b/>
          <w:bCs/>
        </w:rPr>
      </w:pPr>
      <w:r>
        <w:rPr>
          <w:b/>
          <w:bCs/>
        </w:rPr>
        <w:t>YÜKSEK LİSANS</w:t>
      </w:r>
      <w:r w:rsidR="000B2765" w:rsidRPr="000B2765">
        <w:rPr>
          <w:b/>
          <w:bCs/>
        </w:rPr>
        <w:t xml:space="preserve"> PROGRAMI</w:t>
      </w:r>
    </w:p>
    <w:p w:rsidR="00C31C37" w:rsidRDefault="00C31C37" w:rsidP="00BD2992">
      <w:pPr>
        <w:tabs>
          <w:tab w:val="left" w:pos="426"/>
        </w:tabs>
        <w:spacing w:before="120" w:after="120"/>
        <w:ind w:firstLine="0"/>
        <w:jc w:val="center"/>
        <w:rPr>
          <w:b/>
          <w:bCs/>
        </w:rPr>
      </w:pPr>
    </w:p>
    <w:p w:rsidR="00C31C37" w:rsidRDefault="00C31C37" w:rsidP="00BD2992">
      <w:pPr>
        <w:tabs>
          <w:tab w:val="left" w:pos="426"/>
        </w:tabs>
        <w:spacing w:before="120" w:after="120"/>
        <w:ind w:firstLine="0"/>
        <w:jc w:val="center"/>
        <w:rPr>
          <w:b/>
          <w:bCs/>
        </w:rPr>
      </w:pPr>
    </w:p>
    <w:p w:rsidR="00C31C37" w:rsidRDefault="00C31C37" w:rsidP="00BD2992">
      <w:pPr>
        <w:tabs>
          <w:tab w:val="left" w:pos="426"/>
        </w:tabs>
        <w:spacing w:before="120" w:after="120"/>
        <w:ind w:firstLine="0"/>
        <w:jc w:val="center"/>
        <w:rPr>
          <w:b/>
          <w:bCs/>
        </w:rPr>
      </w:pPr>
    </w:p>
    <w:p w:rsidR="008C535A" w:rsidRPr="00115FA3" w:rsidRDefault="00115FA3" w:rsidP="00BD2992">
      <w:pPr>
        <w:tabs>
          <w:tab w:val="left" w:pos="426"/>
        </w:tabs>
        <w:spacing w:before="120" w:after="120"/>
        <w:ind w:firstLine="0"/>
        <w:jc w:val="center"/>
        <w:rPr>
          <w:b/>
          <w:bCs/>
        </w:rPr>
      </w:pPr>
      <w:r w:rsidRPr="00115FA3">
        <w:rPr>
          <w:b/>
          <w:bCs/>
        </w:rPr>
        <w:t xml:space="preserve">TÜRKİYE’DE </w:t>
      </w:r>
      <w:r w:rsidR="008C535A" w:rsidRPr="00115FA3">
        <w:rPr>
          <w:b/>
          <w:bCs/>
        </w:rPr>
        <w:t>HANEHALKI SİGARA TÜKETİMİNİN BELİRLEYİCİLERİ</w:t>
      </w:r>
    </w:p>
    <w:p w:rsidR="008C535A" w:rsidRPr="00115FA3" w:rsidRDefault="008C535A" w:rsidP="00BD2992">
      <w:pPr>
        <w:tabs>
          <w:tab w:val="left" w:pos="426"/>
        </w:tabs>
        <w:spacing w:before="120" w:after="120"/>
        <w:ind w:firstLine="0"/>
        <w:jc w:val="center"/>
        <w:rPr>
          <w:b/>
          <w:bCs/>
        </w:rPr>
      </w:pPr>
    </w:p>
    <w:p w:rsidR="008C535A" w:rsidRPr="00115FA3" w:rsidRDefault="008C535A" w:rsidP="00BD2992">
      <w:pPr>
        <w:tabs>
          <w:tab w:val="left" w:pos="426"/>
        </w:tabs>
        <w:spacing w:before="120" w:after="120"/>
        <w:ind w:firstLine="0"/>
        <w:jc w:val="center"/>
        <w:rPr>
          <w:b/>
          <w:bCs/>
        </w:rPr>
      </w:pPr>
    </w:p>
    <w:p w:rsidR="008C535A" w:rsidRPr="00115FA3" w:rsidRDefault="008C535A" w:rsidP="00BD2992">
      <w:pPr>
        <w:tabs>
          <w:tab w:val="left" w:pos="426"/>
        </w:tabs>
        <w:spacing w:before="120" w:after="120"/>
        <w:ind w:firstLine="0"/>
        <w:jc w:val="center"/>
        <w:rPr>
          <w:b/>
          <w:bCs/>
        </w:rPr>
      </w:pPr>
      <w:r w:rsidRPr="00115FA3">
        <w:rPr>
          <w:b/>
          <w:bCs/>
        </w:rPr>
        <w:t>YÜKSEK LİSANS TEZİ</w:t>
      </w:r>
    </w:p>
    <w:p w:rsidR="008C535A" w:rsidRPr="00115FA3" w:rsidRDefault="008C535A" w:rsidP="00BD2992">
      <w:pPr>
        <w:tabs>
          <w:tab w:val="left" w:pos="426"/>
        </w:tabs>
        <w:spacing w:before="120" w:after="120"/>
        <w:ind w:firstLine="0"/>
        <w:jc w:val="center"/>
        <w:rPr>
          <w:b/>
          <w:bCs/>
        </w:rPr>
      </w:pPr>
    </w:p>
    <w:p w:rsidR="008C535A" w:rsidRPr="00115FA3" w:rsidRDefault="008C535A" w:rsidP="00BD2992">
      <w:pPr>
        <w:tabs>
          <w:tab w:val="left" w:pos="426"/>
        </w:tabs>
        <w:spacing w:before="120" w:after="120"/>
        <w:ind w:firstLine="0"/>
        <w:jc w:val="center"/>
        <w:rPr>
          <w:b/>
          <w:bCs/>
        </w:rPr>
      </w:pPr>
      <w:r w:rsidRPr="00115FA3">
        <w:rPr>
          <w:b/>
          <w:bCs/>
        </w:rPr>
        <w:t>Miraç ERGİN</w:t>
      </w:r>
    </w:p>
    <w:p w:rsidR="008C535A" w:rsidRPr="00115FA3" w:rsidRDefault="008C535A" w:rsidP="00BD2992">
      <w:pPr>
        <w:tabs>
          <w:tab w:val="left" w:pos="426"/>
        </w:tabs>
        <w:spacing w:before="120" w:after="120"/>
        <w:ind w:firstLine="0"/>
        <w:jc w:val="center"/>
        <w:rPr>
          <w:b/>
          <w:bCs/>
        </w:rPr>
      </w:pPr>
    </w:p>
    <w:p w:rsidR="008C535A" w:rsidRDefault="008C535A" w:rsidP="00BD2992">
      <w:pPr>
        <w:tabs>
          <w:tab w:val="left" w:pos="426"/>
        </w:tabs>
        <w:spacing w:before="120" w:after="120"/>
        <w:ind w:firstLine="0"/>
        <w:jc w:val="center"/>
        <w:rPr>
          <w:b/>
          <w:bCs/>
        </w:rPr>
      </w:pPr>
    </w:p>
    <w:p w:rsidR="000B2765" w:rsidRDefault="000B2765" w:rsidP="00BD2992">
      <w:pPr>
        <w:tabs>
          <w:tab w:val="left" w:pos="426"/>
        </w:tabs>
        <w:spacing w:before="120" w:after="120"/>
        <w:ind w:firstLine="0"/>
        <w:jc w:val="center"/>
        <w:rPr>
          <w:b/>
          <w:bCs/>
        </w:rPr>
      </w:pPr>
    </w:p>
    <w:p w:rsidR="00C31C37" w:rsidRPr="00115FA3" w:rsidRDefault="00C31C37" w:rsidP="00BD2992">
      <w:pPr>
        <w:tabs>
          <w:tab w:val="left" w:pos="426"/>
        </w:tabs>
        <w:spacing w:before="120" w:after="120"/>
        <w:ind w:firstLine="0"/>
        <w:jc w:val="center"/>
        <w:rPr>
          <w:b/>
          <w:bCs/>
        </w:rPr>
      </w:pPr>
    </w:p>
    <w:p w:rsidR="008C535A" w:rsidRPr="00115FA3" w:rsidRDefault="007A4775" w:rsidP="00BD2992">
      <w:pPr>
        <w:tabs>
          <w:tab w:val="left" w:pos="426"/>
        </w:tabs>
        <w:spacing w:before="120" w:after="120"/>
        <w:ind w:firstLine="0"/>
        <w:jc w:val="center"/>
        <w:rPr>
          <w:b/>
          <w:bCs/>
        </w:rPr>
      </w:pPr>
      <w:r>
        <w:rPr>
          <w:b/>
          <w:bCs/>
        </w:rPr>
        <w:t>OCAK</w:t>
      </w:r>
      <w:r w:rsidR="00C31C37">
        <w:rPr>
          <w:b/>
          <w:bCs/>
        </w:rPr>
        <w:t xml:space="preserve"> </w:t>
      </w:r>
      <w:r>
        <w:rPr>
          <w:b/>
          <w:bCs/>
        </w:rPr>
        <w:t>2020</w:t>
      </w:r>
    </w:p>
    <w:p w:rsidR="008C535A" w:rsidRPr="00115FA3" w:rsidRDefault="008C535A" w:rsidP="00BD2992">
      <w:pPr>
        <w:tabs>
          <w:tab w:val="left" w:pos="426"/>
        </w:tabs>
        <w:spacing w:before="120" w:after="120"/>
        <w:ind w:firstLine="0"/>
        <w:jc w:val="center"/>
        <w:rPr>
          <w:b/>
          <w:bCs/>
        </w:rPr>
      </w:pPr>
      <w:r w:rsidRPr="00115FA3">
        <w:rPr>
          <w:b/>
          <w:bCs/>
        </w:rPr>
        <w:t>GÜMÜŞHANE</w:t>
      </w:r>
    </w:p>
    <w:p w:rsidR="00D75176" w:rsidRDefault="00D75176" w:rsidP="00BD2992">
      <w:pPr>
        <w:tabs>
          <w:tab w:val="left" w:pos="426"/>
        </w:tabs>
        <w:spacing w:before="120" w:after="120"/>
        <w:ind w:firstLine="0"/>
        <w:jc w:val="center"/>
        <w:rPr>
          <w:b/>
          <w:bCs/>
        </w:rPr>
      </w:pPr>
      <w:r w:rsidRPr="00D75176">
        <w:rPr>
          <w:b/>
          <w:bCs/>
          <w:noProof/>
        </w:rPr>
        <w:lastRenderedPageBreak/>
        <w:drawing>
          <wp:inline distT="0" distB="0" distL="0" distR="0" wp14:anchorId="01BE1AEC" wp14:editId="751B793E">
            <wp:extent cx="600075" cy="610132"/>
            <wp:effectExtent l="0" t="0" r="0" b="0"/>
            <wp:docPr id="4" name="Resim 4" descr="C:\Users\w10\Desktop\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10\Desktop\indir.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8229" cy="618423"/>
                    </a:xfrm>
                    <a:prstGeom prst="rect">
                      <a:avLst/>
                    </a:prstGeom>
                    <a:noFill/>
                    <a:ln>
                      <a:noFill/>
                    </a:ln>
                  </pic:spPr>
                </pic:pic>
              </a:graphicData>
            </a:graphic>
          </wp:inline>
        </w:drawing>
      </w:r>
    </w:p>
    <w:p w:rsidR="008C535A" w:rsidRPr="00115FA3" w:rsidRDefault="008C535A" w:rsidP="00BD2992">
      <w:pPr>
        <w:tabs>
          <w:tab w:val="left" w:pos="426"/>
        </w:tabs>
        <w:spacing w:before="120" w:after="120"/>
        <w:ind w:firstLine="0"/>
        <w:jc w:val="center"/>
        <w:rPr>
          <w:b/>
          <w:bCs/>
        </w:rPr>
      </w:pPr>
      <w:r w:rsidRPr="00115FA3">
        <w:rPr>
          <w:b/>
          <w:bCs/>
        </w:rPr>
        <w:t>GÜMÜŞHANE ÜNİVERSİTESİ * SOSYAL BİLİMLER ENSTİTÜSÜ</w:t>
      </w:r>
    </w:p>
    <w:p w:rsidR="008C535A" w:rsidRPr="00115FA3" w:rsidRDefault="008C535A" w:rsidP="00BD2992">
      <w:pPr>
        <w:tabs>
          <w:tab w:val="left" w:pos="426"/>
        </w:tabs>
        <w:spacing w:before="120" w:after="120"/>
        <w:ind w:firstLine="0"/>
        <w:jc w:val="center"/>
        <w:rPr>
          <w:b/>
          <w:bCs/>
        </w:rPr>
      </w:pPr>
    </w:p>
    <w:p w:rsidR="008C535A" w:rsidRPr="00115FA3" w:rsidRDefault="00D75176" w:rsidP="00BD2992">
      <w:pPr>
        <w:tabs>
          <w:tab w:val="left" w:pos="426"/>
        </w:tabs>
        <w:spacing w:before="120" w:after="120"/>
        <w:ind w:firstLine="0"/>
        <w:jc w:val="center"/>
        <w:rPr>
          <w:b/>
          <w:bCs/>
        </w:rPr>
      </w:pPr>
      <w:r>
        <w:rPr>
          <w:b/>
          <w:bCs/>
        </w:rPr>
        <w:t>İKTİSAT ANA</w:t>
      </w:r>
      <w:r w:rsidR="008C535A" w:rsidRPr="00115FA3">
        <w:rPr>
          <w:b/>
          <w:bCs/>
        </w:rPr>
        <w:t>BİLİM DALI</w:t>
      </w:r>
    </w:p>
    <w:p w:rsidR="008C535A" w:rsidRPr="00115FA3" w:rsidRDefault="008C535A" w:rsidP="00BD2992">
      <w:pPr>
        <w:tabs>
          <w:tab w:val="left" w:pos="426"/>
        </w:tabs>
        <w:spacing w:before="120" w:after="120"/>
        <w:ind w:firstLine="0"/>
        <w:jc w:val="center"/>
        <w:rPr>
          <w:b/>
          <w:bCs/>
        </w:rPr>
      </w:pPr>
    </w:p>
    <w:p w:rsidR="008C535A" w:rsidRPr="00115FA3" w:rsidRDefault="008C535A" w:rsidP="00BD2992">
      <w:pPr>
        <w:tabs>
          <w:tab w:val="left" w:pos="426"/>
        </w:tabs>
        <w:spacing w:before="120" w:after="120"/>
        <w:ind w:firstLine="0"/>
        <w:jc w:val="center"/>
        <w:rPr>
          <w:b/>
          <w:bCs/>
        </w:rPr>
      </w:pPr>
      <w:r w:rsidRPr="00115FA3">
        <w:rPr>
          <w:b/>
          <w:bCs/>
        </w:rPr>
        <w:t>İKTİSAT BÖLÜMÜ</w:t>
      </w:r>
    </w:p>
    <w:p w:rsidR="008C535A" w:rsidRPr="00115FA3" w:rsidRDefault="008C535A" w:rsidP="00BD2992">
      <w:pPr>
        <w:tabs>
          <w:tab w:val="left" w:pos="426"/>
        </w:tabs>
        <w:spacing w:before="120" w:after="120"/>
        <w:ind w:firstLine="0"/>
        <w:jc w:val="center"/>
        <w:rPr>
          <w:b/>
          <w:bCs/>
        </w:rPr>
      </w:pPr>
    </w:p>
    <w:p w:rsidR="008C535A" w:rsidRPr="000B2765" w:rsidRDefault="00667710" w:rsidP="00BD2992">
      <w:pPr>
        <w:tabs>
          <w:tab w:val="left" w:pos="426"/>
        </w:tabs>
        <w:spacing w:before="120" w:after="120"/>
        <w:ind w:firstLine="0"/>
        <w:jc w:val="center"/>
        <w:rPr>
          <w:b/>
          <w:bCs/>
        </w:rPr>
      </w:pPr>
      <w:r>
        <w:rPr>
          <w:b/>
          <w:bCs/>
        </w:rPr>
        <w:t>YÜKSEK LİSANS</w:t>
      </w:r>
      <w:r w:rsidR="000B2765" w:rsidRPr="000B2765">
        <w:rPr>
          <w:b/>
          <w:bCs/>
        </w:rPr>
        <w:t xml:space="preserve"> PROGRAMI</w:t>
      </w:r>
    </w:p>
    <w:p w:rsidR="008C535A" w:rsidRPr="000B2765" w:rsidRDefault="008C535A" w:rsidP="00BD2992">
      <w:pPr>
        <w:tabs>
          <w:tab w:val="left" w:pos="426"/>
        </w:tabs>
        <w:spacing w:before="120" w:after="120"/>
        <w:ind w:firstLine="0"/>
        <w:jc w:val="center"/>
        <w:rPr>
          <w:b/>
          <w:bCs/>
        </w:rPr>
      </w:pPr>
    </w:p>
    <w:p w:rsidR="008C535A" w:rsidRPr="00115FA3" w:rsidRDefault="008C535A" w:rsidP="00BD2992">
      <w:pPr>
        <w:tabs>
          <w:tab w:val="left" w:pos="426"/>
        </w:tabs>
        <w:spacing w:before="120" w:after="120"/>
        <w:ind w:firstLine="0"/>
        <w:jc w:val="center"/>
        <w:rPr>
          <w:b/>
          <w:bCs/>
        </w:rPr>
      </w:pPr>
    </w:p>
    <w:p w:rsidR="008C535A" w:rsidRPr="00115FA3" w:rsidRDefault="008C535A" w:rsidP="00BD2992">
      <w:pPr>
        <w:tabs>
          <w:tab w:val="left" w:pos="426"/>
        </w:tabs>
        <w:spacing w:before="120" w:after="120"/>
        <w:ind w:firstLine="0"/>
        <w:jc w:val="center"/>
        <w:rPr>
          <w:b/>
          <w:bCs/>
        </w:rPr>
      </w:pPr>
    </w:p>
    <w:p w:rsidR="008C535A" w:rsidRPr="00115FA3" w:rsidRDefault="008C535A" w:rsidP="00BD2992">
      <w:pPr>
        <w:tabs>
          <w:tab w:val="left" w:pos="426"/>
        </w:tabs>
        <w:spacing w:before="120" w:after="120"/>
        <w:ind w:firstLine="0"/>
        <w:jc w:val="center"/>
        <w:rPr>
          <w:b/>
          <w:bCs/>
        </w:rPr>
      </w:pPr>
    </w:p>
    <w:p w:rsidR="008C535A" w:rsidRPr="00115FA3" w:rsidRDefault="00115FA3" w:rsidP="00BD2992">
      <w:pPr>
        <w:tabs>
          <w:tab w:val="left" w:pos="426"/>
        </w:tabs>
        <w:spacing w:before="120" w:after="120"/>
        <w:ind w:firstLine="0"/>
        <w:jc w:val="center"/>
        <w:rPr>
          <w:b/>
          <w:bCs/>
        </w:rPr>
      </w:pPr>
      <w:r w:rsidRPr="00115FA3">
        <w:rPr>
          <w:b/>
          <w:bCs/>
        </w:rPr>
        <w:t xml:space="preserve">TÜRKİYE’DE </w:t>
      </w:r>
      <w:r w:rsidR="008C535A" w:rsidRPr="00115FA3">
        <w:rPr>
          <w:b/>
          <w:bCs/>
        </w:rPr>
        <w:t>HANEHALKI SİGARA TÜKETİMİNİN BELİRLEYİCİLERİ</w:t>
      </w:r>
    </w:p>
    <w:p w:rsidR="008C535A" w:rsidRPr="00115FA3" w:rsidRDefault="008C535A" w:rsidP="00BD2992">
      <w:pPr>
        <w:tabs>
          <w:tab w:val="left" w:pos="426"/>
        </w:tabs>
        <w:spacing w:before="120" w:after="120"/>
        <w:ind w:firstLine="0"/>
        <w:jc w:val="center"/>
        <w:rPr>
          <w:b/>
          <w:bCs/>
        </w:rPr>
      </w:pPr>
    </w:p>
    <w:p w:rsidR="008C535A" w:rsidRPr="00115FA3" w:rsidRDefault="008C535A" w:rsidP="00BD2992">
      <w:pPr>
        <w:tabs>
          <w:tab w:val="left" w:pos="426"/>
        </w:tabs>
        <w:spacing w:before="120" w:after="120"/>
        <w:ind w:firstLine="0"/>
        <w:jc w:val="center"/>
        <w:rPr>
          <w:b/>
          <w:bCs/>
        </w:rPr>
      </w:pPr>
    </w:p>
    <w:p w:rsidR="008C535A" w:rsidRPr="00115FA3" w:rsidRDefault="008C535A" w:rsidP="00BD2992">
      <w:pPr>
        <w:tabs>
          <w:tab w:val="left" w:pos="426"/>
        </w:tabs>
        <w:spacing w:before="120" w:after="120"/>
        <w:ind w:firstLine="0"/>
        <w:jc w:val="center"/>
        <w:rPr>
          <w:b/>
          <w:bCs/>
        </w:rPr>
      </w:pPr>
      <w:r w:rsidRPr="00115FA3">
        <w:rPr>
          <w:b/>
          <w:bCs/>
        </w:rPr>
        <w:t>YÜKSEK LİSANS TEZİ</w:t>
      </w:r>
    </w:p>
    <w:p w:rsidR="008C535A" w:rsidRPr="00115FA3" w:rsidRDefault="008C535A" w:rsidP="00BD2992">
      <w:pPr>
        <w:tabs>
          <w:tab w:val="left" w:pos="426"/>
        </w:tabs>
        <w:spacing w:before="120" w:after="120"/>
        <w:ind w:firstLine="0"/>
        <w:jc w:val="center"/>
        <w:rPr>
          <w:b/>
          <w:bCs/>
        </w:rPr>
      </w:pPr>
    </w:p>
    <w:p w:rsidR="008C535A" w:rsidRPr="00115FA3" w:rsidRDefault="008C535A" w:rsidP="00BD2992">
      <w:pPr>
        <w:tabs>
          <w:tab w:val="left" w:pos="426"/>
        </w:tabs>
        <w:spacing w:before="120" w:after="120"/>
        <w:ind w:firstLine="0"/>
        <w:jc w:val="center"/>
        <w:rPr>
          <w:b/>
          <w:bCs/>
        </w:rPr>
      </w:pPr>
      <w:r w:rsidRPr="00115FA3">
        <w:rPr>
          <w:b/>
          <w:bCs/>
        </w:rPr>
        <w:t>Miraç ERGİN</w:t>
      </w:r>
    </w:p>
    <w:p w:rsidR="008C535A" w:rsidRPr="00115FA3" w:rsidRDefault="008C535A" w:rsidP="00BD2992">
      <w:pPr>
        <w:tabs>
          <w:tab w:val="left" w:pos="426"/>
        </w:tabs>
        <w:spacing w:before="120" w:after="120"/>
        <w:ind w:firstLine="0"/>
        <w:jc w:val="center"/>
        <w:rPr>
          <w:b/>
          <w:bCs/>
        </w:rPr>
      </w:pPr>
    </w:p>
    <w:p w:rsidR="008C535A" w:rsidRPr="00115FA3" w:rsidRDefault="008C535A" w:rsidP="00BD2992">
      <w:pPr>
        <w:tabs>
          <w:tab w:val="left" w:pos="426"/>
        </w:tabs>
        <w:spacing w:before="120" w:after="120"/>
        <w:ind w:firstLine="0"/>
        <w:jc w:val="center"/>
        <w:rPr>
          <w:b/>
          <w:bCs/>
        </w:rPr>
      </w:pPr>
    </w:p>
    <w:p w:rsidR="008C535A" w:rsidRPr="00115FA3" w:rsidRDefault="008C535A" w:rsidP="00BD2992">
      <w:pPr>
        <w:tabs>
          <w:tab w:val="left" w:pos="426"/>
        </w:tabs>
        <w:spacing w:before="120" w:after="120"/>
        <w:ind w:firstLine="0"/>
        <w:jc w:val="center"/>
        <w:rPr>
          <w:b/>
          <w:bCs/>
        </w:rPr>
      </w:pPr>
      <w:r w:rsidRPr="00115FA3">
        <w:rPr>
          <w:b/>
          <w:bCs/>
        </w:rPr>
        <w:t>Tez Danışmanı: Dr. Öğr. Üyesi Egemen İPEK</w:t>
      </w:r>
    </w:p>
    <w:p w:rsidR="008C535A" w:rsidRPr="00115FA3" w:rsidRDefault="008C535A" w:rsidP="00BD2992">
      <w:pPr>
        <w:tabs>
          <w:tab w:val="left" w:pos="426"/>
        </w:tabs>
        <w:spacing w:before="120" w:after="120"/>
        <w:ind w:firstLine="0"/>
        <w:jc w:val="center"/>
        <w:rPr>
          <w:b/>
          <w:bCs/>
        </w:rPr>
      </w:pPr>
    </w:p>
    <w:p w:rsidR="008C535A" w:rsidRPr="00115FA3" w:rsidRDefault="007A4775" w:rsidP="00BD2992">
      <w:pPr>
        <w:tabs>
          <w:tab w:val="left" w:pos="426"/>
        </w:tabs>
        <w:spacing w:before="120" w:after="120"/>
        <w:ind w:firstLine="0"/>
        <w:jc w:val="center"/>
        <w:rPr>
          <w:b/>
          <w:bCs/>
        </w:rPr>
      </w:pPr>
      <w:r>
        <w:rPr>
          <w:b/>
          <w:bCs/>
        </w:rPr>
        <w:t>2020</w:t>
      </w:r>
    </w:p>
    <w:p w:rsidR="00C31C37" w:rsidRDefault="00963F30" w:rsidP="00BD2992">
      <w:pPr>
        <w:tabs>
          <w:tab w:val="left" w:pos="426"/>
        </w:tabs>
        <w:spacing w:before="120" w:after="120"/>
        <w:ind w:firstLine="0"/>
        <w:jc w:val="center"/>
        <w:rPr>
          <w:b/>
          <w:bCs/>
        </w:rPr>
      </w:pPr>
      <w:r>
        <w:rPr>
          <w:b/>
          <w:bCs/>
        </w:rPr>
        <w:t>GÜMÜŞHANE</w:t>
      </w:r>
    </w:p>
    <w:p w:rsidR="00963F30" w:rsidRDefault="00963F30" w:rsidP="00963F30">
      <w:pPr>
        <w:tabs>
          <w:tab w:val="left" w:pos="426"/>
        </w:tabs>
        <w:spacing w:before="120" w:after="120"/>
        <w:ind w:firstLine="567"/>
        <w:jc w:val="center"/>
        <w:rPr>
          <w:b/>
          <w:bCs/>
        </w:rPr>
        <w:sectPr w:rsidR="00963F30" w:rsidSect="00993E80">
          <w:footerReference w:type="default" r:id="rId10"/>
          <w:footerReference w:type="first" r:id="rId11"/>
          <w:pgSz w:w="11906" w:h="16838"/>
          <w:pgMar w:top="1701" w:right="1134" w:bottom="1701" w:left="2268" w:header="708" w:footer="708" w:gutter="0"/>
          <w:pgNumType w:fmt="upperRoman" w:start="1"/>
          <w:cols w:space="708"/>
          <w:titlePg/>
          <w:docGrid w:linePitch="360"/>
        </w:sectPr>
      </w:pPr>
    </w:p>
    <w:p w:rsidR="009D2B51" w:rsidRDefault="009D2B51" w:rsidP="009D2B51">
      <w:pPr>
        <w:rPr>
          <w:shd w:val="clear" w:color="auto" w:fill="FFFFFF"/>
        </w:rPr>
      </w:pPr>
    </w:p>
    <w:p w:rsidR="009D2B51" w:rsidRDefault="009D2B51" w:rsidP="009D2B51">
      <w:pPr>
        <w:rPr>
          <w:shd w:val="clear" w:color="auto" w:fill="FFFFFF"/>
        </w:rPr>
      </w:pPr>
    </w:p>
    <w:p w:rsidR="009D2B51" w:rsidRPr="009D2B51" w:rsidRDefault="009D2B51" w:rsidP="009D2B51">
      <w:pPr>
        <w:pStyle w:val="Balk1"/>
        <w:rPr>
          <w:shd w:val="clear" w:color="auto" w:fill="FFFFFF"/>
        </w:rPr>
      </w:pPr>
      <w:bookmarkStart w:id="0" w:name="_Toc34134576"/>
      <w:r w:rsidRPr="009D2B51">
        <w:rPr>
          <w:shd w:val="clear" w:color="auto" w:fill="FFFFFF"/>
        </w:rPr>
        <w:t>KABUL VE ONAY</w:t>
      </w:r>
      <w:bookmarkEnd w:id="0"/>
    </w:p>
    <w:p w:rsidR="009D2B51" w:rsidRDefault="009D2B51" w:rsidP="00EC06FA">
      <w:pPr>
        <w:rPr>
          <w:shd w:val="clear" w:color="auto" w:fill="FFFFFF"/>
        </w:rPr>
      </w:pPr>
      <w:r w:rsidRPr="009D2B51">
        <w:rPr>
          <w:shd w:val="clear" w:color="auto" w:fill="FFFFFF"/>
        </w:rPr>
        <w:t>Dr. Öğr. Üyesi Egemen İPEK danışmanlığında, Miraç ERGİN tarafından hazırlanan “Türkiye’de Hanehalkı Sigara Tüketiminin Belirleyicileri” isimli bu çalışma, xx/xx/2020 tarihinde yapılan savunma sınavı sonucunda başarılı bulunarak jürimiz tarafından Yüksek Lisans Tezi olarak kabul edilmiştir.</w:t>
      </w:r>
    </w:p>
    <w:p w:rsidR="009D2B51" w:rsidRDefault="009D2B51" w:rsidP="009D2B51">
      <w:pPr>
        <w:rPr>
          <w:shd w:val="clear" w:color="auto" w:fill="FFFFFF"/>
        </w:rPr>
      </w:pPr>
    </w:p>
    <w:p w:rsidR="009D2B51" w:rsidRDefault="009D2B51" w:rsidP="009D2B51">
      <w:pPr>
        <w:rPr>
          <w:shd w:val="clear" w:color="auto" w:fill="FFFFFF"/>
        </w:rPr>
      </w:pPr>
    </w:p>
    <w:p w:rsidR="009D2B51" w:rsidRDefault="009D2B51" w:rsidP="009D2B51">
      <w:pPr>
        <w:rPr>
          <w:shd w:val="clear" w:color="auto" w:fill="FFFFFF"/>
        </w:rPr>
      </w:pPr>
    </w:p>
    <w:p w:rsidR="009D2B51" w:rsidRPr="009D2B51" w:rsidRDefault="009D2B51" w:rsidP="009D2B51">
      <w:pPr>
        <w:ind w:firstLine="0"/>
        <w:jc w:val="center"/>
        <w:rPr>
          <w:b/>
          <w:shd w:val="clear" w:color="auto" w:fill="FFFFFF"/>
        </w:rPr>
      </w:pPr>
      <w:r w:rsidRPr="009D2B51">
        <w:rPr>
          <w:b/>
          <w:shd w:val="clear" w:color="auto" w:fill="FFFFFF"/>
        </w:rPr>
        <w:t>[ İmza ]</w:t>
      </w:r>
    </w:p>
    <w:p w:rsidR="009D2B51" w:rsidRDefault="009D2B51" w:rsidP="009D2B51">
      <w:pPr>
        <w:ind w:firstLine="0"/>
        <w:jc w:val="center"/>
        <w:rPr>
          <w:b/>
          <w:shd w:val="clear" w:color="auto" w:fill="FFFFFF"/>
        </w:rPr>
      </w:pPr>
      <w:r w:rsidRPr="009D2B51">
        <w:rPr>
          <w:b/>
          <w:shd w:val="clear" w:color="auto" w:fill="FFFFFF"/>
        </w:rPr>
        <w:t>Doç. Dr. Murat Can GENÇ (Başkan)</w:t>
      </w:r>
    </w:p>
    <w:p w:rsidR="009D2B51" w:rsidRPr="009D2B51" w:rsidRDefault="009D2B51" w:rsidP="009D2B51">
      <w:pPr>
        <w:ind w:firstLine="0"/>
        <w:jc w:val="center"/>
        <w:rPr>
          <w:b/>
          <w:shd w:val="clear" w:color="auto" w:fill="FFFFFF"/>
        </w:rPr>
      </w:pPr>
    </w:p>
    <w:p w:rsidR="009D2B51" w:rsidRDefault="009D2B51" w:rsidP="009D2B51">
      <w:pPr>
        <w:ind w:firstLine="0"/>
        <w:jc w:val="center"/>
        <w:rPr>
          <w:b/>
          <w:shd w:val="clear" w:color="auto" w:fill="FFFFFF"/>
        </w:rPr>
      </w:pPr>
    </w:p>
    <w:p w:rsidR="009D2B51" w:rsidRPr="009D2B51" w:rsidRDefault="009D2B51" w:rsidP="009D2B51">
      <w:pPr>
        <w:ind w:firstLine="0"/>
        <w:jc w:val="center"/>
        <w:rPr>
          <w:b/>
          <w:shd w:val="clear" w:color="auto" w:fill="FFFFFF"/>
        </w:rPr>
      </w:pPr>
    </w:p>
    <w:p w:rsidR="009D2B51" w:rsidRPr="009D2B51" w:rsidRDefault="009D2B51" w:rsidP="009D2B51">
      <w:pPr>
        <w:ind w:firstLine="0"/>
        <w:jc w:val="center"/>
        <w:rPr>
          <w:b/>
          <w:shd w:val="clear" w:color="auto" w:fill="FFFFFF"/>
        </w:rPr>
      </w:pPr>
      <w:r w:rsidRPr="009D2B51">
        <w:rPr>
          <w:b/>
          <w:shd w:val="clear" w:color="auto" w:fill="FFFFFF"/>
        </w:rPr>
        <w:t>[ İmza ]</w:t>
      </w:r>
    </w:p>
    <w:p w:rsidR="009D2B51" w:rsidRDefault="009D2B51" w:rsidP="009D2B51">
      <w:pPr>
        <w:ind w:firstLine="0"/>
        <w:jc w:val="center"/>
        <w:rPr>
          <w:b/>
          <w:shd w:val="clear" w:color="auto" w:fill="FFFFFF"/>
        </w:rPr>
      </w:pPr>
      <w:r w:rsidRPr="009D2B51">
        <w:rPr>
          <w:b/>
          <w:shd w:val="clear" w:color="auto" w:fill="FFFFFF"/>
        </w:rPr>
        <w:t>Dr. Öğr. Üyesi Egemen İPEK (Danışman)</w:t>
      </w:r>
    </w:p>
    <w:p w:rsidR="009D2B51" w:rsidRDefault="009D2B51" w:rsidP="009D2B51">
      <w:pPr>
        <w:ind w:firstLine="0"/>
        <w:jc w:val="center"/>
        <w:rPr>
          <w:b/>
          <w:shd w:val="clear" w:color="auto" w:fill="FFFFFF"/>
        </w:rPr>
      </w:pPr>
    </w:p>
    <w:p w:rsidR="009D2B51" w:rsidRDefault="009D2B51" w:rsidP="009D2B51">
      <w:pPr>
        <w:ind w:firstLine="0"/>
        <w:jc w:val="center"/>
        <w:rPr>
          <w:b/>
          <w:shd w:val="clear" w:color="auto" w:fill="FFFFFF"/>
        </w:rPr>
      </w:pPr>
    </w:p>
    <w:p w:rsidR="009D2B51" w:rsidRPr="009D2B51" w:rsidRDefault="009D2B51" w:rsidP="009D2B51">
      <w:pPr>
        <w:ind w:firstLine="0"/>
        <w:jc w:val="center"/>
        <w:rPr>
          <w:b/>
          <w:shd w:val="clear" w:color="auto" w:fill="FFFFFF"/>
        </w:rPr>
      </w:pPr>
    </w:p>
    <w:p w:rsidR="009D2B51" w:rsidRPr="009D2B51" w:rsidRDefault="009D2B51" w:rsidP="009D2B51">
      <w:pPr>
        <w:ind w:firstLine="0"/>
        <w:jc w:val="center"/>
        <w:rPr>
          <w:b/>
          <w:shd w:val="clear" w:color="auto" w:fill="FFFFFF"/>
        </w:rPr>
      </w:pPr>
      <w:r w:rsidRPr="009D2B51">
        <w:rPr>
          <w:b/>
          <w:shd w:val="clear" w:color="auto" w:fill="FFFFFF"/>
        </w:rPr>
        <w:t>[ İmza ]</w:t>
      </w:r>
    </w:p>
    <w:p w:rsidR="009D2B51" w:rsidRDefault="009D2B51" w:rsidP="009D2B51">
      <w:pPr>
        <w:ind w:firstLine="0"/>
        <w:jc w:val="center"/>
        <w:rPr>
          <w:b/>
          <w:shd w:val="clear" w:color="auto" w:fill="FFFFFF"/>
        </w:rPr>
      </w:pPr>
      <w:r w:rsidRPr="009D2B51">
        <w:rPr>
          <w:b/>
          <w:shd w:val="clear" w:color="auto" w:fill="FFFFFF"/>
        </w:rPr>
        <w:t>Dr. Öğr. Üyesi Hikmet Gülçin BEKEN (Üye)</w:t>
      </w:r>
    </w:p>
    <w:p w:rsidR="009D2B51" w:rsidRDefault="009D2B51" w:rsidP="009D2B51">
      <w:pPr>
        <w:ind w:firstLine="0"/>
        <w:jc w:val="center"/>
        <w:rPr>
          <w:b/>
          <w:shd w:val="clear" w:color="auto" w:fill="FFFFFF"/>
        </w:rPr>
      </w:pPr>
    </w:p>
    <w:p w:rsidR="009D2B51" w:rsidRDefault="009D2B51" w:rsidP="009D2B51">
      <w:pPr>
        <w:ind w:firstLine="0"/>
        <w:jc w:val="center"/>
        <w:rPr>
          <w:b/>
          <w:shd w:val="clear" w:color="auto" w:fill="FFFFFF"/>
        </w:rPr>
      </w:pPr>
    </w:p>
    <w:p w:rsidR="009D2B51" w:rsidRPr="009D2B51" w:rsidRDefault="009D2B51" w:rsidP="009D2B51">
      <w:pPr>
        <w:ind w:firstLine="0"/>
        <w:jc w:val="center"/>
        <w:rPr>
          <w:b/>
          <w:shd w:val="clear" w:color="auto" w:fill="FFFFFF"/>
        </w:rPr>
      </w:pPr>
    </w:p>
    <w:p w:rsidR="009D2B51" w:rsidRDefault="009D2B51" w:rsidP="009D2B51">
      <w:pPr>
        <w:ind w:firstLine="0"/>
        <w:jc w:val="center"/>
        <w:rPr>
          <w:b/>
          <w:shd w:val="clear" w:color="auto" w:fill="FFFFFF"/>
        </w:rPr>
      </w:pPr>
      <w:r w:rsidRPr="009D2B51">
        <w:rPr>
          <w:b/>
          <w:shd w:val="clear" w:color="auto" w:fill="FFFFFF"/>
        </w:rPr>
        <w:t>Yukarıdaki imzaların adı geçen öğretim üyelerine ait olduğunu onaylarım.</w:t>
      </w:r>
    </w:p>
    <w:p w:rsidR="009D2B51" w:rsidRDefault="009D2B51" w:rsidP="009D2B51">
      <w:pPr>
        <w:ind w:firstLine="0"/>
        <w:jc w:val="center"/>
        <w:rPr>
          <w:b/>
          <w:shd w:val="clear" w:color="auto" w:fill="FFFFFF"/>
        </w:rPr>
      </w:pPr>
    </w:p>
    <w:p w:rsidR="009D2B51" w:rsidRPr="009D2B51" w:rsidRDefault="009D2B51" w:rsidP="009D2B51">
      <w:pPr>
        <w:ind w:firstLine="0"/>
        <w:jc w:val="right"/>
        <w:rPr>
          <w:b/>
          <w:shd w:val="clear" w:color="auto" w:fill="FFFFFF"/>
        </w:rPr>
      </w:pPr>
      <w:r w:rsidRPr="009D2B51">
        <w:rPr>
          <w:b/>
          <w:shd w:val="clear" w:color="auto" w:fill="FFFFFF"/>
        </w:rPr>
        <w:t>…../…../……</w:t>
      </w:r>
    </w:p>
    <w:p w:rsidR="009D2B51" w:rsidRPr="009D2B51" w:rsidRDefault="009D2B51" w:rsidP="009D2B51">
      <w:pPr>
        <w:ind w:firstLine="0"/>
        <w:jc w:val="right"/>
        <w:rPr>
          <w:b/>
          <w:shd w:val="clear" w:color="auto" w:fill="FFFFFF"/>
        </w:rPr>
      </w:pPr>
      <w:r w:rsidRPr="009D2B51">
        <w:rPr>
          <w:b/>
          <w:shd w:val="clear" w:color="auto" w:fill="FFFFFF"/>
        </w:rPr>
        <w:t>[ İmza ]</w:t>
      </w:r>
    </w:p>
    <w:p w:rsidR="009D2B51" w:rsidRPr="009D2B51" w:rsidRDefault="009D2B51" w:rsidP="009D2B51">
      <w:pPr>
        <w:ind w:firstLine="0"/>
        <w:jc w:val="right"/>
        <w:rPr>
          <w:b/>
          <w:shd w:val="clear" w:color="auto" w:fill="FFFFFF"/>
        </w:rPr>
      </w:pPr>
      <w:r w:rsidRPr="009D2B51">
        <w:rPr>
          <w:b/>
          <w:shd w:val="clear" w:color="auto" w:fill="FFFFFF"/>
        </w:rPr>
        <w:t>Prof. Dr. Ekrem CENGİZ</w:t>
      </w:r>
    </w:p>
    <w:p w:rsidR="009D2B51" w:rsidRPr="009D2B51" w:rsidRDefault="009D2B51" w:rsidP="009D2B51">
      <w:pPr>
        <w:ind w:firstLine="0"/>
        <w:jc w:val="right"/>
        <w:rPr>
          <w:b/>
          <w:shd w:val="clear" w:color="auto" w:fill="FFFFFF"/>
        </w:rPr>
      </w:pPr>
      <w:r w:rsidRPr="009D2B51">
        <w:rPr>
          <w:b/>
          <w:shd w:val="clear" w:color="auto" w:fill="FFFFFF"/>
        </w:rPr>
        <w:t>Enstitü Müdürü</w:t>
      </w:r>
    </w:p>
    <w:p w:rsidR="009D2B51" w:rsidRDefault="009D2B51" w:rsidP="009D2B51">
      <w:pPr>
        <w:rPr>
          <w:shd w:val="clear" w:color="auto" w:fill="FFFFFF"/>
        </w:rPr>
      </w:pPr>
    </w:p>
    <w:p w:rsidR="009D2B51" w:rsidRDefault="009D2B51" w:rsidP="009D2B51">
      <w:pPr>
        <w:rPr>
          <w:shd w:val="clear" w:color="auto" w:fill="FFFFFF"/>
        </w:rPr>
      </w:pPr>
    </w:p>
    <w:p w:rsidR="009D2B51" w:rsidRPr="009D2B51" w:rsidRDefault="009D2B51" w:rsidP="009D2B51">
      <w:pPr>
        <w:pStyle w:val="Balk1"/>
        <w:rPr>
          <w:shd w:val="clear" w:color="auto" w:fill="FFFFFF"/>
        </w:rPr>
      </w:pPr>
      <w:bookmarkStart w:id="1" w:name="_Toc34134577"/>
      <w:r w:rsidRPr="009D2B51">
        <w:rPr>
          <w:shd w:val="clear" w:color="auto" w:fill="FFFFFF"/>
        </w:rPr>
        <w:t>BİLDİRİM</w:t>
      </w:r>
      <w:bookmarkEnd w:id="1"/>
    </w:p>
    <w:p w:rsidR="009D2B51" w:rsidRDefault="009D2B51" w:rsidP="009D2B51">
      <w:pPr>
        <w:rPr>
          <w:shd w:val="clear" w:color="auto" w:fill="FFFFFF"/>
        </w:rPr>
      </w:pPr>
      <w:r w:rsidRPr="009D2B51">
        <w:rPr>
          <w:shd w:val="clear" w:color="auto" w:fill="FFFFFF"/>
        </w:rPr>
        <w:t xml:space="preserve">Yüksek Lisans Tezi olarak hazırlamış olduğum “Türkiye’de Hanehalkı Sigara Tüketiminin Belirleyicileri” isimli bu çalışmanın, tamamen kendi çalışmam olduğunu, her alıntıya kaynak gösterdiğimi ve alıntı yaptığım tüm çalışmaların kaynakçada yer aldığını taahhüt eder, tezimin kağıt ve elektronik kopyalarının Gümüşhane Üniversitesi Sosyal Bilimler Enstitüsü arşivlerinde aşağıda belirttiğim koşullarda saklanmasına izin verdiğimi onaylarım. </w:t>
      </w:r>
    </w:p>
    <w:p w:rsidR="00EC06FA" w:rsidRDefault="00EC06FA" w:rsidP="00EC06FA">
      <w:pPr>
        <w:rPr>
          <w:shd w:val="clear" w:color="auto" w:fill="FFFFFF"/>
        </w:rPr>
      </w:pPr>
    </w:p>
    <w:p w:rsidR="009D2B51" w:rsidRDefault="009D2B51" w:rsidP="00EC06FA">
      <w:pPr>
        <w:rPr>
          <w:shd w:val="clear" w:color="auto" w:fill="FFFFFF"/>
        </w:rPr>
      </w:pPr>
      <w:r w:rsidRPr="009D2B51">
        <w:rPr>
          <w:shd w:val="clear" w:color="auto" w:fill="FFFFFF"/>
        </w:rPr>
        <w:t xml:space="preserve">Lisansüstü Eğitim-Öğretim yönetmeliğinin ilgili maddeleri uyarınca gereğinin yapılmasını arz ederim. </w:t>
      </w:r>
    </w:p>
    <w:p w:rsidR="00EC06FA" w:rsidRDefault="00EC06FA" w:rsidP="00EC06FA">
      <w:pPr>
        <w:rPr>
          <w:shd w:val="clear" w:color="auto" w:fill="FFFFFF"/>
        </w:rPr>
      </w:pPr>
    </w:p>
    <w:p w:rsidR="00EC06FA" w:rsidRDefault="00EC06FA" w:rsidP="00EC06FA">
      <w:pPr>
        <w:rPr>
          <w:shd w:val="clear" w:color="auto" w:fill="FFFFFF"/>
        </w:rPr>
      </w:pPr>
    </w:p>
    <w:tbl>
      <w:tblPr>
        <w:tblW w:w="8186" w:type="dxa"/>
        <w:tblBorders>
          <w:top w:val="single" w:sz="8" w:space="0" w:color="5B9BD5"/>
          <w:left w:val="single" w:sz="4" w:space="0" w:color="000000"/>
          <w:bottom w:val="single" w:sz="8" w:space="0" w:color="5B9BD5"/>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84"/>
        <w:gridCol w:w="7402"/>
      </w:tblGrid>
      <w:tr w:rsidR="00EC06FA" w:rsidTr="006C43CF">
        <w:tc>
          <w:tcPr>
            <w:tcW w:w="784" w:type="dxa"/>
          </w:tcPr>
          <w:p w:rsidR="00EC06FA" w:rsidRDefault="00EC06FA" w:rsidP="006C43CF">
            <w:pPr>
              <w:tabs>
                <w:tab w:val="left" w:pos="426"/>
              </w:tabs>
              <w:spacing w:before="120" w:after="120"/>
              <w:ind w:firstLine="567"/>
            </w:pPr>
            <w:r>
              <w:rPr>
                <w:noProof/>
              </w:rPr>
              <mc:AlternateContent>
                <mc:Choice Requires="wps">
                  <w:drawing>
                    <wp:anchor distT="0" distB="0" distL="114300" distR="114300" simplePos="0" relativeHeight="251655680" behindDoc="0" locked="0" layoutInCell="1" hidden="0" allowOverlap="1" wp14:anchorId="40BA1D00" wp14:editId="3EF772E0">
                      <wp:simplePos x="0" y="0"/>
                      <wp:positionH relativeFrom="column">
                        <wp:posOffset>45721</wp:posOffset>
                      </wp:positionH>
                      <wp:positionV relativeFrom="paragraph">
                        <wp:posOffset>24765</wp:posOffset>
                      </wp:positionV>
                      <wp:extent cx="200025" cy="161925"/>
                      <wp:effectExtent l="0" t="0" r="28575" b="28575"/>
                      <wp:wrapNone/>
                      <wp:docPr id="3" name="Dikdörtgen 3"/>
                      <wp:cNvGraphicFramePr/>
                      <a:graphic xmlns:a="http://schemas.openxmlformats.org/drawingml/2006/main">
                        <a:graphicData uri="http://schemas.microsoft.com/office/word/2010/wordprocessingShape">
                          <wps:wsp>
                            <wps:cNvSpPr/>
                            <wps:spPr>
                              <a:xfrm>
                                <a:off x="0" y="0"/>
                                <a:ext cx="200025" cy="161925"/>
                              </a:xfrm>
                              <a:prstGeom prst="rect">
                                <a:avLst/>
                              </a:prstGeom>
                              <a:solidFill>
                                <a:schemeClr val="tx1"/>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21415FD" id="Dikdörtgen 3" o:spid="_x0000_s1026" style="position:absolute;margin-left:3.6pt;margin-top:1.95pt;width:15.75pt;height:12.75pt;z-index:251655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" fillcolor="black [3213]" strokecolor="black [3200]" strokeweight="1pt"/>
                  </w:pict>
                </mc:Fallback>
              </mc:AlternateContent>
            </w:r>
          </w:p>
        </w:tc>
        <w:tc>
          <w:tcPr>
            <w:tcW w:w="7402" w:type="dxa"/>
          </w:tcPr>
          <w:p w:rsidR="00EC06FA" w:rsidRDefault="00EC06FA" w:rsidP="006C43CF">
            <w:pPr>
              <w:tabs>
                <w:tab w:val="left" w:pos="426"/>
              </w:tabs>
              <w:spacing w:before="120" w:after="120"/>
              <w:ind w:firstLine="0"/>
            </w:pPr>
            <w:r>
              <w:t>Tezimin tamamı her yerden erişime açılabilir.</w:t>
            </w:r>
          </w:p>
        </w:tc>
      </w:tr>
      <w:tr w:rsidR="00EC06FA" w:rsidTr="006C43CF">
        <w:tc>
          <w:tcPr>
            <w:tcW w:w="784" w:type="dxa"/>
          </w:tcPr>
          <w:p w:rsidR="00EC06FA" w:rsidRDefault="00EC06FA" w:rsidP="006C43CF">
            <w:pPr>
              <w:tabs>
                <w:tab w:val="left" w:pos="426"/>
              </w:tabs>
              <w:spacing w:before="120" w:after="120"/>
              <w:ind w:firstLine="567"/>
            </w:pPr>
            <w:r>
              <w:rPr>
                <w:noProof/>
              </w:rPr>
              <mc:AlternateContent>
                <mc:Choice Requires="wps">
                  <w:drawing>
                    <wp:anchor distT="0" distB="0" distL="114300" distR="114300" simplePos="0" relativeHeight="251658752" behindDoc="0" locked="0" layoutInCell="1" hidden="0" allowOverlap="1" wp14:anchorId="35FEC81A" wp14:editId="0A4F674A">
                      <wp:simplePos x="0" y="0"/>
                      <wp:positionH relativeFrom="column">
                        <wp:posOffset>45720</wp:posOffset>
                      </wp:positionH>
                      <wp:positionV relativeFrom="paragraph">
                        <wp:posOffset>168844</wp:posOffset>
                      </wp:positionV>
                      <wp:extent cx="200025" cy="161925"/>
                      <wp:effectExtent l="0" t="0" r="28575" b="28575"/>
                      <wp:wrapNone/>
                      <wp:docPr id="1" name="Dikdörtgen 1"/>
                      <wp:cNvGraphicFramePr/>
                      <a:graphic xmlns:a="http://schemas.openxmlformats.org/drawingml/2006/main">
                        <a:graphicData uri="http://schemas.microsoft.com/office/word/2010/wordprocessingShape">
                          <wps:wsp>
                            <wps:cNvSpPr/>
                            <wps:spPr>
                              <a:xfrm>
                                <a:off x="0" y="0"/>
                                <a:ext cx="20002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5A6D303" id="Dikdörtgen 1" o:spid="_x0000_s1026" style="position:absolute;margin-left:3.6pt;margin-top:13.3pt;width:15.75pt;height:12.75pt;z-index:251658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" fillcolor="white [3201]" strokecolor="black [3200]" strokeweight="1pt"/>
                  </w:pict>
                </mc:Fallback>
              </mc:AlternateContent>
            </w:r>
          </w:p>
        </w:tc>
        <w:tc>
          <w:tcPr>
            <w:tcW w:w="7402" w:type="dxa"/>
          </w:tcPr>
          <w:p w:rsidR="00EC06FA" w:rsidRDefault="00EC06FA" w:rsidP="006C43CF">
            <w:pPr>
              <w:tabs>
                <w:tab w:val="left" w:pos="426"/>
              </w:tabs>
              <w:spacing w:before="120" w:after="120"/>
              <w:ind w:firstLine="0"/>
            </w:pPr>
            <w:r>
              <w:t>Tezim sadece Gümüşhane Üniversitesi yerleşkelerinden erişime açılabilir.</w:t>
            </w:r>
          </w:p>
        </w:tc>
      </w:tr>
      <w:tr w:rsidR="00EC06FA" w:rsidTr="006C43CF">
        <w:tc>
          <w:tcPr>
            <w:tcW w:w="784" w:type="dxa"/>
          </w:tcPr>
          <w:p w:rsidR="00EC06FA" w:rsidRDefault="00EC06FA" w:rsidP="006C43CF">
            <w:pPr>
              <w:tabs>
                <w:tab w:val="left" w:pos="426"/>
              </w:tabs>
              <w:spacing w:before="120" w:after="120"/>
              <w:ind w:firstLine="567"/>
            </w:pPr>
            <w:r>
              <w:rPr>
                <w:noProof/>
              </w:rPr>
              <mc:AlternateContent>
                <mc:Choice Requires="wps">
                  <w:drawing>
                    <wp:anchor distT="0" distB="0" distL="114300" distR="114300" simplePos="0" relativeHeight="251661824" behindDoc="0" locked="0" layoutInCell="1" hidden="0" allowOverlap="1" wp14:anchorId="233A2D32" wp14:editId="09E48A32">
                      <wp:simplePos x="0" y="0"/>
                      <wp:positionH relativeFrom="column">
                        <wp:posOffset>45720</wp:posOffset>
                      </wp:positionH>
                      <wp:positionV relativeFrom="paragraph">
                        <wp:posOffset>204930</wp:posOffset>
                      </wp:positionV>
                      <wp:extent cx="200025" cy="161925"/>
                      <wp:effectExtent l="0" t="0" r="28575" b="28575"/>
                      <wp:wrapNone/>
                      <wp:docPr id="2" name="Dikdörtgen 2"/>
                      <wp:cNvGraphicFramePr/>
                      <a:graphic xmlns:a="http://schemas.openxmlformats.org/drawingml/2006/main">
                        <a:graphicData uri="http://schemas.microsoft.com/office/word/2010/wordprocessingShape">
                          <wps:wsp>
                            <wps:cNvSpPr/>
                            <wps:spPr>
                              <a:xfrm>
                                <a:off x="0" y="0"/>
                                <a:ext cx="200025" cy="1619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26BED2E" id="Dikdörtgen 2" o:spid="_x0000_s1026" style="position:absolute;margin-left:3.6pt;margin-top:16.15pt;width:15.75pt;height:12.75pt;z-index:251661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" fillcolor="white [3201]" strokecolor="black [3200]" strokeweight="1pt"/>
                  </w:pict>
                </mc:Fallback>
              </mc:AlternateContent>
            </w:r>
          </w:p>
        </w:tc>
        <w:tc>
          <w:tcPr>
            <w:tcW w:w="7402" w:type="dxa"/>
          </w:tcPr>
          <w:p w:rsidR="00EC06FA" w:rsidRDefault="00EC06FA" w:rsidP="006C43CF">
            <w:pPr>
              <w:tabs>
                <w:tab w:val="left" w:pos="426"/>
              </w:tabs>
              <w:spacing w:before="120" w:after="120"/>
              <w:ind w:firstLine="0"/>
            </w:pPr>
            <w:r>
              <w:t>Tezimin ……. yıl süreyle erişime açılmasını istemiyorum. Bu sürenin sonunda uzatma için başvuruda bulunmadığım takdirde, tezimin tamamı her yerden erişime açılabilir.</w:t>
            </w:r>
          </w:p>
        </w:tc>
      </w:tr>
    </w:tbl>
    <w:p w:rsidR="00EC06FA" w:rsidRDefault="00EC06FA" w:rsidP="00EC06FA">
      <w:pPr>
        <w:rPr>
          <w:shd w:val="clear" w:color="auto" w:fill="FFFFFF"/>
        </w:rPr>
      </w:pPr>
    </w:p>
    <w:p w:rsidR="00EC06FA" w:rsidRDefault="00EC06FA" w:rsidP="00EC06FA">
      <w:pPr>
        <w:rPr>
          <w:shd w:val="clear" w:color="auto" w:fill="FFFFFF"/>
        </w:rPr>
      </w:pPr>
    </w:p>
    <w:p w:rsidR="00EC06FA" w:rsidRDefault="00EC06FA" w:rsidP="00EC06FA">
      <w:pPr>
        <w:rPr>
          <w:shd w:val="clear" w:color="auto" w:fill="FFFFFF"/>
        </w:rPr>
      </w:pPr>
    </w:p>
    <w:p w:rsidR="00EC06FA" w:rsidRDefault="00EC06FA" w:rsidP="00EC06FA">
      <w:pPr>
        <w:jc w:val="right"/>
        <w:rPr>
          <w:shd w:val="clear" w:color="auto" w:fill="FFFFFF"/>
        </w:rPr>
      </w:pPr>
      <w:r w:rsidRPr="009D2B51">
        <w:rPr>
          <w:shd w:val="clear" w:color="auto" w:fill="FFFFFF"/>
        </w:rPr>
        <w:t>01.01.2020</w:t>
      </w:r>
    </w:p>
    <w:p w:rsidR="00EC06FA" w:rsidRPr="009D2B51" w:rsidRDefault="00EC06FA" w:rsidP="00EC06FA">
      <w:pPr>
        <w:jc w:val="right"/>
        <w:rPr>
          <w:shd w:val="clear" w:color="auto" w:fill="FFFFFF"/>
        </w:rPr>
      </w:pPr>
    </w:p>
    <w:p w:rsidR="00EC06FA" w:rsidRPr="00EC06FA" w:rsidRDefault="00EC06FA" w:rsidP="00EC06FA">
      <w:pPr>
        <w:jc w:val="right"/>
        <w:rPr>
          <w:b/>
          <w:shd w:val="clear" w:color="auto" w:fill="FFFFFF"/>
        </w:rPr>
      </w:pPr>
      <w:r w:rsidRPr="00EC06FA">
        <w:rPr>
          <w:b/>
          <w:shd w:val="clear" w:color="auto" w:fill="FFFFFF"/>
        </w:rPr>
        <w:t>Miraç ERGİN</w:t>
      </w:r>
    </w:p>
    <w:p w:rsidR="00EC06FA" w:rsidRDefault="00EC06FA" w:rsidP="00EC06FA">
      <w:pPr>
        <w:rPr>
          <w:shd w:val="clear" w:color="auto" w:fill="FFFFFF"/>
        </w:rPr>
      </w:pPr>
    </w:p>
    <w:p w:rsidR="00EC06FA" w:rsidRDefault="00EC06FA" w:rsidP="00EC06FA">
      <w:pPr>
        <w:rPr>
          <w:shd w:val="clear" w:color="auto" w:fill="FFFFFF"/>
        </w:rPr>
      </w:pPr>
    </w:p>
    <w:p w:rsidR="00EC06FA" w:rsidRDefault="00EC06FA" w:rsidP="00EC06FA">
      <w:pPr>
        <w:rPr>
          <w:shd w:val="clear" w:color="auto" w:fill="FFFFFF"/>
        </w:rPr>
      </w:pPr>
    </w:p>
    <w:p w:rsidR="00EC06FA" w:rsidRDefault="00EC06FA" w:rsidP="00EC06FA">
      <w:pPr>
        <w:rPr>
          <w:shd w:val="clear" w:color="auto" w:fill="FFFFFF"/>
        </w:rPr>
      </w:pPr>
    </w:p>
    <w:p w:rsidR="00EC06FA" w:rsidRDefault="00EC06FA" w:rsidP="00EC06FA">
      <w:pPr>
        <w:rPr>
          <w:shd w:val="clear" w:color="auto" w:fill="FFFFFF"/>
        </w:rPr>
      </w:pPr>
    </w:p>
    <w:p w:rsidR="00824583" w:rsidRDefault="00824583" w:rsidP="00EC06FA">
      <w:pPr>
        <w:rPr>
          <w:shd w:val="clear" w:color="auto" w:fill="FFFFFF"/>
        </w:rPr>
        <w:sectPr w:rsidR="00824583" w:rsidSect="00993E80">
          <w:pgSz w:w="11906" w:h="16838"/>
          <w:pgMar w:top="1701" w:right="1134" w:bottom="1701" w:left="2268" w:header="709" w:footer="709" w:gutter="0"/>
          <w:pgNumType w:fmt="upperRoman" w:start="3"/>
          <w:cols w:space="708"/>
          <w:titlePg/>
          <w:docGrid w:linePitch="360"/>
        </w:sectPr>
      </w:pPr>
    </w:p>
    <w:p w:rsidR="00EC06FA" w:rsidRDefault="00EC06FA" w:rsidP="00EC06FA">
      <w:pPr>
        <w:rPr>
          <w:shd w:val="clear" w:color="auto" w:fill="FFFFFF"/>
        </w:rPr>
      </w:pPr>
    </w:p>
    <w:p w:rsidR="00EC06FA" w:rsidRDefault="00EC06FA" w:rsidP="00EC06FA">
      <w:pPr>
        <w:rPr>
          <w:shd w:val="clear" w:color="auto" w:fill="FFFFFF"/>
        </w:rPr>
      </w:pPr>
    </w:p>
    <w:p w:rsidR="009D2B51" w:rsidRPr="009D2B51" w:rsidRDefault="009D2B51" w:rsidP="00EC06FA">
      <w:pPr>
        <w:pStyle w:val="Balk1"/>
        <w:rPr>
          <w:shd w:val="clear" w:color="auto" w:fill="FFFFFF"/>
        </w:rPr>
      </w:pPr>
      <w:bookmarkStart w:id="2" w:name="_Toc34134578"/>
      <w:r w:rsidRPr="009D2B51">
        <w:rPr>
          <w:shd w:val="clear" w:color="auto" w:fill="FFFFFF"/>
        </w:rPr>
        <w:t>ÖNSÖZ</w:t>
      </w:r>
      <w:bookmarkEnd w:id="2"/>
    </w:p>
    <w:p w:rsidR="009D2B51" w:rsidRPr="009D2B51" w:rsidRDefault="007A4775" w:rsidP="00EC06FA">
      <w:pPr>
        <w:rPr>
          <w:shd w:val="clear" w:color="auto" w:fill="FFFFFF"/>
        </w:rPr>
      </w:pPr>
      <w:r>
        <w:rPr>
          <w:shd w:val="clear" w:color="auto" w:fill="FFFFFF"/>
        </w:rPr>
        <w:t xml:space="preserve">Tezimin konu seçiminden </w:t>
      </w:r>
      <w:r w:rsidR="009D2B51" w:rsidRPr="009D2B51">
        <w:rPr>
          <w:shd w:val="clear" w:color="auto" w:fill="FFFFFF"/>
        </w:rPr>
        <w:t>en son aşamasına kadar bana yardımcı olan, bilgi ve deneyimlerinden yararlandığım değerli hocam ve danışmanım Dr. Öğr. Üyesi Egemen İPEK’e teşekkürlerimi sunarım</w:t>
      </w:r>
      <w:r w:rsidR="00A71BA6">
        <w:rPr>
          <w:shd w:val="clear" w:color="auto" w:fill="FFFFFF"/>
        </w:rPr>
        <w:t>.</w:t>
      </w:r>
    </w:p>
    <w:p w:rsidR="009D2B51" w:rsidRPr="009D2B51" w:rsidRDefault="009D2B51" w:rsidP="00824583">
      <w:pPr>
        <w:rPr>
          <w:shd w:val="clear" w:color="auto" w:fill="FFFFFF"/>
        </w:rPr>
      </w:pPr>
    </w:p>
    <w:p w:rsidR="009D2B51" w:rsidRPr="009D2B51" w:rsidRDefault="009D2B51" w:rsidP="00824583">
      <w:pPr>
        <w:rPr>
          <w:shd w:val="clear" w:color="auto" w:fill="FFFFFF"/>
        </w:rPr>
      </w:pPr>
    </w:p>
    <w:p w:rsidR="009D2B51" w:rsidRDefault="009D2B51" w:rsidP="00824583">
      <w:pPr>
        <w:rPr>
          <w:shd w:val="clear" w:color="auto" w:fill="FFFFFF"/>
        </w:rPr>
      </w:pPr>
    </w:p>
    <w:p w:rsidR="009D2B51" w:rsidRPr="009D2B51" w:rsidRDefault="009D2B51" w:rsidP="00824583">
      <w:pPr>
        <w:rPr>
          <w:shd w:val="clear" w:color="auto" w:fill="FFFFFF"/>
        </w:rPr>
      </w:pPr>
    </w:p>
    <w:p w:rsidR="009D2B51" w:rsidRDefault="009D2B51" w:rsidP="00EC06FA">
      <w:pPr>
        <w:jc w:val="right"/>
        <w:rPr>
          <w:shd w:val="clear" w:color="auto" w:fill="FFFFFF"/>
        </w:rPr>
      </w:pPr>
      <w:r w:rsidRPr="009D2B51">
        <w:rPr>
          <w:shd w:val="clear" w:color="auto" w:fill="FFFFFF"/>
        </w:rPr>
        <w:t xml:space="preserve">Gümüşhane </w:t>
      </w:r>
      <w:r w:rsidR="00824583">
        <w:rPr>
          <w:shd w:val="clear" w:color="auto" w:fill="FFFFFF"/>
        </w:rPr>
        <w:t>–</w:t>
      </w:r>
      <w:r w:rsidRPr="009D2B51">
        <w:rPr>
          <w:shd w:val="clear" w:color="auto" w:fill="FFFFFF"/>
        </w:rPr>
        <w:t xml:space="preserve"> 2020</w:t>
      </w:r>
    </w:p>
    <w:p w:rsidR="009D2B51" w:rsidRPr="00824583" w:rsidRDefault="009D2B51" w:rsidP="00EC06FA">
      <w:pPr>
        <w:jc w:val="right"/>
        <w:rPr>
          <w:b/>
          <w:shd w:val="clear" w:color="auto" w:fill="FFFFFF"/>
        </w:rPr>
      </w:pPr>
      <w:r w:rsidRPr="00824583">
        <w:rPr>
          <w:b/>
          <w:shd w:val="clear" w:color="auto" w:fill="FFFFFF"/>
        </w:rPr>
        <w:t>Miraç ERGİN</w:t>
      </w:r>
    </w:p>
    <w:p w:rsidR="00824583" w:rsidRDefault="00824583" w:rsidP="00824583">
      <w:pPr>
        <w:rPr>
          <w:shd w:val="clear" w:color="auto" w:fill="FFFFFF"/>
        </w:rPr>
      </w:pPr>
    </w:p>
    <w:p w:rsidR="00824583" w:rsidRDefault="00824583" w:rsidP="00824583">
      <w:pPr>
        <w:rPr>
          <w:shd w:val="clear" w:color="auto" w:fill="FFFFFF"/>
        </w:rPr>
      </w:pPr>
    </w:p>
    <w:p w:rsidR="00EC06FA" w:rsidRDefault="00EC06FA" w:rsidP="00EC06FA"/>
    <w:p w:rsidR="00EC06FA" w:rsidRDefault="00EC06FA" w:rsidP="00EC06FA"/>
    <w:p w:rsidR="00EC06FA" w:rsidRDefault="00EC06FA" w:rsidP="00EC06FA"/>
    <w:p w:rsidR="00EC06FA" w:rsidRDefault="00EC06FA" w:rsidP="00EC06FA"/>
    <w:p w:rsidR="00824583" w:rsidRDefault="00824583" w:rsidP="00824583">
      <w:pPr>
        <w:sectPr w:rsidR="00824583" w:rsidSect="00993E80">
          <w:pgSz w:w="11906" w:h="16838"/>
          <w:pgMar w:top="1701" w:right="1134" w:bottom="1701" w:left="2268" w:header="709" w:footer="709" w:gutter="0"/>
          <w:pgNumType w:fmt="upperRoman" w:start="4"/>
          <w:cols w:space="708"/>
          <w:titlePg/>
          <w:docGrid w:linePitch="360"/>
        </w:sectPr>
      </w:pPr>
    </w:p>
    <w:p w:rsidR="00EC06FA" w:rsidRDefault="00EC06FA" w:rsidP="00824583"/>
    <w:p w:rsidR="00EC06FA" w:rsidRPr="00EC06FA" w:rsidRDefault="00EC06FA" w:rsidP="00824583"/>
    <w:p w:rsidR="009D2B51" w:rsidRPr="009D2B51" w:rsidRDefault="009D2B51" w:rsidP="00EC06FA">
      <w:pPr>
        <w:pStyle w:val="Balk1"/>
        <w:rPr>
          <w:shd w:val="clear" w:color="auto" w:fill="FFFFFF"/>
        </w:rPr>
      </w:pPr>
      <w:bookmarkStart w:id="3" w:name="_Toc34134579"/>
      <w:r w:rsidRPr="009D2B51">
        <w:rPr>
          <w:shd w:val="clear" w:color="auto" w:fill="FFFFFF"/>
        </w:rPr>
        <w:t>ÖZET</w:t>
      </w:r>
      <w:bookmarkEnd w:id="3"/>
    </w:p>
    <w:p w:rsidR="009D2B51" w:rsidRPr="0000237A" w:rsidRDefault="00667710" w:rsidP="00605B46">
      <w:pPr>
        <w:pStyle w:val="AltBilgi"/>
        <w:ind w:firstLine="0"/>
        <w:rPr>
          <w:b/>
        </w:rPr>
      </w:pPr>
      <w:r>
        <w:rPr>
          <w:shd w:val="clear" w:color="auto" w:fill="FFFFFF"/>
        </w:rPr>
        <w:t xml:space="preserve">         </w:t>
      </w:r>
      <w:r w:rsidR="002A2488">
        <w:rPr>
          <w:shd w:val="clear" w:color="auto" w:fill="FFFFFF"/>
        </w:rPr>
        <w:t xml:space="preserve">   </w:t>
      </w:r>
      <w:r w:rsidR="009D2B51" w:rsidRPr="0000237A">
        <w:rPr>
          <w:b/>
          <w:shd w:val="clear" w:color="auto" w:fill="FFFFFF"/>
        </w:rPr>
        <w:t>[ERGİN Miraç]. Türkiye’de Hanehalkı Siga</w:t>
      </w:r>
      <w:r w:rsidRPr="0000237A">
        <w:rPr>
          <w:b/>
          <w:shd w:val="clear" w:color="auto" w:fill="FFFFFF"/>
        </w:rPr>
        <w:t xml:space="preserve">ra Tüketiminin Belirleyicileri, </w:t>
      </w:r>
      <w:r w:rsidR="009D2B51" w:rsidRPr="0000237A">
        <w:rPr>
          <w:b/>
          <w:shd w:val="clear" w:color="auto" w:fill="FFFFFF"/>
        </w:rPr>
        <w:t>Yüksek Lisans Tezi, 2020,</w:t>
      </w:r>
      <w:r w:rsidRPr="0000237A">
        <w:rPr>
          <w:b/>
          <w:shd w:val="clear" w:color="auto" w:fill="FFFFFF"/>
        </w:rPr>
        <w:t xml:space="preserve"> </w:t>
      </w:r>
      <w:r w:rsidRPr="0000237A">
        <w:rPr>
          <w:b/>
        </w:rPr>
        <w:t>(</w:t>
      </w:r>
      <w:sdt>
        <w:sdtPr>
          <w:rPr>
            <w:b/>
          </w:rPr>
          <w:id w:val="-1361279317"/>
          <w:docPartObj>
            <w:docPartGallery w:val="Page Numbers (Bottom of Page)"/>
            <w:docPartUnique/>
          </w:docPartObj>
        </w:sdtPr>
        <w:sdtEndPr/>
        <w:sdtContent>
          <w:r w:rsidRPr="0000237A">
            <w:rPr>
              <w:b/>
            </w:rPr>
            <w:fldChar w:fldCharType="begin"/>
          </w:r>
          <w:r w:rsidRPr="0000237A">
            <w:rPr>
              <w:b/>
            </w:rPr>
            <w:instrText>PAGE   \* MERGEFORMAT</w:instrText>
          </w:r>
          <w:r w:rsidRPr="0000237A">
            <w:rPr>
              <w:b/>
            </w:rPr>
            <w:fldChar w:fldCharType="separate"/>
          </w:r>
          <w:r w:rsidRPr="0000237A">
            <w:rPr>
              <w:b/>
              <w:noProof/>
            </w:rPr>
            <w:t>IX</w:t>
          </w:r>
          <w:r w:rsidRPr="0000237A">
            <w:rPr>
              <w:b/>
            </w:rPr>
            <w:fldChar w:fldCharType="end"/>
          </w:r>
        </w:sdtContent>
      </w:sdt>
      <w:r w:rsidRPr="0000237A">
        <w:rPr>
          <w:b/>
        </w:rPr>
        <w:t xml:space="preserve"> + 32)</w:t>
      </w:r>
    </w:p>
    <w:p w:rsidR="009D2B51" w:rsidRPr="009D2B51" w:rsidRDefault="009D2B51" w:rsidP="00EC06FA">
      <w:pPr>
        <w:rPr>
          <w:shd w:val="clear" w:color="auto" w:fill="FFFFFF"/>
        </w:rPr>
      </w:pPr>
    </w:p>
    <w:p w:rsidR="009D2B51" w:rsidRPr="009D2B51" w:rsidRDefault="009D2B51" w:rsidP="00EC06FA">
      <w:pPr>
        <w:rPr>
          <w:shd w:val="clear" w:color="auto" w:fill="FFFFFF"/>
        </w:rPr>
      </w:pPr>
      <w:r w:rsidRPr="009D2B51">
        <w:rPr>
          <w:shd w:val="clear" w:color="auto" w:fill="FFFFFF"/>
        </w:rPr>
        <w:t>Bu çalışmada, hanehalkı sigara tüketimini etkileyen sosyo-ekonomik ve demografik faktörlerin 2014 TÜİK Hanehalkı Bütçe Anketi (HBA) verileri üzerinden Çift Eşik ve Tobit yöntemleri yardımıyla belirlenmesi amaçlanmıştır.</w:t>
      </w:r>
      <w:r w:rsidR="00092160">
        <w:rPr>
          <w:shd w:val="clear" w:color="auto" w:fill="FFFFFF"/>
        </w:rPr>
        <w:t xml:space="preserve"> </w:t>
      </w:r>
      <w:r w:rsidR="007F7EBD">
        <w:rPr>
          <w:shd w:val="clear" w:color="auto" w:fill="FFFFFF"/>
        </w:rPr>
        <w:t>Hanehalkı büyüklüğü</w:t>
      </w:r>
      <w:r w:rsidR="007F7EBD" w:rsidRPr="007A4775">
        <w:rPr>
          <w:shd w:val="clear" w:color="auto" w:fill="FFFFFF"/>
        </w:rPr>
        <w:t xml:space="preserve">, </w:t>
      </w:r>
      <w:r w:rsidR="007F7EBD">
        <w:rPr>
          <w:shd w:val="clear" w:color="auto" w:fill="FFFFFF"/>
        </w:rPr>
        <w:t>eğitim seviyesi, medeni durum, cinsiyet ve yaş</w:t>
      </w:r>
      <w:r w:rsidR="00092160">
        <w:rPr>
          <w:shd w:val="clear" w:color="auto" w:fill="FFFFFF"/>
        </w:rPr>
        <w:t xml:space="preserve"> çalışmada </w:t>
      </w:r>
      <w:r w:rsidR="00092160" w:rsidRPr="007A4775">
        <w:rPr>
          <w:shd w:val="clear" w:color="auto" w:fill="FFFFFF"/>
        </w:rPr>
        <w:t xml:space="preserve">kullanılan </w:t>
      </w:r>
      <w:r w:rsidR="00092160">
        <w:rPr>
          <w:shd w:val="clear" w:color="auto" w:fill="FFFFFF"/>
        </w:rPr>
        <w:t xml:space="preserve">sosyo-demografik değişkenlerdir. </w:t>
      </w:r>
      <w:r w:rsidR="007F7EBD">
        <w:rPr>
          <w:shd w:val="clear" w:color="auto" w:fill="FFFFFF"/>
        </w:rPr>
        <w:t>Hanelerin gelir seviyesi</w:t>
      </w:r>
      <w:r w:rsidR="00092160">
        <w:rPr>
          <w:shd w:val="clear" w:color="auto" w:fill="FFFFFF"/>
        </w:rPr>
        <w:t xml:space="preserve"> ise </w:t>
      </w:r>
      <w:r w:rsidR="007F7EBD">
        <w:rPr>
          <w:shd w:val="clear" w:color="auto" w:fill="FFFFFF"/>
        </w:rPr>
        <w:t>çalışmada</w:t>
      </w:r>
      <w:r w:rsidR="007F7EBD" w:rsidRPr="007A4775">
        <w:rPr>
          <w:shd w:val="clear" w:color="auto" w:fill="FFFFFF"/>
        </w:rPr>
        <w:t xml:space="preserve"> ku</w:t>
      </w:r>
      <w:r w:rsidR="00FB72CC">
        <w:rPr>
          <w:shd w:val="clear" w:color="auto" w:fill="FFFFFF"/>
        </w:rPr>
        <w:t xml:space="preserve">llanılan ekonomik değişken olarak belirlenmiştir. </w:t>
      </w:r>
      <w:r w:rsidR="00FB72CC" w:rsidRPr="00FB72CC">
        <w:rPr>
          <w:shd w:val="clear" w:color="auto" w:fill="FFFFFF"/>
        </w:rPr>
        <w:t xml:space="preserve">Hanehalkına ait demografik değişkenlerin </w:t>
      </w:r>
      <w:r w:rsidR="00FB72CC">
        <w:rPr>
          <w:shd w:val="clear" w:color="auto" w:fill="FFFFFF"/>
        </w:rPr>
        <w:t>sigara</w:t>
      </w:r>
      <w:r w:rsidR="00FB72CC" w:rsidRPr="00FB72CC">
        <w:rPr>
          <w:shd w:val="clear" w:color="auto" w:fill="FFFFFF"/>
        </w:rPr>
        <w:t xml:space="preserve"> tüketim kararları üze</w:t>
      </w:r>
      <w:r w:rsidR="00FB72CC">
        <w:rPr>
          <w:shd w:val="clear" w:color="auto" w:fill="FFFFFF"/>
        </w:rPr>
        <w:t xml:space="preserve">rindeki etkilerine bakıldığında </w:t>
      </w:r>
      <w:r w:rsidRPr="009D2B51">
        <w:rPr>
          <w:shd w:val="clear" w:color="auto" w:fill="FFFFFF"/>
        </w:rPr>
        <w:t>hanehalkı büyüklüğü ve eğitim seviyesi değişkenlerinin sigara tüketimine olan etkisi negatif yönde bulunmuştur.</w:t>
      </w:r>
    </w:p>
    <w:p w:rsidR="009D2B51" w:rsidRDefault="009D2B51" w:rsidP="00EC06FA">
      <w:pPr>
        <w:rPr>
          <w:shd w:val="clear" w:color="auto" w:fill="FFFFFF"/>
        </w:rPr>
      </w:pPr>
    </w:p>
    <w:p w:rsidR="004328DA" w:rsidRDefault="009D2B51" w:rsidP="004328DA">
      <w:pPr>
        <w:rPr>
          <w:shd w:val="clear" w:color="auto" w:fill="FFFFFF"/>
        </w:rPr>
      </w:pPr>
      <w:r w:rsidRPr="00EC06FA">
        <w:rPr>
          <w:b/>
          <w:shd w:val="clear" w:color="auto" w:fill="FFFFFF"/>
        </w:rPr>
        <w:t xml:space="preserve">Anahtar Kavramlar: </w:t>
      </w:r>
      <w:r w:rsidRPr="009D2B51">
        <w:rPr>
          <w:shd w:val="clear" w:color="auto" w:fill="FFFFFF"/>
        </w:rPr>
        <w:t>Çift Eşik Modeli,</w:t>
      </w:r>
      <w:r w:rsidR="00FB72CC">
        <w:rPr>
          <w:shd w:val="clear" w:color="auto" w:fill="FFFFFF"/>
        </w:rPr>
        <w:t xml:space="preserve"> </w:t>
      </w:r>
      <w:r w:rsidR="00FB72CC" w:rsidRPr="009D2B51">
        <w:rPr>
          <w:shd w:val="clear" w:color="auto" w:fill="FFFFFF"/>
        </w:rPr>
        <w:t>Tobi</w:t>
      </w:r>
      <w:r w:rsidR="00A71BA6">
        <w:rPr>
          <w:shd w:val="clear" w:color="auto" w:fill="FFFFFF"/>
        </w:rPr>
        <w:t>t</w:t>
      </w:r>
      <w:r w:rsidR="00FB72CC" w:rsidRPr="009D2B51">
        <w:rPr>
          <w:shd w:val="clear" w:color="auto" w:fill="FFFFFF"/>
        </w:rPr>
        <w:t xml:space="preserve"> Modeli</w:t>
      </w:r>
      <w:r w:rsidR="00FB72CC">
        <w:rPr>
          <w:shd w:val="clear" w:color="auto" w:fill="FFFFFF"/>
        </w:rPr>
        <w:t>, Sigara Tüketimi</w:t>
      </w:r>
    </w:p>
    <w:p w:rsidR="004328DA" w:rsidRDefault="004328DA">
      <w:pPr>
        <w:spacing w:after="160" w:line="259" w:lineRule="auto"/>
        <w:ind w:firstLine="0"/>
        <w:jc w:val="left"/>
        <w:rPr>
          <w:shd w:val="clear" w:color="auto" w:fill="FFFFFF"/>
        </w:rPr>
      </w:pPr>
      <w:r>
        <w:rPr>
          <w:shd w:val="clear" w:color="auto" w:fill="FFFFFF"/>
        </w:rPr>
        <w:br w:type="page"/>
      </w:r>
    </w:p>
    <w:p w:rsidR="00EC06FA" w:rsidRDefault="00EC06FA" w:rsidP="00EC06FA">
      <w:pPr>
        <w:rPr>
          <w:shd w:val="clear" w:color="auto" w:fill="FFFFFF"/>
        </w:rPr>
      </w:pPr>
    </w:p>
    <w:p w:rsidR="00EC06FA" w:rsidRPr="009D2B51" w:rsidRDefault="00EC06FA" w:rsidP="00EC06FA">
      <w:pPr>
        <w:rPr>
          <w:shd w:val="clear" w:color="auto" w:fill="FFFFFF"/>
        </w:rPr>
      </w:pPr>
    </w:p>
    <w:p w:rsidR="009D2B51" w:rsidRPr="009D2B51" w:rsidRDefault="009D2B51" w:rsidP="00EC06FA">
      <w:pPr>
        <w:pStyle w:val="Balk1"/>
        <w:rPr>
          <w:shd w:val="clear" w:color="auto" w:fill="FFFFFF"/>
        </w:rPr>
      </w:pPr>
      <w:bookmarkStart w:id="4" w:name="_Toc34134580"/>
      <w:r w:rsidRPr="009D2B51">
        <w:rPr>
          <w:shd w:val="clear" w:color="auto" w:fill="FFFFFF"/>
        </w:rPr>
        <w:t>ABSTRACT</w:t>
      </w:r>
      <w:bookmarkEnd w:id="4"/>
    </w:p>
    <w:p w:rsidR="00667710" w:rsidRPr="0000237A" w:rsidRDefault="00C36C8A" w:rsidP="00605B46">
      <w:pPr>
        <w:pStyle w:val="AltBilgi"/>
        <w:ind w:firstLine="0"/>
        <w:rPr>
          <w:b/>
        </w:rPr>
      </w:pPr>
      <w:r>
        <w:rPr>
          <w:shd w:val="clear" w:color="auto" w:fill="FFFFFF"/>
        </w:rPr>
        <w:t xml:space="preserve">            </w:t>
      </w:r>
      <w:r w:rsidR="009D2B51" w:rsidRPr="0000237A">
        <w:rPr>
          <w:b/>
          <w:shd w:val="clear" w:color="auto" w:fill="FFFFFF"/>
        </w:rPr>
        <w:t>[ERGİN Miraç]. Determinants of Household Tobacco Consumption in Turke</w:t>
      </w:r>
      <w:r w:rsidR="00E03293" w:rsidRPr="0000237A">
        <w:rPr>
          <w:b/>
          <w:shd w:val="clear" w:color="auto" w:fill="FFFFFF"/>
        </w:rPr>
        <w:t xml:space="preserve">y, Master Thesis, 2020, </w:t>
      </w:r>
      <w:r w:rsidR="00667710" w:rsidRPr="0000237A">
        <w:rPr>
          <w:b/>
        </w:rPr>
        <w:t>(</w:t>
      </w:r>
      <w:sdt>
        <w:sdtPr>
          <w:rPr>
            <w:b/>
          </w:rPr>
          <w:id w:val="-49537099"/>
          <w:docPartObj>
            <w:docPartGallery w:val="Page Numbers (Bottom of Page)"/>
            <w:docPartUnique/>
          </w:docPartObj>
        </w:sdtPr>
        <w:sdtEndPr/>
        <w:sdtContent>
          <w:r w:rsidR="00667710" w:rsidRPr="0000237A">
            <w:rPr>
              <w:b/>
            </w:rPr>
            <w:fldChar w:fldCharType="begin"/>
          </w:r>
          <w:r w:rsidR="00667710" w:rsidRPr="0000237A">
            <w:rPr>
              <w:b/>
            </w:rPr>
            <w:instrText>PAGE   \* MERGEFORMAT</w:instrText>
          </w:r>
          <w:r w:rsidR="00667710" w:rsidRPr="0000237A">
            <w:rPr>
              <w:b/>
            </w:rPr>
            <w:fldChar w:fldCharType="separate"/>
          </w:r>
          <w:r w:rsidR="00667710" w:rsidRPr="0000237A">
            <w:rPr>
              <w:b/>
              <w:noProof/>
            </w:rPr>
            <w:t>IX</w:t>
          </w:r>
          <w:r w:rsidR="00667710" w:rsidRPr="0000237A">
            <w:rPr>
              <w:b/>
            </w:rPr>
            <w:fldChar w:fldCharType="end"/>
          </w:r>
        </w:sdtContent>
      </w:sdt>
      <w:r w:rsidR="00667710" w:rsidRPr="0000237A">
        <w:rPr>
          <w:b/>
        </w:rPr>
        <w:t xml:space="preserve"> + 32)</w:t>
      </w:r>
    </w:p>
    <w:p w:rsidR="009D2B51" w:rsidRPr="009D2B51" w:rsidRDefault="009D2B51" w:rsidP="00667710">
      <w:pPr>
        <w:ind w:firstLine="0"/>
        <w:jc w:val="center"/>
        <w:rPr>
          <w:shd w:val="clear" w:color="auto" w:fill="FFFFFF"/>
        </w:rPr>
      </w:pPr>
    </w:p>
    <w:p w:rsidR="00A71BA6" w:rsidRDefault="00A71BA6" w:rsidP="00127A68">
      <w:r w:rsidRPr="00A71BA6">
        <w:t>In this study, it is aimed to det</w:t>
      </w:r>
      <w:bookmarkStart w:id="5" w:name="_GoBack"/>
      <w:bookmarkEnd w:id="5"/>
      <w:r w:rsidRPr="00A71BA6">
        <w:t>ermine the socio-economic and demographic factors affecting household cigarette consumption using Double Threshold and Tobit methods through the 2014 TURKSTAT Household Budget Survey (HBS) data. In the study household size, education level, marital status, gender and age are used as socio-demographic variables. The income level of the households is determined as an economic variable. Considering the effects of demographic variables on cigarette consumption decisions, it is found that the effect of household size and education level variables on cigarette consumption is negative.</w:t>
      </w:r>
    </w:p>
    <w:p w:rsidR="00E03293" w:rsidRDefault="00E03293" w:rsidP="00A71BA6">
      <w:pPr>
        <w:spacing w:line="240" w:lineRule="auto"/>
        <w:ind w:firstLine="0"/>
        <w:jc w:val="left"/>
        <w:rPr>
          <w:color w:val="auto"/>
        </w:rPr>
      </w:pPr>
    </w:p>
    <w:p w:rsidR="00E03293" w:rsidRPr="00A71BA6" w:rsidRDefault="00E03293" w:rsidP="00A71BA6">
      <w:pPr>
        <w:spacing w:line="240" w:lineRule="auto"/>
        <w:ind w:firstLine="0"/>
        <w:jc w:val="left"/>
        <w:rPr>
          <w:color w:val="auto"/>
        </w:rPr>
      </w:pPr>
    </w:p>
    <w:p w:rsidR="00EC06FA" w:rsidRDefault="009D2B51" w:rsidP="00EC06FA">
      <w:pPr>
        <w:rPr>
          <w:shd w:val="clear" w:color="auto" w:fill="FFFFFF"/>
        </w:rPr>
      </w:pPr>
      <w:r w:rsidRPr="00EC06FA">
        <w:rPr>
          <w:b/>
          <w:shd w:val="clear" w:color="auto" w:fill="FFFFFF"/>
        </w:rPr>
        <w:t>Keywords:</w:t>
      </w:r>
      <w:r w:rsidRPr="009D2B51">
        <w:rPr>
          <w:shd w:val="clear" w:color="auto" w:fill="FFFFFF"/>
        </w:rPr>
        <w:t xml:space="preserve"> Double Hurdle Model, </w:t>
      </w:r>
      <w:r w:rsidR="00011BBB" w:rsidRPr="009D2B51">
        <w:rPr>
          <w:shd w:val="clear" w:color="auto" w:fill="FFFFFF"/>
        </w:rPr>
        <w:t>Tobi</w:t>
      </w:r>
      <w:r w:rsidR="00011BBB">
        <w:rPr>
          <w:shd w:val="clear" w:color="auto" w:fill="FFFFFF"/>
        </w:rPr>
        <w:t>t</w:t>
      </w:r>
      <w:r w:rsidR="00011BBB" w:rsidRPr="009D2B51">
        <w:rPr>
          <w:shd w:val="clear" w:color="auto" w:fill="FFFFFF"/>
        </w:rPr>
        <w:t xml:space="preserve"> Model</w:t>
      </w:r>
      <w:r w:rsidR="00011BBB">
        <w:rPr>
          <w:shd w:val="clear" w:color="auto" w:fill="FFFFFF"/>
        </w:rPr>
        <w:t xml:space="preserve">, </w:t>
      </w:r>
      <w:r w:rsidRPr="009D2B51">
        <w:rPr>
          <w:shd w:val="clear" w:color="auto" w:fill="FFFFFF"/>
        </w:rPr>
        <w:t xml:space="preserve">Cigarette Consumption, </w:t>
      </w:r>
    </w:p>
    <w:p w:rsidR="004328DA" w:rsidRDefault="004328DA">
      <w:pPr>
        <w:spacing w:after="160" w:line="259" w:lineRule="auto"/>
        <w:ind w:firstLine="0"/>
        <w:jc w:val="left"/>
        <w:rPr>
          <w:shd w:val="clear" w:color="auto" w:fill="FFFFFF"/>
        </w:rPr>
      </w:pPr>
      <w:r>
        <w:rPr>
          <w:shd w:val="clear" w:color="auto" w:fill="FFFFFF"/>
        </w:rPr>
        <w:br w:type="page"/>
      </w:r>
    </w:p>
    <w:p w:rsidR="00EC06FA" w:rsidRDefault="00EC06FA" w:rsidP="00EC06FA">
      <w:pPr>
        <w:rPr>
          <w:shd w:val="clear" w:color="auto" w:fill="FFFFFF"/>
        </w:rPr>
      </w:pPr>
    </w:p>
    <w:p w:rsidR="00EC06FA" w:rsidRPr="009D2B51" w:rsidRDefault="00EC06FA" w:rsidP="00EC06FA">
      <w:pPr>
        <w:rPr>
          <w:shd w:val="clear" w:color="auto" w:fill="FFFFFF"/>
        </w:rPr>
      </w:pPr>
    </w:p>
    <w:p w:rsidR="009D2B51" w:rsidRPr="00F141C5" w:rsidRDefault="009D2B51" w:rsidP="00EC06FA">
      <w:pPr>
        <w:pStyle w:val="Balk1"/>
        <w:rPr>
          <w:rFonts w:cs="Times New Roman"/>
          <w:szCs w:val="24"/>
          <w:shd w:val="clear" w:color="auto" w:fill="FFFFFF"/>
        </w:rPr>
      </w:pPr>
      <w:bookmarkStart w:id="6" w:name="_Toc34134581"/>
      <w:r w:rsidRPr="00F141C5">
        <w:rPr>
          <w:rFonts w:cs="Times New Roman"/>
          <w:szCs w:val="24"/>
          <w:shd w:val="clear" w:color="auto" w:fill="FFFFFF"/>
        </w:rPr>
        <w:t>İÇİNDEKİLER</w:t>
      </w:r>
      <w:bookmarkEnd w:id="6"/>
    </w:p>
    <w:p w:rsidR="00337D09" w:rsidRPr="00337D09" w:rsidRDefault="00824583" w:rsidP="00337D09">
      <w:pPr>
        <w:pStyle w:val="T1"/>
        <w:rPr>
          <w:rFonts w:eastAsiaTheme="minorEastAsia"/>
          <w:b w:val="0"/>
          <w:bCs w:val="0"/>
          <w:iCs w:val="0"/>
          <w:color w:val="auto"/>
          <w:shd w:val="clear" w:color="auto" w:fill="auto"/>
        </w:rPr>
      </w:pPr>
      <w:r w:rsidRPr="00F141C5">
        <w:fldChar w:fldCharType="begin"/>
      </w:r>
      <w:r w:rsidRPr="00F141C5">
        <w:instrText xml:space="preserve"> TOC \h \z \t "Başlık 1;1;AA;2;AAA;3;AAAA;4;AAAAA;5;AAAAAA;6" </w:instrText>
      </w:r>
      <w:r w:rsidRPr="00F141C5">
        <w:fldChar w:fldCharType="separate"/>
      </w:r>
      <w:hyperlink w:anchor="_Toc34134576" w:history="1">
        <w:r w:rsidR="00337D09" w:rsidRPr="00337D09">
          <w:rPr>
            <w:rStyle w:val="Kpr"/>
          </w:rPr>
          <w:t>KABUL VE ONAY</w:t>
        </w:r>
        <w:r w:rsidR="00337D09" w:rsidRPr="00C36C8A">
          <w:rPr>
            <w:b w:val="0"/>
            <w:webHidden/>
          </w:rPr>
          <w:tab/>
        </w:r>
        <w:r w:rsidR="00337D09" w:rsidRPr="00C36C8A">
          <w:rPr>
            <w:b w:val="0"/>
            <w:webHidden/>
          </w:rPr>
          <w:fldChar w:fldCharType="begin"/>
        </w:r>
        <w:r w:rsidR="00337D09" w:rsidRPr="00C36C8A">
          <w:rPr>
            <w:b w:val="0"/>
            <w:webHidden/>
          </w:rPr>
          <w:instrText xml:space="preserve"> PAGEREF _Toc34134576 \h </w:instrText>
        </w:r>
        <w:r w:rsidR="00337D09" w:rsidRPr="00C36C8A">
          <w:rPr>
            <w:b w:val="0"/>
            <w:webHidden/>
          </w:rPr>
        </w:r>
        <w:r w:rsidR="00337D09" w:rsidRPr="00C36C8A">
          <w:rPr>
            <w:b w:val="0"/>
            <w:webHidden/>
          </w:rPr>
          <w:fldChar w:fldCharType="separate"/>
        </w:r>
        <w:r w:rsidR="00337D09" w:rsidRPr="00C36C8A">
          <w:rPr>
            <w:b w:val="0"/>
            <w:webHidden/>
          </w:rPr>
          <w:t>III</w:t>
        </w:r>
        <w:r w:rsidR="00337D09" w:rsidRPr="00C36C8A">
          <w:rPr>
            <w:b w:val="0"/>
            <w:webHidden/>
          </w:rPr>
          <w:fldChar w:fldCharType="end"/>
        </w:r>
      </w:hyperlink>
    </w:p>
    <w:p w:rsidR="00337D09" w:rsidRPr="00337D09" w:rsidRDefault="009D61A3" w:rsidP="00337D09">
      <w:pPr>
        <w:pStyle w:val="T1"/>
        <w:rPr>
          <w:rFonts w:eastAsiaTheme="minorEastAsia"/>
          <w:b w:val="0"/>
          <w:bCs w:val="0"/>
          <w:iCs w:val="0"/>
          <w:color w:val="auto"/>
          <w:shd w:val="clear" w:color="auto" w:fill="auto"/>
        </w:rPr>
      </w:pPr>
      <w:hyperlink w:anchor="_Toc34134577" w:history="1">
        <w:r w:rsidR="00337D09" w:rsidRPr="00337D09">
          <w:rPr>
            <w:rStyle w:val="Kpr"/>
          </w:rPr>
          <w:t>BİLDİRİM</w:t>
        </w:r>
        <w:r w:rsidR="00337D09" w:rsidRPr="00C36C8A">
          <w:rPr>
            <w:b w:val="0"/>
            <w:webHidden/>
          </w:rPr>
          <w:tab/>
        </w:r>
        <w:r w:rsidR="00337D09" w:rsidRPr="00C36C8A">
          <w:rPr>
            <w:b w:val="0"/>
            <w:webHidden/>
          </w:rPr>
          <w:fldChar w:fldCharType="begin"/>
        </w:r>
        <w:r w:rsidR="00337D09" w:rsidRPr="00C36C8A">
          <w:rPr>
            <w:b w:val="0"/>
            <w:webHidden/>
          </w:rPr>
          <w:instrText xml:space="preserve"> PAGEREF _Toc34134577 \h </w:instrText>
        </w:r>
        <w:r w:rsidR="00337D09" w:rsidRPr="00C36C8A">
          <w:rPr>
            <w:b w:val="0"/>
            <w:webHidden/>
          </w:rPr>
        </w:r>
        <w:r w:rsidR="00337D09" w:rsidRPr="00C36C8A">
          <w:rPr>
            <w:b w:val="0"/>
            <w:webHidden/>
          </w:rPr>
          <w:fldChar w:fldCharType="separate"/>
        </w:r>
        <w:r w:rsidR="00337D09" w:rsidRPr="00C36C8A">
          <w:rPr>
            <w:b w:val="0"/>
            <w:webHidden/>
          </w:rPr>
          <w:t>IV</w:t>
        </w:r>
        <w:r w:rsidR="00337D09" w:rsidRPr="00C36C8A">
          <w:rPr>
            <w:b w:val="0"/>
            <w:webHidden/>
          </w:rPr>
          <w:fldChar w:fldCharType="end"/>
        </w:r>
      </w:hyperlink>
    </w:p>
    <w:p w:rsidR="00337D09" w:rsidRPr="00337D09" w:rsidRDefault="009D61A3" w:rsidP="00337D09">
      <w:pPr>
        <w:pStyle w:val="T1"/>
        <w:rPr>
          <w:rFonts w:eastAsiaTheme="minorEastAsia"/>
          <w:b w:val="0"/>
          <w:bCs w:val="0"/>
          <w:iCs w:val="0"/>
          <w:color w:val="auto"/>
          <w:shd w:val="clear" w:color="auto" w:fill="auto"/>
        </w:rPr>
      </w:pPr>
      <w:hyperlink w:anchor="_Toc34134578" w:history="1">
        <w:r w:rsidR="00337D09" w:rsidRPr="00337D09">
          <w:rPr>
            <w:rStyle w:val="Kpr"/>
          </w:rPr>
          <w:t>ÖNSÖZ</w:t>
        </w:r>
        <w:r w:rsidR="00337D09" w:rsidRPr="00C36C8A">
          <w:rPr>
            <w:b w:val="0"/>
            <w:webHidden/>
          </w:rPr>
          <w:tab/>
        </w:r>
        <w:r w:rsidR="00337D09" w:rsidRPr="00C36C8A">
          <w:rPr>
            <w:b w:val="0"/>
            <w:webHidden/>
          </w:rPr>
          <w:fldChar w:fldCharType="begin"/>
        </w:r>
        <w:r w:rsidR="00337D09" w:rsidRPr="00C36C8A">
          <w:rPr>
            <w:b w:val="0"/>
            <w:webHidden/>
          </w:rPr>
          <w:instrText xml:space="preserve"> PAGEREF _Toc34134578 \h </w:instrText>
        </w:r>
        <w:r w:rsidR="00337D09" w:rsidRPr="00C36C8A">
          <w:rPr>
            <w:b w:val="0"/>
            <w:webHidden/>
          </w:rPr>
        </w:r>
        <w:r w:rsidR="00337D09" w:rsidRPr="00C36C8A">
          <w:rPr>
            <w:b w:val="0"/>
            <w:webHidden/>
          </w:rPr>
          <w:fldChar w:fldCharType="separate"/>
        </w:r>
        <w:r w:rsidR="00337D09" w:rsidRPr="00C36C8A">
          <w:rPr>
            <w:b w:val="0"/>
            <w:webHidden/>
          </w:rPr>
          <w:t>IV</w:t>
        </w:r>
        <w:r w:rsidR="00337D09" w:rsidRPr="00C36C8A">
          <w:rPr>
            <w:b w:val="0"/>
            <w:webHidden/>
          </w:rPr>
          <w:fldChar w:fldCharType="end"/>
        </w:r>
      </w:hyperlink>
    </w:p>
    <w:p w:rsidR="00337D09" w:rsidRPr="00337D09" w:rsidRDefault="009D61A3" w:rsidP="00337D09">
      <w:pPr>
        <w:pStyle w:val="T1"/>
        <w:rPr>
          <w:rFonts w:eastAsiaTheme="minorEastAsia"/>
          <w:b w:val="0"/>
          <w:bCs w:val="0"/>
          <w:iCs w:val="0"/>
          <w:color w:val="auto"/>
          <w:shd w:val="clear" w:color="auto" w:fill="auto"/>
        </w:rPr>
      </w:pPr>
      <w:hyperlink w:anchor="_Toc34134579" w:history="1">
        <w:r w:rsidR="00337D09" w:rsidRPr="00337D09">
          <w:rPr>
            <w:rStyle w:val="Kpr"/>
          </w:rPr>
          <w:t>ÖZET</w:t>
        </w:r>
        <w:r w:rsidR="00337D09" w:rsidRPr="00C36C8A">
          <w:rPr>
            <w:b w:val="0"/>
            <w:webHidden/>
          </w:rPr>
          <w:tab/>
        </w:r>
        <w:r w:rsidR="00337D09" w:rsidRPr="00C36C8A">
          <w:rPr>
            <w:b w:val="0"/>
            <w:webHidden/>
          </w:rPr>
          <w:fldChar w:fldCharType="begin"/>
        </w:r>
        <w:r w:rsidR="00337D09" w:rsidRPr="00C36C8A">
          <w:rPr>
            <w:b w:val="0"/>
            <w:webHidden/>
          </w:rPr>
          <w:instrText xml:space="preserve"> PAGEREF _Toc34134579 \h </w:instrText>
        </w:r>
        <w:r w:rsidR="00337D09" w:rsidRPr="00C36C8A">
          <w:rPr>
            <w:b w:val="0"/>
            <w:webHidden/>
          </w:rPr>
        </w:r>
        <w:r w:rsidR="00337D09" w:rsidRPr="00C36C8A">
          <w:rPr>
            <w:b w:val="0"/>
            <w:webHidden/>
          </w:rPr>
          <w:fldChar w:fldCharType="separate"/>
        </w:r>
        <w:r w:rsidR="00337D09" w:rsidRPr="00C36C8A">
          <w:rPr>
            <w:b w:val="0"/>
            <w:webHidden/>
          </w:rPr>
          <w:t>V</w:t>
        </w:r>
        <w:r w:rsidR="00337D09" w:rsidRPr="00C36C8A">
          <w:rPr>
            <w:b w:val="0"/>
            <w:webHidden/>
          </w:rPr>
          <w:fldChar w:fldCharType="end"/>
        </w:r>
      </w:hyperlink>
    </w:p>
    <w:p w:rsidR="00337D09" w:rsidRPr="00337D09" w:rsidRDefault="009D61A3" w:rsidP="00337D09">
      <w:pPr>
        <w:pStyle w:val="T1"/>
        <w:rPr>
          <w:rFonts w:eastAsiaTheme="minorEastAsia"/>
          <w:b w:val="0"/>
          <w:bCs w:val="0"/>
          <w:iCs w:val="0"/>
          <w:color w:val="auto"/>
          <w:shd w:val="clear" w:color="auto" w:fill="auto"/>
        </w:rPr>
      </w:pPr>
      <w:hyperlink w:anchor="_Toc34134580" w:history="1">
        <w:r w:rsidR="00337D09" w:rsidRPr="00337D09">
          <w:rPr>
            <w:rStyle w:val="Kpr"/>
          </w:rPr>
          <w:t>ABSTRACT</w:t>
        </w:r>
        <w:r w:rsidR="00337D09" w:rsidRPr="00C36C8A">
          <w:rPr>
            <w:b w:val="0"/>
            <w:webHidden/>
          </w:rPr>
          <w:tab/>
        </w:r>
        <w:r w:rsidR="00337D09" w:rsidRPr="00C36C8A">
          <w:rPr>
            <w:b w:val="0"/>
            <w:webHidden/>
          </w:rPr>
          <w:fldChar w:fldCharType="begin"/>
        </w:r>
        <w:r w:rsidR="00337D09" w:rsidRPr="00C36C8A">
          <w:rPr>
            <w:b w:val="0"/>
            <w:webHidden/>
          </w:rPr>
          <w:instrText xml:space="preserve"> PAGEREF _Toc34134580 \h </w:instrText>
        </w:r>
        <w:r w:rsidR="00337D09" w:rsidRPr="00C36C8A">
          <w:rPr>
            <w:b w:val="0"/>
            <w:webHidden/>
          </w:rPr>
        </w:r>
        <w:r w:rsidR="00337D09" w:rsidRPr="00C36C8A">
          <w:rPr>
            <w:b w:val="0"/>
            <w:webHidden/>
          </w:rPr>
          <w:fldChar w:fldCharType="separate"/>
        </w:r>
        <w:r w:rsidR="00337D09" w:rsidRPr="00C36C8A">
          <w:rPr>
            <w:b w:val="0"/>
            <w:webHidden/>
          </w:rPr>
          <w:t>VI</w:t>
        </w:r>
        <w:r w:rsidR="00337D09" w:rsidRPr="00C36C8A">
          <w:rPr>
            <w:b w:val="0"/>
            <w:webHidden/>
          </w:rPr>
          <w:fldChar w:fldCharType="end"/>
        </w:r>
      </w:hyperlink>
    </w:p>
    <w:p w:rsidR="00337D09" w:rsidRPr="00337D09" w:rsidRDefault="009D61A3" w:rsidP="00337D09">
      <w:pPr>
        <w:pStyle w:val="T1"/>
        <w:rPr>
          <w:rFonts w:eastAsiaTheme="minorEastAsia"/>
          <w:b w:val="0"/>
          <w:bCs w:val="0"/>
          <w:iCs w:val="0"/>
          <w:color w:val="auto"/>
          <w:shd w:val="clear" w:color="auto" w:fill="auto"/>
        </w:rPr>
      </w:pPr>
      <w:hyperlink w:anchor="_Toc34134581" w:history="1">
        <w:r w:rsidR="00337D09" w:rsidRPr="00337D09">
          <w:rPr>
            <w:rStyle w:val="Kpr"/>
          </w:rPr>
          <w:t>İÇİNDEKİLER</w:t>
        </w:r>
        <w:r w:rsidR="00337D09" w:rsidRPr="00C36C8A">
          <w:rPr>
            <w:b w:val="0"/>
            <w:webHidden/>
          </w:rPr>
          <w:tab/>
        </w:r>
        <w:r w:rsidR="00337D09" w:rsidRPr="00C36C8A">
          <w:rPr>
            <w:b w:val="0"/>
            <w:webHidden/>
          </w:rPr>
          <w:fldChar w:fldCharType="begin"/>
        </w:r>
        <w:r w:rsidR="00337D09" w:rsidRPr="00C36C8A">
          <w:rPr>
            <w:b w:val="0"/>
            <w:webHidden/>
          </w:rPr>
          <w:instrText xml:space="preserve"> PAGEREF _Toc34134581 \h </w:instrText>
        </w:r>
        <w:r w:rsidR="00337D09" w:rsidRPr="00C36C8A">
          <w:rPr>
            <w:b w:val="0"/>
            <w:webHidden/>
          </w:rPr>
        </w:r>
        <w:r w:rsidR="00337D09" w:rsidRPr="00C36C8A">
          <w:rPr>
            <w:b w:val="0"/>
            <w:webHidden/>
          </w:rPr>
          <w:fldChar w:fldCharType="separate"/>
        </w:r>
        <w:r w:rsidR="00337D09" w:rsidRPr="00C36C8A">
          <w:rPr>
            <w:b w:val="0"/>
            <w:webHidden/>
          </w:rPr>
          <w:t>VII</w:t>
        </w:r>
        <w:r w:rsidR="00337D09" w:rsidRPr="00C36C8A">
          <w:rPr>
            <w:b w:val="0"/>
            <w:webHidden/>
          </w:rPr>
          <w:fldChar w:fldCharType="end"/>
        </w:r>
      </w:hyperlink>
    </w:p>
    <w:p w:rsidR="00337D09" w:rsidRPr="00337D09" w:rsidRDefault="009D61A3" w:rsidP="00337D09">
      <w:pPr>
        <w:pStyle w:val="T1"/>
        <w:rPr>
          <w:rFonts w:eastAsiaTheme="minorEastAsia"/>
          <w:b w:val="0"/>
          <w:bCs w:val="0"/>
          <w:iCs w:val="0"/>
          <w:color w:val="auto"/>
          <w:shd w:val="clear" w:color="auto" w:fill="auto"/>
        </w:rPr>
      </w:pPr>
      <w:hyperlink w:anchor="_Toc34134582" w:history="1">
        <w:r w:rsidR="00337D09" w:rsidRPr="00337D09">
          <w:rPr>
            <w:rStyle w:val="Kpr"/>
          </w:rPr>
          <w:t>TABLOLAR LİSTESİ</w:t>
        </w:r>
        <w:r w:rsidR="00337D09" w:rsidRPr="00C36C8A">
          <w:rPr>
            <w:b w:val="0"/>
            <w:webHidden/>
          </w:rPr>
          <w:tab/>
        </w:r>
        <w:r w:rsidR="00337D09" w:rsidRPr="00C36C8A">
          <w:rPr>
            <w:b w:val="0"/>
            <w:webHidden/>
          </w:rPr>
          <w:fldChar w:fldCharType="begin"/>
        </w:r>
        <w:r w:rsidR="00337D09" w:rsidRPr="00C36C8A">
          <w:rPr>
            <w:b w:val="0"/>
            <w:webHidden/>
          </w:rPr>
          <w:instrText xml:space="preserve"> PAGEREF _Toc34134582 \h </w:instrText>
        </w:r>
        <w:r w:rsidR="00337D09" w:rsidRPr="00C36C8A">
          <w:rPr>
            <w:b w:val="0"/>
            <w:webHidden/>
          </w:rPr>
        </w:r>
        <w:r w:rsidR="00337D09" w:rsidRPr="00C36C8A">
          <w:rPr>
            <w:b w:val="0"/>
            <w:webHidden/>
          </w:rPr>
          <w:fldChar w:fldCharType="separate"/>
        </w:r>
        <w:r w:rsidR="00337D09" w:rsidRPr="00C36C8A">
          <w:rPr>
            <w:b w:val="0"/>
            <w:webHidden/>
          </w:rPr>
          <w:t>VIII</w:t>
        </w:r>
        <w:r w:rsidR="00337D09" w:rsidRPr="00C36C8A">
          <w:rPr>
            <w:b w:val="0"/>
            <w:webHidden/>
          </w:rPr>
          <w:fldChar w:fldCharType="end"/>
        </w:r>
      </w:hyperlink>
    </w:p>
    <w:p w:rsidR="00337D09" w:rsidRPr="00337D09" w:rsidRDefault="009D61A3" w:rsidP="00337D09">
      <w:pPr>
        <w:pStyle w:val="T1"/>
        <w:rPr>
          <w:rFonts w:eastAsiaTheme="minorEastAsia"/>
          <w:b w:val="0"/>
          <w:bCs w:val="0"/>
          <w:iCs w:val="0"/>
          <w:color w:val="auto"/>
          <w:shd w:val="clear" w:color="auto" w:fill="auto"/>
        </w:rPr>
      </w:pPr>
      <w:hyperlink w:anchor="_Toc34134583" w:history="1">
        <w:r w:rsidR="00337D09" w:rsidRPr="00337D09">
          <w:rPr>
            <w:rStyle w:val="Kpr"/>
          </w:rPr>
          <w:t>KISALTMALAR LİSTESİ</w:t>
        </w:r>
        <w:r w:rsidR="00337D09" w:rsidRPr="00C36C8A">
          <w:rPr>
            <w:b w:val="0"/>
            <w:webHidden/>
          </w:rPr>
          <w:tab/>
        </w:r>
        <w:r w:rsidR="00337D09" w:rsidRPr="00C36C8A">
          <w:rPr>
            <w:b w:val="0"/>
            <w:webHidden/>
          </w:rPr>
          <w:fldChar w:fldCharType="begin"/>
        </w:r>
        <w:r w:rsidR="00337D09" w:rsidRPr="00C36C8A">
          <w:rPr>
            <w:b w:val="0"/>
            <w:webHidden/>
          </w:rPr>
          <w:instrText xml:space="preserve"> PAGEREF _Toc34134583 \h </w:instrText>
        </w:r>
        <w:r w:rsidR="00337D09" w:rsidRPr="00C36C8A">
          <w:rPr>
            <w:b w:val="0"/>
            <w:webHidden/>
          </w:rPr>
        </w:r>
        <w:r w:rsidR="00337D09" w:rsidRPr="00C36C8A">
          <w:rPr>
            <w:b w:val="0"/>
            <w:webHidden/>
          </w:rPr>
          <w:fldChar w:fldCharType="separate"/>
        </w:r>
        <w:r w:rsidR="00337D09" w:rsidRPr="00C36C8A">
          <w:rPr>
            <w:b w:val="0"/>
            <w:webHidden/>
          </w:rPr>
          <w:t>IX</w:t>
        </w:r>
        <w:r w:rsidR="00337D09" w:rsidRPr="00C36C8A">
          <w:rPr>
            <w:b w:val="0"/>
            <w:webHidden/>
          </w:rPr>
          <w:fldChar w:fldCharType="end"/>
        </w:r>
      </w:hyperlink>
    </w:p>
    <w:p w:rsidR="00337D09" w:rsidRPr="00337D09" w:rsidRDefault="009D61A3" w:rsidP="00337D09">
      <w:pPr>
        <w:pStyle w:val="T1"/>
        <w:rPr>
          <w:rFonts w:eastAsiaTheme="minorEastAsia"/>
          <w:b w:val="0"/>
          <w:bCs w:val="0"/>
          <w:iCs w:val="0"/>
          <w:color w:val="auto"/>
          <w:shd w:val="clear" w:color="auto" w:fill="auto"/>
        </w:rPr>
      </w:pPr>
      <w:hyperlink w:anchor="_Toc34134584" w:history="1">
        <w:r w:rsidR="00337D09" w:rsidRPr="00337D09">
          <w:rPr>
            <w:rStyle w:val="Kpr"/>
          </w:rPr>
          <w:t>GİRİŞ</w:t>
        </w:r>
        <w:r w:rsidR="00337D09" w:rsidRPr="00C36C8A">
          <w:rPr>
            <w:b w:val="0"/>
            <w:webHidden/>
          </w:rPr>
          <w:tab/>
        </w:r>
        <w:r w:rsidR="00337D09" w:rsidRPr="00C36C8A">
          <w:rPr>
            <w:b w:val="0"/>
            <w:webHidden/>
          </w:rPr>
          <w:fldChar w:fldCharType="begin"/>
        </w:r>
        <w:r w:rsidR="00337D09" w:rsidRPr="00C36C8A">
          <w:rPr>
            <w:b w:val="0"/>
            <w:webHidden/>
          </w:rPr>
          <w:instrText xml:space="preserve"> PAGEREF _Toc34134584 \h </w:instrText>
        </w:r>
        <w:r w:rsidR="00337D09" w:rsidRPr="00C36C8A">
          <w:rPr>
            <w:b w:val="0"/>
            <w:webHidden/>
          </w:rPr>
        </w:r>
        <w:r w:rsidR="00337D09" w:rsidRPr="00C36C8A">
          <w:rPr>
            <w:b w:val="0"/>
            <w:webHidden/>
          </w:rPr>
          <w:fldChar w:fldCharType="separate"/>
        </w:r>
        <w:r w:rsidR="00337D09" w:rsidRPr="00C36C8A">
          <w:rPr>
            <w:b w:val="0"/>
            <w:webHidden/>
          </w:rPr>
          <w:t>1</w:t>
        </w:r>
        <w:r w:rsidR="00337D09" w:rsidRPr="00C36C8A">
          <w:rPr>
            <w:b w:val="0"/>
            <w:webHidden/>
          </w:rPr>
          <w:fldChar w:fldCharType="end"/>
        </w:r>
      </w:hyperlink>
    </w:p>
    <w:p w:rsidR="00337D09" w:rsidRDefault="00337D09" w:rsidP="00337D09">
      <w:pPr>
        <w:pStyle w:val="T1"/>
        <w:rPr>
          <w:rStyle w:val="Kpr"/>
        </w:rPr>
      </w:pPr>
    </w:p>
    <w:p w:rsidR="00337D09" w:rsidRPr="00337D09" w:rsidRDefault="009D61A3" w:rsidP="00337D09">
      <w:pPr>
        <w:pStyle w:val="T1"/>
        <w:rPr>
          <w:rFonts w:eastAsiaTheme="minorEastAsia"/>
          <w:b w:val="0"/>
          <w:bCs w:val="0"/>
          <w:iCs w:val="0"/>
          <w:color w:val="auto"/>
          <w:shd w:val="clear" w:color="auto" w:fill="auto"/>
        </w:rPr>
      </w:pPr>
      <w:hyperlink w:anchor="_Toc34134585" w:history="1">
        <w:r w:rsidR="00337D09" w:rsidRPr="00337D09">
          <w:rPr>
            <w:rStyle w:val="Kpr"/>
          </w:rPr>
          <w:t>BİRİNCİ BÖLÜM</w:t>
        </w:r>
      </w:hyperlink>
    </w:p>
    <w:p w:rsidR="00337D09" w:rsidRPr="00337D09" w:rsidRDefault="009D61A3" w:rsidP="00337D09">
      <w:pPr>
        <w:pStyle w:val="T2"/>
        <w:tabs>
          <w:tab w:val="right" w:leader="dot" w:pos="8494"/>
        </w:tabs>
        <w:ind w:left="0" w:firstLine="0"/>
        <w:rPr>
          <w:rFonts w:ascii="Times New Roman" w:eastAsiaTheme="minorEastAsia" w:hAnsi="Times New Roman"/>
          <w:b w:val="0"/>
          <w:bCs w:val="0"/>
          <w:noProof/>
          <w:color w:val="auto"/>
          <w:sz w:val="24"/>
          <w:szCs w:val="24"/>
        </w:rPr>
      </w:pPr>
      <w:hyperlink w:anchor="_Toc34134586" w:history="1">
        <w:r w:rsidR="00337D09" w:rsidRPr="00337D09">
          <w:rPr>
            <w:rStyle w:val="Kpr"/>
            <w:rFonts w:ascii="Times New Roman" w:hAnsi="Times New Roman"/>
            <w:noProof/>
            <w:sz w:val="24"/>
            <w:szCs w:val="24"/>
            <w:shd w:val="clear" w:color="auto" w:fill="FFFFFF"/>
          </w:rPr>
          <w:t>1. LİTERATÜR</w:t>
        </w:r>
        <w:r w:rsidR="00337D09" w:rsidRPr="00C36C8A">
          <w:rPr>
            <w:rFonts w:ascii="Times New Roman" w:hAnsi="Times New Roman"/>
            <w:b w:val="0"/>
            <w:noProof/>
            <w:webHidden/>
            <w:sz w:val="24"/>
            <w:szCs w:val="24"/>
          </w:rPr>
          <w:tab/>
        </w:r>
        <w:r w:rsidR="00337D09" w:rsidRPr="00337D09">
          <w:rPr>
            <w:rFonts w:ascii="Times New Roman" w:hAnsi="Times New Roman"/>
            <w:noProof/>
            <w:webHidden/>
            <w:sz w:val="24"/>
            <w:szCs w:val="24"/>
          </w:rPr>
          <w:fldChar w:fldCharType="begin"/>
        </w:r>
        <w:r w:rsidR="00337D09" w:rsidRPr="00337D09">
          <w:rPr>
            <w:rFonts w:ascii="Times New Roman" w:hAnsi="Times New Roman"/>
            <w:noProof/>
            <w:webHidden/>
            <w:sz w:val="24"/>
            <w:szCs w:val="24"/>
          </w:rPr>
          <w:instrText xml:space="preserve"> PAGEREF _Toc34134586 \h </w:instrText>
        </w:r>
        <w:r w:rsidR="00337D09" w:rsidRPr="00337D09">
          <w:rPr>
            <w:rFonts w:ascii="Times New Roman" w:hAnsi="Times New Roman"/>
            <w:noProof/>
            <w:webHidden/>
            <w:sz w:val="24"/>
            <w:szCs w:val="24"/>
          </w:rPr>
        </w:r>
        <w:r w:rsidR="00337D09" w:rsidRPr="00337D09">
          <w:rPr>
            <w:rFonts w:ascii="Times New Roman" w:hAnsi="Times New Roman"/>
            <w:noProof/>
            <w:webHidden/>
            <w:sz w:val="24"/>
            <w:szCs w:val="24"/>
          </w:rPr>
          <w:fldChar w:fldCharType="separate"/>
        </w:r>
        <w:r w:rsidR="00337D09">
          <w:rPr>
            <w:rFonts w:ascii="Times New Roman" w:hAnsi="Times New Roman"/>
            <w:noProof/>
            <w:webHidden/>
            <w:sz w:val="24"/>
            <w:szCs w:val="24"/>
          </w:rPr>
          <w:t>4</w:t>
        </w:r>
        <w:r w:rsidR="00337D09" w:rsidRPr="00337D09">
          <w:rPr>
            <w:rFonts w:ascii="Times New Roman" w:hAnsi="Times New Roman"/>
            <w:noProof/>
            <w:webHidden/>
            <w:sz w:val="24"/>
            <w:szCs w:val="24"/>
          </w:rPr>
          <w:fldChar w:fldCharType="end"/>
        </w:r>
      </w:hyperlink>
      <w:r w:rsidR="00C36C8A">
        <w:rPr>
          <w:rFonts w:ascii="Times New Roman" w:hAnsi="Times New Roman"/>
          <w:noProof/>
          <w:sz w:val="24"/>
          <w:szCs w:val="24"/>
        </w:rPr>
        <w:t>-10</w:t>
      </w:r>
    </w:p>
    <w:p w:rsidR="00337D09" w:rsidRDefault="00337D09" w:rsidP="00337D09">
      <w:pPr>
        <w:pStyle w:val="T1"/>
        <w:rPr>
          <w:rStyle w:val="Kpr"/>
        </w:rPr>
      </w:pPr>
    </w:p>
    <w:p w:rsidR="00337D09" w:rsidRPr="00337D09" w:rsidRDefault="009D61A3" w:rsidP="00337D09">
      <w:pPr>
        <w:pStyle w:val="T1"/>
        <w:rPr>
          <w:rFonts w:eastAsiaTheme="minorEastAsia"/>
          <w:b w:val="0"/>
          <w:bCs w:val="0"/>
          <w:iCs w:val="0"/>
          <w:color w:val="auto"/>
          <w:shd w:val="clear" w:color="auto" w:fill="auto"/>
        </w:rPr>
      </w:pPr>
      <w:hyperlink w:anchor="_Toc34134587" w:history="1">
        <w:r w:rsidR="00337D09" w:rsidRPr="00337D09">
          <w:rPr>
            <w:rStyle w:val="Kpr"/>
          </w:rPr>
          <w:t>İKİNCİ BÖLÜM</w:t>
        </w:r>
      </w:hyperlink>
    </w:p>
    <w:p w:rsidR="00337D09" w:rsidRPr="00337D09" w:rsidRDefault="009D61A3" w:rsidP="00337D09">
      <w:pPr>
        <w:pStyle w:val="T2"/>
        <w:tabs>
          <w:tab w:val="right" w:leader="dot" w:pos="8494"/>
        </w:tabs>
        <w:ind w:left="0" w:firstLine="0"/>
        <w:rPr>
          <w:rFonts w:ascii="Times New Roman" w:eastAsiaTheme="minorEastAsia" w:hAnsi="Times New Roman"/>
          <w:b w:val="0"/>
          <w:bCs w:val="0"/>
          <w:noProof/>
          <w:color w:val="auto"/>
          <w:sz w:val="24"/>
          <w:szCs w:val="24"/>
        </w:rPr>
      </w:pPr>
      <w:hyperlink w:anchor="_Toc34134588" w:history="1">
        <w:r w:rsidR="00337D09" w:rsidRPr="00337D09">
          <w:rPr>
            <w:rStyle w:val="Kpr"/>
            <w:rFonts w:ascii="Times New Roman" w:hAnsi="Times New Roman"/>
            <w:noProof/>
            <w:sz w:val="24"/>
            <w:szCs w:val="24"/>
            <w:shd w:val="clear" w:color="auto" w:fill="FFFFFF"/>
          </w:rPr>
          <w:t>2. UYGULAMA</w:t>
        </w:r>
        <w:r w:rsidR="00337D09" w:rsidRPr="00C36C8A">
          <w:rPr>
            <w:rFonts w:ascii="Times New Roman" w:hAnsi="Times New Roman"/>
            <w:b w:val="0"/>
            <w:noProof/>
            <w:webHidden/>
            <w:sz w:val="24"/>
            <w:szCs w:val="24"/>
          </w:rPr>
          <w:tab/>
        </w:r>
        <w:r w:rsidR="00337D09" w:rsidRPr="00337D09">
          <w:rPr>
            <w:rFonts w:ascii="Times New Roman" w:hAnsi="Times New Roman"/>
            <w:noProof/>
            <w:webHidden/>
            <w:sz w:val="24"/>
            <w:szCs w:val="24"/>
          </w:rPr>
          <w:fldChar w:fldCharType="begin"/>
        </w:r>
        <w:r w:rsidR="00337D09" w:rsidRPr="00337D09">
          <w:rPr>
            <w:rFonts w:ascii="Times New Roman" w:hAnsi="Times New Roman"/>
            <w:noProof/>
            <w:webHidden/>
            <w:sz w:val="24"/>
            <w:szCs w:val="24"/>
          </w:rPr>
          <w:instrText xml:space="preserve"> PAGEREF _Toc34134588 \h </w:instrText>
        </w:r>
        <w:r w:rsidR="00337D09" w:rsidRPr="00337D09">
          <w:rPr>
            <w:rFonts w:ascii="Times New Roman" w:hAnsi="Times New Roman"/>
            <w:noProof/>
            <w:webHidden/>
            <w:sz w:val="24"/>
            <w:szCs w:val="24"/>
          </w:rPr>
        </w:r>
        <w:r w:rsidR="00337D09" w:rsidRPr="00337D09">
          <w:rPr>
            <w:rFonts w:ascii="Times New Roman" w:hAnsi="Times New Roman"/>
            <w:noProof/>
            <w:webHidden/>
            <w:sz w:val="24"/>
            <w:szCs w:val="24"/>
          </w:rPr>
          <w:fldChar w:fldCharType="separate"/>
        </w:r>
        <w:r w:rsidR="00337D09">
          <w:rPr>
            <w:rFonts w:ascii="Times New Roman" w:hAnsi="Times New Roman"/>
            <w:noProof/>
            <w:webHidden/>
            <w:sz w:val="24"/>
            <w:szCs w:val="24"/>
          </w:rPr>
          <w:t>11</w:t>
        </w:r>
        <w:r w:rsidR="00337D09" w:rsidRPr="00337D09">
          <w:rPr>
            <w:rFonts w:ascii="Times New Roman" w:hAnsi="Times New Roman"/>
            <w:noProof/>
            <w:webHidden/>
            <w:sz w:val="24"/>
            <w:szCs w:val="24"/>
          </w:rPr>
          <w:fldChar w:fldCharType="end"/>
        </w:r>
      </w:hyperlink>
      <w:r w:rsidR="00C36C8A">
        <w:rPr>
          <w:rFonts w:ascii="Times New Roman" w:hAnsi="Times New Roman"/>
          <w:noProof/>
          <w:sz w:val="24"/>
          <w:szCs w:val="24"/>
        </w:rPr>
        <w:t>-21</w:t>
      </w:r>
    </w:p>
    <w:p w:rsidR="00337D09" w:rsidRPr="00337D09" w:rsidRDefault="009D61A3" w:rsidP="00337D09">
      <w:pPr>
        <w:pStyle w:val="T3"/>
        <w:tabs>
          <w:tab w:val="right" w:leader="dot" w:pos="8494"/>
        </w:tabs>
        <w:ind w:left="0" w:firstLine="0"/>
        <w:rPr>
          <w:rFonts w:ascii="Times New Roman" w:eastAsiaTheme="minorEastAsia" w:hAnsi="Times New Roman"/>
          <w:noProof/>
          <w:color w:val="auto"/>
          <w:sz w:val="24"/>
          <w:szCs w:val="24"/>
        </w:rPr>
      </w:pPr>
      <w:hyperlink w:anchor="_Toc34134589" w:history="1">
        <w:r w:rsidR="00337D09" w:rsidRPr="00337D09">
          <w:rPr>
            <w:rStyle w:val="Kpr"/>
            <w:rFonts w:ascii="Times New Roman" w:hAnsi="Times New Roman"/>
            <w:noProof/>
            <w:sz w:val="24"/>
            <w:szCs w:val="24"/>
            <w:shd w:val="clear" w:color="auto" w:fill="FFFFFF"/>
          </w:rPr>
          <w:t>2.1. Yöntem</w:t>
        </w:r>
        <w:r w:rsidR="00337D09" w:rsidRPr="00337D09">
          <w:rPr>
            <w:rFonts w:ascii="Times New Roman" w:hAnsi="Times New Roman"/>
            <w:noProof/>
            <w:webHidden/>
            <w:sz w:val="24"/>
            <w:szCs w:val="24"/>
          </w:rPr>
          <w:tab/>
        </w:r>
        <w:r w:rsidR="00337D09" w:rsidRPr="00337D09">
          <w:rPr>
            <w:rFonts w:ascii="Times New Roman" w:hAnsi="Times New Roman"/>
            <w:noProof/>
            <w:webHidden/>
            <w:sz w:val="24"/>
            <w:szCs w:val="24"/>
          </w:rPr>
          <w:fldChar w:fldCharType="begin"/>
        </w:r>
        <w:r w:rsidR="00337D09" w:rsidRPr="00337D09">
          <w:rPr>
            <w:rFonts w:ascii="Times New Roman" w:hAnsi="Times New Roman"/>
            <w:noProof/>
            <w:webHidden/>
            <w:sz w:val="24"/>
            <w:szCs w:val="24"/>
          </w:rPr>
          <w:instrText xml:space="preserve"> PAGEREF _Toc34134589 \h </w:instrText>
        </w:r>
        <w:r w:rsidR="00337D09" w:rsidRPr="00337D09">
          <w:rPr>
            <w:rFonts w:ascii="Times New Roman" w:hAnsi="Times New Roman"/>
            <w:noProof/>
            <w:webHidden/>
            <w:sz w:val="24"/>
            <w:szCs w:val="24"/>
          </w:rPr>
        </w:r>
        <w:r w:rsidR="00337D09" w:rsidRPr="00337D09">
          <w:rPr>
            <w:rFonts w:ascii="Times New Roman" w:hAnsi="Times New Roman"/>
            <w:noProof/>
            <w:webHidden/>
            <w:sz w:val="24"/>
            <w:szCs w:val="24"/>
          </w:rPr>
          <w:fldChar w:fldCharType="separate"/>
        </w:r>
        <w:r w:rsidR="00337D09">
          <w:rPr>
            <w:rFonts w:ascii="Times New Roman" w:hAnsi="Times New Roman"/>
            <w:noProof/>
            <w:webHidden/>
            <w:sz w:val="24"/>
            <w:szCs w:val="24"/>
          </w:rPr>
          <w:t>11</w:t>
        </w:r>
        <w:r w:rsidR="00337D09" w:rsidRPr="00337D09">
          <w:rPr>
            <w:rFonts w:ascii="Times New Roman" w:hAnsi="Times New Roman"/>
            <w:noProof/>
            <w:webHidden/>
            <w:sz w:val="24"/>
            <w:szCs w:val="24"/>
          </w:rPr>
          <w:fldChar w:fldCharType="end"/>
        </w:r>
      </w:hyperlink>
    </w:p>
    <w:p w:rsidR="00337D09" w:rsidRPr="00337D09" w:rsidRDefault="009D61A3" w:rsidP="00337D09">
      <w:pPr>
        <w:pStyle w:val="T4"/>
        <w:tabs>
          <w:tab w:val="right" w:leader="dot" w:pos="8494"/>
        </w:tabs>
        <w:ind w:left="0" w:firstLine="0"/>
        <w:rPr>
          <w:rFonts w:ascii="Times New Roman" w:eastAsiaTheme="minorEastAsia" w:hAnsi="Times New Roman"/>
          <w:noProof/>
          <w:color w:val="auto"/>
          <w:sz w:val="24"/>
          <w:szCs w:val="24"/>
        </w:rPr>
      </w:pPr>
      <w:hyperlink w:anchor="_Toc34134590" w:history="1">
        <w:r w:rsidR="00337D09" w:rsidRPr="00337D09">
          <w:rPr>
            <w:rStyle w:val="Kpr"/>
            <w:rFonts w:ascii="Times New Roman" w:hAnsi="Times New Roman"/>
            <w:noProof/>
            <w:sz w:val="24"/>
            <w:szCs w:val="24"/>
            <w:shd w:val="clear" w:color="auto" w:fill="FFFFFF"/>
          </w:rPr>
          <w:t>2.1.1. Tobit Yöntemi</w:t>
        </w:r>
        <w:r w:rsidR="00337D09" w:rsidRPr="00337D09">
          <w:rPr>
            <w:rFonts w:ascii="Times New Roman" w:hAnsi="Times New Roman"/>
            <w:noProof/>
            <w:webHidden/>
            <w:sz w:val="24"/>
            <w:szCs w:val="24"/>
          </w:rPr>
          <w:tab/>
        </w:r>
        <w:r w:rsidR="00337D09" w:rsidRPr="00337D09">
          <w:rPr>
            <w:rFonts w:ascii="Times New Roman" w:hAnsi="Times New Roman"/>
            <w:noProof/>
            <w:webHidden/>
            <w:sz w:val="24"/>
            <w:szCs w:val="24"/>
          </w:rPr>
          <w:fldChar w:fldCharType="begin"/>
        </w:r>
        <w:r w:rsidR="00337D09" w:rsidRPr="00337D09">
          <w:rPr>
            <w:rFonts w:ascii="Times New Roman" w:hAnsi="Times New Roman"/>
            <w:noProof/>
            <w:webHidden/>
            <w:sz w:val="24"/>
            <w:szCs w:val="24"/>
          </w:rPr>
          <w:instrText xml:space="preserve"> PAGEREF _Toc34134590 \h </w:instrText>
        </w:r>
        <w:r w:rsidR="00337D09" w:rsidRPr="00337D09">
          <w:rPr>
            <w:rFonts w:ascii="Times New Roman" w:hAnsi="Times New Roman"/>
            <w:noProof/>
            <w:webHidden/>
            <w:sz w:val="24"/>
            <w:szCs w:val="24"/>
          </w:rPr>
        </w:r>
        <w:r w:rsidR="00337D09" w:rsidRPr="00337D09">
          <w:rPr>
            <w:rFonts w:ascii="Times New Roman" w:hAnsi="Times New Roman"/>
            <w:noProof/>
            <w:webHidden/>
            <w:sz w:val="24"/>
            <w:szCs w:val="24"/>
          </w:rPr>
          <w:fldChar w:fldCharType="separate"/>
        </w:r>
        <w:r w:rsidR="00337D09">
          <w:rPr>
            <w:rFonts w:ascii="Times New Roman" w:hAnsi="Times New Roman"/>
            <w:noProof/>
            <w:webHidden/>
            <w:sz w:val="24"/>
            <w:szCs w:val="24"/>
          </w:rPr>
          <w:t>12</w:t>
        </w:r>
        <w:r w:rsidR="00337D09" w:rsidRPr="00337D09">
          <w:rPr>
            <w:rFonts w:ascii="Times New Roman" w:hAnsi="Times New Roman"/>
            <w:noProof/>
            <w:webHidden/>
            <w:sz w:val="24"/>
            <w:szCs w:val="24"/>
          </w:rPr>
          <w:fldChar w:fldCharType="end"/>
        </w:r>
      </w:hyperlink>
    </w:p>
    <w:p w:rsidR="00337D09" w:rsidRPr="00337D09" w:rsidRDefault="009D61A3" w:rsidP="00337D09">
      <w:pPr>
        <w:pStyle w:val="T4"/>
        <w:tabs>
          <w:tab w:val="right" w:leader="dot" w:pos="8494"/>
        </w:tabs>
        <w:ind w:left="0" w:firstLine="0"/>
        <w:rPr>
          <w:rFonts w:ascii="Times New Roman" w:eastAsiaTheme="minorEastAsia" w:hAnsi="Times New Roman"/>
          <w:noProof/>
          <w:color w:val="auto"/>
          <w:sz w:val="24"/>
          <w:szCs w:val="24"/>
        </w:rPr>
      </w:pPr>
      <w:hyperlink w:anchor="_Toc34134591" w:history="1">
        <w:r w:rsidR="00337D09" w:rsidRPr="00337D09">
          <w:rPr>
            <w:rStyle w:val="Kpr"/>
            <w:rFonts w:ascii="Times New Roman" w:hAnsi="Times New Roman"/>
            <w:noProof/>
            <w:sz w:val="24"/>
            <w:szCs w:val="24"/>
            <w:shd w:val="clear" w:color="auto" w:fill="FFFFFF"/>
          </w:rPr>
          <w:t>2.1.2. Çift Eşik Yöntemi</w:t>
        </w:r>
        <w:r w:rsidR="00337D09" w:rsidRPr="00337D09">
          <w:rPr>
            <w:rFonts w:ascii="Times New Roman" w:hAnsi="Times New Roman"/>
            <w:noProof/>
            <w:webHidden/>
            <w:sz w:val="24"/>
            <w:szCs w:val="24"/>
          </w:rPr>
          <w:tab/>
        </w:r>
        <w:r w:rsidR="00337D09" w:rsidRPr="00337D09">
          <w:rPr>
            <w:rFonts w:ascii="Times New Roman" w:hAnsi="Times New Roman"/>
            <w:noProof/>
            <w:webHidden/>
            <w:sz w:val="24"/>
            <w:szCs w:val="24"/>
          </w:rPr>
          <w:fldChar w:fldCharType="begin"/>
        </w:r>
        <w:r w:rsidR="00337D09" w:rsidRPr="00337D09">
          <w:rPr>
            <w:rFonts w:ascii="Times New Roman" w:hAnsi="Times New Roman"/>
            <w:noProof/>
            <w:webHidden/>
            <w:sz w:val="24"/>
            <w:szCs w:val="24"/>
          </w:rPr>
          <w:instrText xml:space="preserve"> PAGEREF _Toc34134591 \h </w:instrText>
        </w:r>
        <w:r w:rsidR="00337D09" w:rsidRPr="00337D09">
          <w:rPr>
            <w:rFonts w:ascii="Times New Roman" w:hAnsi="Times New Roman"/>
            <w:noProof/>
            <w:webHidden/>
            <w:sz w:val="24"/>
            <w:szCs w:val="24"/>
          </w:rPr>
        </w:r>
        <w:r w:rsidR="00337D09" w:rsidRPr="00337D09">
          <w:rPr>
            <w:rFonts w:ascii="Times New Roman" w:hAnsi="Times New Roman"/>
            <w:noProof/>
            <w:webHidden/>
            <w:sz w:val="24"/>
            <w:szCs w:val="24"/>
          </w:rPr>
          <w:fldChar w:fldCharType="separate"/>
        </w:r>
        <w:r w:rsidR="00337D09">
          <w:rPr>
            <w:rFonts w:ascii="Times New Roman" w:hAnsi="Times New Roman"/>
            <w:noProof/>
            <w:webHidden/>
            <w:sz w:val="24"/>
            <w:szCs w:val="24"/>
          </w:rPr>
          <w:t>13</w:t>
        </w:r>
        <w:r w:rsidR="00337D09" w:rsidRPr="00337D09">
          <w:rPr>
            <w:rFonts w:ascii="Times New Roman" w:hAnsi="Times New Roman"/>
            <w:noProof/>
            <w:webHidden/>
            <w:sz w:val="24"/>
            <w:szCs w:val="24"/>
          </w:rPr>
          <w:fldChar w:fldCharType="end"/>
        </w:r>
      </w:hyperlink>
    </w:p>
    <w:p w:rsidR="00337D09" w:rsidRPr="00337D09" w:rsidRDefault="009D61A3" w:rsidP="00337D09">
      <w:pPr>
        <w:pStyle w:val="T3"/>
        <w:tabs>
          <w:tab w:val="right" w:leader="dot" w:pos="8494"/>
        </w:tabs>
        <w:ind w:left="0" w:firstLine="0"/>
        <w:rPr>
          <w:rFonts w:ascii="Times New Roman" w:eastAsiaTheme="minorEastAsia" w:hAnsi="Times New Roman"/>
          <w:noProof/>
          <w:color w:val="auto"/>
          <w:sz w:val="24"/>
          <w:szCs w:val="24"/>
        </w:rPr>
      </w:pPr>
      <w:hyperlink w:anchor="_Toc34134592" w:history="1">
        <w:r w:rsidR="00337D09" w:rsidRPr="00337D09">
          <w:rPr>
            <w:rStyle w:val="Kpr"/>
            <w:rFonts w:ascii="Times New Roman" w:hAnsi="Times New Roman"/>
            <w:noProof/>
            <w:sz w:val="24"/>
            <w:szCs w:val="24"/>
            <w:shd w:val="clear" w:color="auto" w:fill="FFFFFF"/>
          </w:rPr>
          <w:t>2.2. Veri Seti</w:t>
        </w:r>
        <w:r w:rsidR="00337D09" w:rsidRPr="00337D09">
          <w:rPr>
            <w:rFonts w:ascii="Times New Roman" w:hAnsi="Times New Roman"/>
            <w:noProof/>
            <w:webHidden/>
            <w:sz w:val="24"/>
            <w:szCs w:val="24"/>
          </w:rPr>
          <w:tab/>
        </w:r>
        <w:r w:rsidR="00337D09" w:rsidRPr="00337D09">
          <w:rPr>
            <w:rFonts w:ascii="Times New Roman" w:hAnsi="Times New Roman"/>
            <w:noProof/>
            <w:webHidden/>
            <w:sz w:val="24"/>
            <w:szCs w:val="24"/>
          </w:rPr>
          <w:fldChar w:fldCharType="begin"/>
        </w:r>
        <w:r w:rsidR="00337D09" w:rsidRPr="00337D09">
          <w:rPr>
            <w:rFonts w:ascii="Times New Roman" w:hAnsi="Times New Roman"/>
            <w:noProof/>
            <w:webHidden/>
            <w:sz w:val="24"/>
            <w:szCs w:val="24"/>
          </w:rPr>
          <w:instrText xml:space="preserve"> PAGEREF _Toc34134592 \h </w:instrText>
        </w:r>
        <w:r w:rsidR="00337D09" w:rsidRPr="00337D09">
          <w:rPr>
            <w:rFonts w:ascii="Times New Roman" w:hAnsi="Times New Roman"/>
            <w:noProof/>
            <w:webHidden/>
            <w:sz w:val="24"/>
            <w:szCs w:val="24"/>
          </w:rPr>
        </w:r>
        <w:r w:rsidR="00337D09" w:rsidRPr="00337D09">
          <w:rPr>
            <w:rFonts w:ascii="Times New Roman" w:hAnsi="Times New Roman"/>
            <w:noProof/>
            <w:webHidden/>
            <w:sz w:val="24"/>
            <w:szCs w:val="24"/>
          </w:rPr>
          <w:fldChar w:fldCharType="separate"/>
        </w:r>
        <w:r w:rsidR="00337D09">
          <w:rPr>
            <w:rFonts w:ascii="Times New Roman" w:hAnsi="Times New Roman"/>
            <w:noProof/>
            <w:webHidden/>
            <w:sz w:val="24"/>
            <w:szCs w:val="24"/>
          </w:rPr>
          <w:t>15</w:t>
        </w:r>
        <w:r w:rsidR="00337D09" w:rsidRPr="00337D09">
          <w:rPr>
            <w:rFonts w:ascii="Times New Roman" w:hAnsi="Times New Roman"/>
            <w:noProof/>
            <w:webHidden/>
            <w:sz w:val="24"/>
            <w:szCs w:val="24"/>
          </w:rPr>
          <w:fldChar w:fldCharType="end"/>
        </w:r>
      </w:hyperlink>
    </w:p>
    <w:p w:rsidR="00337D09" w:rsidRPr="00337D09" w:rsidRDefault="009D61A3" w:rsidP="00337D09">
      <w:pPr>
        <w:pStyle w:val="T3"/>
        <w:tabs>
          <w:tab w:val="right" w:leader="dot" w:pos="8494"/>
        </w:tabs>
        <w:ind w:left="0" w:firstLine="0"/>
        <w:rPr>
          <w:rFonts w:ascii="Times New Roman" w:eastAsiaTheme="minorEastAsia" w:hAnsi="Times New Roman"/>
          <w:noProof/>
          <w:color w:val="auto"/>
          <w:sz w:val="24"/>
          <w:szCs w:val="24"/>
        </w:rPr>
      </w:pPr>
      <w:hyperlink w:anchor="_Toc34134593" w:history="1">
        <w:r w:rsidR="00337D09" w:rsidRPr="00337D09">
          <w:rPr>
            <w:rStyle w:val="Kpr"/>
            <w:rFonts w:ascii="Times New Roman" w:hAnsi="Times New Roman"/>
            <w:noProof/>
            <w:sz w:val="24"/>
            <w:szCs w:val="24"/>
            <w:shd w:val="clear" w:color="auto" w:fill="FFFFFF"/>
          </w:rPr>
          <w:t>2.3. Ampirik Bulgular</w:t>
        </w:r>
        <w:r w:rsidR="00337D09" w:rsidRPr="00337D09">
          <w:rPr>
            <w:rFonts w:ascii="Times New Roman" w:hAnsi="Times New Roman"/>
            <w:noProof/>
            <w:webHidden/>
            <w:sz w:val="24"/>
            <w:szCs w:val="24"/>
          </w:rPr>
          <w:tab/>
        </w:r>
        <w:r w:rsidR="00337D09" w:rsidRPr="00337D09">
          <w:rPr>
            <w:rFonts w:ascii="Times New Roman" w:hAnsi="Times New Roman"/>
            <w:noProof/>
            <w:webHidden/>
            <w:sz w:val="24"/>
            <w:szCs w:val="24"/>
          </w:rPr>
          <w:fldChar w:fldCharType="begin"/>
        </w:r>
        <w:r w:rsidR="00337D09" w:rsidRPr="00337D09">
          <w:rPr>
            <w:rFonts w:ascii="Times New Roman" w:hAnsi="Times New Roman"/>
            <w:noProof/>
            <w:webHidden/>
            <w:sz w:val="24"/>
            <w:szCs w:val="24"/>
          </w:rPr>
          <w:instrText xml:space="preserve"> PAGEREF _Toc34134593 \h </w:instrText>
        </w:r>
        <w:r w:rsidR="00337D09" w:rsidRPr="00337D09">
          <w:rPr>
            <w:rFonts w:ascii="Times New Roman" w:hAnsi="Times New Roman"/>
            <w:noProof/>
            <w:webHidden/>
            <w:sz w:val="24"/>
            <w:szCs w:val="24"/>
          </w:rPr>
        </w:r>
        <w:r w:rsidR="00337D09" w:rsidRPr="00337D09">
          <w:rPr>
            <w:rFonts w:ascii="Times New Roman" w:hAnsi="Times New Roman"/>
            <w:noProof/>
            <w:webHidden/>
            <w:sz w:val="24"/>
            <w:szCs w:val="24"/>
          </w:rPr>
          <w:fldChar w:fldCharType="separate"/>
        </w:r>
        <w:r w:rsidR="00337D09">
          <w:rPr>
            <w:rFonts w:ascii="Times New Roman" w:hAnsi="Times New Roman"/>
            <w:noProof/>
            <w:webHidden/>
            <w:sz w:val="24"/>
            <w:szCs w:val="24"/>
          </w:rPr>
          <w:t>17</w:t>
        </w:r>
        <w:r w:rsidR="00337D09" w:rsidRPr="00337D09">
          <w:rPr>
            <w:rFonts w:ascii="Times New Roman" w:hAnsi="Times New Roman"/>
            <w:noProof/>
            <w:webHidden/>
            <w:sz w:val="24"/>
            <w:szCs w:val="24"/>
          </w:rPr>
          <w:fldChar w:fldCharType="end"/>
        </w:r>
      </w:hyperlink>
    </w:p>
    <w:p w:rsidR="00337D09" w:rsidRDefault="00337D09" w:rsidP="00337D09">
      <w:pPr>
        <w:pStyle w:val="T1"/>
        <w:rPr>
          <w:rStyle w:val="Kpr"/>
        </w:rPr>
      </w:pPr>
    </w:p>
    <w:p w:rsidR="00337D09" w:rsidRDefault="009D61A3" w:rsidP="00337D09">
      <w:pPr>
        <w:pStyle w:val="T1"/>
        <w:rPr>
          <w:b w:val="0"/>
        </w:rPr>
      </w:pPr>
      <w:hyperlink w:anchor="_Toc34134594" w:history="1">
        <w:r w:rsidR="00337D09" w:rsidRPr="00337D09">
          <w:rPr>
            <w:rStyle w:val="Kpr"/>
          </w:rPr>
          <w:t>SONUÇ VE DEĞERLENDİRME</w:t>
        </w:r>
        <w:r w:rsidR="00337D09" w:rsidRPr="00C36C8A">
          <w:rPr>
            <w:b w:val="0"/>
            <w:webHidden/>
          </w:rPr>
          <w:tab/>
        </w:r>
        <w:r w:rsidR="00337D09" w:rsidRPr="00C36C8A">
          <w:rPr>
            <w:b w:val="0"/>
            <w:webHidden/>
          </w:rPr>
          <w:fldChar w:fldCharType="begin"/>
        </w:r>
        <w:r w:rsidR="00337D09" w:rsidRPr="00C36C8A">
          <w:rPr>
            <w:b w:val="0"/>
            <w:webHidden/>
          </w:rPr>
          <w:instrText xml:space="preserve"> PAGEREF _Toc34134594 \h </w:instrText>
        </w:r>
        <w:r w:rsidR="00337D09" w:rsidRPr="00C36C8A">
          <w:rPr>
            <w:b w:val="0"/>
            <w:webHidden/>
          </w:rPr>
        </w:r>
        <w:r w:rsidR="00337D09" w:rsidRPr="00C36C8A">
          <w:rPr>
            <w:b w:val="0"/>
            <w:webHidden/>
          </w:rPr>
          <w:fldChar w:fldCharType="separate"/>
        </w:r>
        <w:r w:rsidR="00337D09" w:rsidRPr="00C36C8A">
          <w:rPr>
            <w:b w:val="0"/>
            <w:webHidden/>
          </w:rPr>
          <w:t>22</w:t>
        </w:r>
        <w:r w:rsidR="00337D09" w:rsidRPr="00C36C8A">
          <w:rPr>
            <w:b w:val="0"/>
            <w:webHidden/>
          </w:rPr>
          <w:fldChar w:fldCharType="end"/>
        </w:r>
      </w:hyperlink>
    </w:p>
    <w:p w:rsidR="00605B46" w:rsidRPr="00605B46" w:rsidRDefault="00605B46" w:rsidP="00605B46">
      <w:pPr>
        <w:rPr>
          <w:rFonts w:eastAsiaTheme="minorEastAsia"/>
        </w:rPr>
      </w:pPr>
    </w:p>
    <w:p w:rsidR="00337D09" w:rsidRDefault="009D61A3" w:rsidP="00337D09">
      <w:pPr>
        <w:pStyle w:val="T1"/>
        <w:rPr>
          <w:b w:val="0"/>
        </w:rPr>
      </w:pPr>
      <w:hyperlink w:anchor="_Toc34134595" w:history="1">
        <w:r w:rsidR="00337D09" w:rsidRPr="00337D09">
          <w:rPr>
            <w:rStyle w:val="Kpr"/>
          </w:rPr>
          <w:t>KAYNAKÇA</w:t>
        </w:r>
        <w:r w:rsidR="00337D09" w:rsidRPr="00C36C8A">
          <w:rPr>
            <w:b w:val="0"/>
            <w:webHidden/>
          </w:rPr>
          <w:tab/>
        </w:r>
        <w:r w:rsidR="00337D09" w:rsidRPr="00C36C8A">
          <w:rPr>
            <w:b w:val="0"/>
            <w:webHidden/>
          </w:rPr>
          <w:fldChar w:fldCharType="begin"/>
        </w:r>
        <w:r w:rsidR="00337D09" w:rsidRPr="00C36C8A">
          <w:rPr>
            <w:b w:val="0"/>
            <w:webHidden/>
          </w:rPr>
          <w:instrText xml:space="preserve"> PAGEREF _Toc34134595 \h </w:instrText>
        </w:r>
        <w:r w:rsidR="00337D09" w:rsidRPr="00C36C8A">
          <w:rPr>
            <w:b w:val="0"/>
            <w:webHidden/>
          </w:rPr>
        </w:r>
        <w:r w:rsidR="00337D09" w:rsidRPr="00C36C8A">
          <w:rPr>
            <w:b w:val="0"/>
            <w:webHidden/>
          </w:rPr>
          <w:fldChar w:fldCharType="separate"/>
        </w:r>
        <w:r w:rsidR="00337D09" w:rsidRPr="00C36C8A">
          <w:rPr>
            <w:b w:val="0"/>
            <w:webHidden/>
          </w:rPr>
          <w:t>24</w:t>
        </w:r>
        <w:r w:rsidR="00337D09" w:rsidRPr="00C36C8A">
          <w:rPr>
            <w:b w:val="0"/>
            <w:webHidden/>
          </w:rPr>
          <w:fldChar w:fldCharType="end"/>
        </w:r>
      </w:hyperlink>
    </w:p>
    <w:p w:rsidR="00605B46" w:rsidRPr="00605B46" w:rsidRDefault="00605B46" w:rsidP="00605B46">
      <w:pPr>
        <w:rPr>
          <w:rFonts w:eastAsiaTheme="minorEastAsia"/>
        </w:rPr>
      </w:pPr>
    </w:p>
    <w:p w:rsidR="00337D09" w:rsidRDefault="009D61A3" w:rsidP="00337D09">
      <w:pPr>
        <w:pStyle w:val="T1"/>
        <w:rPr>
          <w:b w:val="0"/>
        </w:rPr>
      </w:pPr>
      <w:hyperlink w:anchor="_Toc34134596" w:history="1">
        <w:r w:rsidR="00337D09" w:rsidRPr="00337D09">
          <w:rPr>
            <w:rStyle w:val="Kpr"/>
          </w:rPr>
          <w:t>ÖZGEÇMİŞ</w:t>
        </w:r>
        <w:r w:rsidR="00337D09" w:rsidRPr="00C36C8A">
          <w:rPr>
            <w:b w:val="0"/>
            <w:webHidden/>
          </w:rPr>
          <w:tab/>
        </w:r>
        <w:r w:rsidR="00337D09" w:rsidRPr="00C36C8A">
          <w:rPr>
            <w:b w:val="0"/>
            <w:webHidden/>
          </w:rPr>
          <w:fldChar w:fldCharType="begin"/>
        </w:r>
        <w:r w:rsidR="00337D09" w:rsidRPr="00C36C8A">
          <w:rPr>
            <w:b w:val="0"/>
            <w:webHidden/>
          </w:rPr>
          <w:instrText xml:space="preserve"> PAGEREF _Toc34134596 \h </w:instrText>
        </w:r>
        <w:r w:rsidR="00337D09" w:rsidRPr="00C36C8A">
          <w:rPr>
            <w:b w:val="0"/>
            <w:webHidden/>
          </w:rPr>
        </w:r>
        <w:r w:rsidR="00337D09" w:rsidRPr="00C36C8A">
          <w:rPr>
            <w:b w:val="0"/>
            <w:webHidden/>
          </w:rPr>
          <w:fldChar w:fldCharType="separate"/>
        </w:r>
        <w:r w:rsidR="00337D09" w:rsidRPr="00C36C8A">
          <w:rPr>
            <w:b w:val="0"/>
            <w:webHidden/>
          </w:rPr>
          <w:t>32</w:t>
        </w:r>
        <w:r w:rsidR="00337D09" w:rsidRPr="00C36C8A">
          <w:rPr>
            <w:b w:val="0"/>
            <w:webHidden/>
          </w:rPr>
          <w:fldChar w:fldCharType="end"/>
        </w:r>
      </w:hyperlink>
    </w:p>
    <w:p w:rsidR="00605B46" w:rsidRPr="00605B46" w:rsidRDefault="00605B46" w:rsidP="00605B46">
      <w:pPr>
        <w:rPr>
          <w:rFonts w:eastAsiaTheme="minorEastAsia"/>
        </w:rPr>
      </w:pPr>
    </w:p>
    <w:p w:rsidR="004328DA" w:rsidRDefault="00824583" w:rsidP="00824583">
      <w:pPr>
        <w:rPr>
          <w:shd w:val="clear" w:color="auto" w:fill="FFFFFF"/>
        </w:rPr>
      </w:pPr>
      <w:r w:rsidRPr="00F141C5">
        <w:rPr>
          <w:shd w:val="clear" w:color="auto" w:fill="FFFFFF"/>
        </w:rPr>
        <w:fldChar w:fldCharType="end"/>
      </w:r>
    </w:p>
    <w:p w:rsidR="004328DA" w:rsidRDefault="004328DA">
      <w:pPr>
        <w:spacing w:after="160" w:line="259" w:lineRule="auto"/>
        <w:ind w:firstLine="0"/>
        <w:jc w:val="left"/>
        <w:rPr>
          <w:shd w:val="clear" w:color="auto" w:fill="FFFFFF"/>
        </w:rPr>
      </w:pPr>
      <w:r>
        <w:rPr>
          <w:shd w:val="clear" w:color="auto" w:fill="FFFFFF"/>
        </w:rPr>
        <w:lastRenderedPageBreak/>
        <w:br w:type="page"/>
      </w:r>
    </w:p>
    <w:p w:rsidR="009D2B51" w:rsidRDefault="009D2B51" w:rsidP="00824583">
      <w:pPr>
        <w:rPr>
          <w:shd w:val="clear" w:color="auto" w:fill="FFFFFF"/>
        </w:rPr>
      </w:pPr>
    </w:p>
    <w:p w:rsidR="00824583" w:rsidRPr="009D2B51" w:rsidRDefault="00824583" w:rsidP="00824583">
      <w:pPr>
        <w:rPr>
          <w:shd w:val="clear" w:color="auto" w:fill="FFFFFF"/>
        </w:rPr>
      </w:pPr>
    </w:p>
    <w:p w:rsidR="009D2B51" w:rsidRPr="009D2B51" w:rsidRDefault="009D2B51" w:rsidP="00EC06FA">
      <w:pPr>
        <w:pStyle w:val="Balk1"/>
        <w:rPr>
          <w:shd w:val="clear" w:color="auto" w:fill="FFFFFF"/>
        </w:rPr>
      </w:pPr>
      <w:bookmarkStart w:id="7" w:name="_Toc34134582"/>
      <w:r w:rsidRPr="009D2B51">
        <w:rPr>
          <w:shd w:val="clear" w:color="auto" w:fill="FFFFFF"/>
        </w:rPr>
        <w:t>TABLOLAR LİSTESİ</w:t>
      </w:r>
      <w:bookmarkEnd w:id="7"/>
    </w:p>
    <w:p w:rsidR="00824583" w:rsidRPr="00F141C5" w:rsidRDefault="00824583" w:rsidP="00824583">
      <w:pPr>
        <w:pStyle w:val="ekillerTablosu"/>
        <w:tabs>
          <w:tab w:val="right" w:leader="dot" w:pos="8494"/>
        </w:tabs>
        <w:rPr>
          <w:rFonts w:ascii="Times New Roman" w:eastAsiaTheme="minorEastAsia" w:hAnsi="Times New Roman"/>
          <w:i w:val="0"/>
          <w:iCs w:val="0"/>
          <w:noProof/>
          <w:color w:val="auto"/>
          <w:sz w:val="24"/>
          <w:szCs w:val="24"/>
        </w:rPr>
      </w:pPr>
      <w:r w:rsidRPr="00F141C5">
        <w:rPr>
          <w:rFonts w:ascii="Times New Roman" w:hAnsi="Times New Roman"/>
          <w:i w:val="0"/>
          <w:sz w:val="24"/>
          <w:szCs w:val="24"/>
          <w:shd w:val="clear" w:color="auto" w:fill="FFFFFF"/>
        </w:rPr>
        <w:fldChar w:fldCharType="begin"/>
      </w:r>
      <w:r w:rsidRPr="00F141C5">
        <w:rPr>
          <w:rFonts w:ascii="Times New Roman" w:hAnsi="Times New Roman"/>
          <w:i w:val="0"/>
          <w:sz w:val="24"/>
          <w:szCs w:val="24"/>
          <w:shd w:val="clear" w:color="auto" w:fill="FFFFFF"/>
        </w:rPr>
        <w:instrText xml:space="preserve"> TOC \h \z \c "Tablo" </w:instrText>
      </w:r>
      <w:r w:rsidRPr="00F141C5">
        <w:rPr>
          <w:rFonts w:ascii="Times New Roman" w:hAnsi="Times New Roman"/>
          <w:i w:val="0"/>
          <w:sz w:val="24"/>
          <w:szCs w:val="24"/>
          <w:shd w:val="clear" w:color="auto" w:fill="FFFFFF"/>
        </w:rPr>
        <w:fldChar w:fldCharType="separate"/>
      </w:r>
      <w:hyperlink w:anchor="_Toc30503444" w:history="1">
        <w:r w:rsidR="00BC55C0">
          <w:rPr>
            <w:rStyle w:val="Kpr"/>
            <w:rFonts w:ascii="Times New Roman" w:hAnsi="Times New Roman"/>
            <w:b/>
            <w:i w:val="0"/>
            <w:noProof/>
            <w:sz w:val="24"/>
            <w:szCs w:val="24"/>
          </w:rPr>
          <w:t>Tablo 1</w:t>
        </w:r>
        <w:r w:rsidR="00BC55C0">
          <w:rPr>
            <w:rStyle w:val="Kpr"/>
            <w:rFonts w:ascii="Times New Roman" w:hAnsi="Times New Roman"/>
            <w:i w:val="0"/>
            <w:noProof/>
            <w:sz w:val="24"/>
            <w:szCs w:val="24"/>
            <w:u w:val="none"/>
          </w:rPr>
          <w:t>:</w:t>
        </w:r>
        <w:r w:rsidRPr="00F141C5">
          <w:rPr>
            <w:rStyle w:val="Kpr"/>
            <w:rFonts w:ascii="Times New Roman" w:hAnsi="Times New Roman"/>
            <w:i w:val="0"/>
            <w:noProof/>
            <w:sz w:val="24"/>
            <w:szCs w:val="24"/>
          </w:rPr>
          <w:t xml:space="preserve"> </w:t>
        </w:r>
        <w:r w:rsidRPr="00F141C5">
          <w:rPr>
            <w:rStyle w:val="Kpr"/>
            <w:rFonts w:ascii="Times New Roman" w:hAnsi="Times New Roman"/>
            <w:i w:val="0"/>
            <w:noProof/>
            <w:sz w:val="24"/>
            <w:szCs w:val="24"/>
            <w:shd w:val="clear" w:color="auto" w:fill="FFFFFF"/>
          </w:rPr>
          <w:t xml:space="preserve"> Literatür Özeti</w:t>
        </w:r>
        <w:r w:rsidRPr="00F141C5">
          <w:rPr>
            <w:rFonts w:ascii="Times New Roman" w:hAnsi="Times New Roman"/>
            <w:i w:val="0"/>
            <w:noProof/>
            <w:webHidden/>
            <w:sz w:val="24"/>
            <w:szCs w:val="24"/>
          </w:rPr>
          <w:tab/>
        </w:r>
        <w:r w:rsidRPr="00F141C5">
          <w:rPr>
            <w:rFonts w:ascii="Times New Roman" w:hAnsi="Times New Roman"/>
            <w:i w:val="0"/>
            <w:noProof/>
            <w:webHidden/>
            <w:sz w:val="24"/>
            <w:szCs w:val="24"/>
          </w:rPr>
          <w:fldChar w:fldCharType="begin"/>
        </w:r>
        <w:r w:rsidRPr="00F141C5">
          <w:rPr>
            <w:rFonts w:ascii="Times New Roman" w:hAnsi="Times New Roman"/>
            <w:i w:val="0"/>
            <w:noProof/>
            <w:webHidden/>
            <w:sz w:val="24"/>
            <w:szCs w:val="24"/>
          </w:rPr>
          <w:instrText xml:space="preserve"> PAGEREF _Toc30503444 \h </w:instrText>
        </w:r>
        <w:r w:rsidRPr="00F141C5">
          <w:rPr>
            <w:rFonts w:ascii="Times New Roman" w:hAnsi="Times New Roman"/>
            <w:i w:val="0"/>
            <w:noProof/>
            <w:webHidden/>
            <w:sz w:val="24"/>
            <w:szCs w:val="24"/>
          </w:rPr>
        </w:r>
        <w:r w:rsidRPr="00F141C5">
          <w:rPr>
            <w:rFonts w:ascii="Times New Roman" w:hAnsi="Times New Roman"/>
            <w:i w:val="0"/>
            <w:noProof/>
            <w:webHidden/>
            <w:sz w:val="24"/>
            <w:szCs w:val="24"/>
          </w:rPr>
          <w:fldChar w:fldCharType="separate"/>
        </w:r>
        <w:r w:rsidR="00337D09">
          <w:rPr>
            <w:rFonts w:ascii="Times New Roman" w:hAnsi="Times New Roman"/>
            <w:i w:val="0"/>
            <w:noProof/>
            <w:webHidden/>
            <w:sz w:val="24"/>
            <w:szCs w:val="24"/>
          </w:rPr>
          <w:t>5</w:t>
        </w:r>
        <w:r w:rsidRPr="00F141C5">
          <w:rPr>
            <w:rFonts w:ascii="Times New Roman" w:hAnsi="Times New Roman"/>
            <w:i w:val="0"/>
            <w:noProof/>
            <w:webHidden/>
            <w:sz w:val="24"/>
            <w:szCs w:val="24"/>
          </w:rPr>
          <w:fldChar w:fldCharType="end"/>
        </w:r>
      </w:hyperlink>
    </w:p>
    <w:p w:rsidR="00824583" w:rsidRPr="00F141C5" w:rsidRDefault="009D61A3" w:rsidP="00824583">
      <w:pPr>
        <w:pStyle w:val="ekillerTablosu"/>
        <w:tabs>
          <w:tab w:val="right" w:leader="dot" w:pos="8494"/>
        </w:tabs>
        <w:rPr>
          <w:rFonts w:ascii="Times New Roman" w:eastAsiaTheme="minorEastAsia" w:hAnsi="Times New Roman"/>
          <w:i w:val="0"/>
          <w:iCs w:val="0"/>
          <w:noProof/>
          <w:color w:val="auto"/>
          <w:sz w:val="24"/>
          <w:szCs w:val="24"/>
        </w:rPr>
      </w:pPr>
      <w:hyperlink w:anchor="_Toc30503445" w:history="1">
        <w:r w:rsidR="00BC55C0">
          <w:rPr>
            <w:rStyle w:val="Kpr"/>
            <w:rFonts w:ascii="Times New Roman" w:hAnsi="Times New Roman"/>
            <w:b/>
            <w:i w:val="0"/>
            <w:noProof/>
            <w:sz w:val="24"/>
            <w:szCs w:val="24"/>
          </w:rPr>
          <w:t>Tablo 2</w:t>
        </w:r>
        <w:r w:rsidR="00BC55C0">
          <w:rPr>
            <w:rStyle w:val="Kpr"/>
            <w:rFonts w:ascii="Times New Roman" w:hAnsi="Times New Roman"/>
            <w:i w:val="0"/>
            <w:noProof/>
            <w:sz w:val="24"/>
            <w:szCs w:val="24"/>
            <w:u w:val="none"/>
          </w:rPr>
          <w:t>:</w:t>
        </w:r>
        <w:r w:rsidR="00824583" w:rsidRPr="00F141C5">
          <w:rPr>
            <w:rStyle w:val="Kpr"/>
            <w:rFonts w:ascii="Times New Roman" w:hAnsi="Times New Roman"/>
            <w:i w:val="0"/>
            <w:noProof/>
            <w:sz w:val="24"/>
            <w:szCs w:val="24"/>
          </w:rPr>
          <w:t xml:space="preserve"> </w:t>
        </w:r>
        <w:r w:rsidR="00824583" w:rsidRPr="00F141C5">
          <w:rPr>
            <w:rStyle w:val="Kpr"/>
            <w:rFonts w:ascii="Times New Roman" w:hAnsi="Times New Roman"/>
            <w:i w:val="0"/>
            <w:noProof/>
            <w:sz w:val="24"/>
            <w:szCs w:val="24"/>
            <w:shd w:val="clear" w:color="auto" w:fill="FFFFFF"/>
          </w:rPr>
          <w:t>Değişkenlere Ait Açıklayıcı Bilgiler</w:t>
        </w:r>
        <w:r w:rsidR="00824583" w:rsidRPr="00F141C5">
          <w:rPr>
            <w:rFonts w:ascii="Times New Roman" w:hAnsi="Times New Roman"/>
            <w:i w:val="0"/>
            <w:noProof/>
            <w:webHidden/>
            <w:sz w:val="24"/>
            <w:szCs w:val="24"/>
          </w:rPr>
          <w:tab/>
        </w:r>
        <w:r w:rsidR="00824583" w:rsidRPr="00F141C5">
          <w:rPr>
            <w:rFonts w:ascii="Times New Roman" w:hAnsi="Times New Roman"/>
            <w:i w:val="0"/>
            <w:noProof/>
            <w:webHidden/>
            <w:sz w:val="24"/>
            <w:szCs w:val="24"/>
          </w:rPr>
          <w:fldChar w:fldCharType="begin"/>
        </w:r>
        <w:r w:rsidR="00824583" w:rsidRPr="00F141C5">
          <w:rPr>
            <w:rFonts w:ascii="Times New Roman" w:hAnsi="Times New Roman"/>
            <w:i w:val="0"/>
            <w:noProof/>
            <w:webHidden/>
            <w:sz w:val="24"/>
            <w:szCs w:val="24"/>
          </w:rPr>
          <w:instrText xml:space="preserve"> PAGEREF _Toc30503445 \h </w:instrText>
        </w:r>
        <w:r w:rsidR="00824583" w:rsidRPr="00F141C5">
          <w:rPr>
            <w:rFonts w:ascii="Times New Roman" w:hAnsi="Times New Roman"/>
            <w:i w:val="0"/>
            <w:noProof/>
            <w:webHidden/>
            <w:sz w:val="24"/>
            <w:szCs w:val="24"/>
          </w:rPr>
        </w:r>
        <w:r w:rsidR="00824583" w:rsidRPr="00F141C5">
          <w:rPr>
            <w:rFonts w:ascii="Times New Roman" w:hAnsi="Times New Roman"/>
            <w:i w:val="0"/>
            <w:noProof/>
            <w:webHidden/>
            <w:sz w:val="24"/>
            <w:szCs w:val="24"/>
          </w:rPr>
          <w:fldChar w:fldCharType="separate"/>
        </w:r>
        <w:r w:rsidR="00337D09">
          <w:rPr>
            <w:rFonts w:ascii="Times New Roman" w:hAnsi="Times New Roman"/>
            <w:i w:val="0"/>
            <w:noProof/>
            <w:webHidden/>
            <w:sz w:val="24"/>
            <w:szCs w:val="24"/>
          </w:rPr>
          <w:t>16</w:t>
        </w:r>
        <w:r w:rsidR="00824583" w:rsidRPr="00F141C5">
          <w:rPr>
            <w:rFonts w:ascii="Times New Roman" w:hAnsi="Times New Roman"/>
            <w:i w:val="0"/>
            <w:noProof/>
            <w:webHidden/>
            <w:sz w:val="24"/>
            <w:szCs w:val="24"/>
          </w:rPr>
          <w:fldChar w:fldCharType="end"/>
        </w:r>
      </w:hyperlink>
    </w:p>
    <w:p w:rsidR="00824583" w:rsidRPr="00F141C5" w:rsidRDefault="009D61A3" w:rsidP="00824583">
      <w:pPr>
        <w:pStyle w:val="ekillerTablosu"/>
        <w:tabs>
          <w:tab w:val="right" w:leader="dot" w:pos="8494"/>
        </w:tabs>
        <w:rPr>
          <w:rFonts w:ascii="Times New Roman" w:eastAsiaTheme="minorEastAsia" w:hAnsi="Times New Roman"/>
          <w:i w:val="0"/>
          <w:iCs w:val="0"/>
          <w:noProof/>
          <w:color w:val="auto"/>
          <w:sz w:val="24"/>
          <w:szCs w:val="24"/>
        </w:rPr>
      </w:pPr>
      <w:hyperlink w:anchor="_Toc30503446" w:history="1">
        <w:r w:rsidR="00BC55C0">
          <w:rPr>
            <w:rStyle w:val="Kpr"/>
            <w:rFonts w:ascii="Times New Roman" w:hAnsi="Times New Roman"/>
            <w:b/>
            <w:i w:val="0"/>
            <w:noProof/>
            <w:sz w:val="24"/>
            <w:szCs w:val="24"/>
          </w:rPr>
          <w:t>Tablo 3</w:t>
        </w:r>
        <w:r w:rsidR="00BC55C0">
          <w:rPr>
            <w:rStyle w:val="Kpr"/>
            <w:rFonts w:ascii="Times New Roman" w:hAnsi="Times New Roman"/>
            <w:i w:val="0"/>
            <w:noProof/>
            <w:sz w:val="24"/>
            <w:szCs w:val="24"/>
            <w:u w:val="none"/>
          </w:rPr>
          <w:t>:</w:t>
        </w:r>
        <w:r w:rsidR="00824583" w:rsidRPr="00F141C5">
          <w:rPr>
            <w:rStyle w:val="Kpr"/>
            <w:rFonts w:ascii="Times New Roman" w:hAnsi="Times New Roman"/>
            <w:i w:val="0"/>
            <w:noProof/>
            <w:sz w:val="24"/>
            <w:szCs w:val="24"/>
          </w:rPr>
          <w:t xml:space="preserve"> </w:t>
        </w:r>
        <w:r w:rsidR="00824583" w:rsidRPr="00F141C5">
          <w:rPr>
            <w:rStyle w:val="Kpr"/>
            <w:rFonts w:ascii="Times New Roman" w:hAnsi="Times New Roman"/>
            <w:i w:val="0"/>
            <w:noProof/>
            <w:sz w:val="24"/>
            <w:szCs w:val="24"/>
            <w:shd w:val="clear" w:color="auto" w:fill="FFFFFF"/>
          </w:rPr>
          <w:t>Model Tahmin Sonuçları</w:t>
        </w:r>
        <w:r w:rsidR="00824583" w:rsidRPr="00F141C5">
          <w:rPr>
            <w:rFonts w:ascii="Times New Roman" w:hAnsi="Times New Roman"/>
            <w:i w:val="0"/>
            <w:noProof/>
            <w:webHidden/>
            <w:sz w:val="24"/>
            <w:szCs w:val="24"/>
          </w:rPr>
          <w:tab/>
        </w:r>
        <w:r w:rsidR="00824583" w:rsidRPr="00F141C5">
          <w:rPr>
            <w:rFonts w:ascii="Times New Roman" w:hAnsi="Times New Roman"/>
            <w:i w:val="0"/>
            <w:noProof/>
            <w:webHidden/>
            <w:sz w:val="24"/>
            <w:szCs w:val="24"/>
          </w:rPr>
          <w:fldChar w:fldCharType="begin"/>
        </w:r>
        <w:r w:rsidR="00824583" w:rsidRPr="00F141C5">
          <w:rPr>
            <w:rFonts w:ascii="Times New Roman" w:hAnsi="Times New Roman"/>
            <w:i w:val="0"/>
            <w:noProof/>
            <w:webHidden/>
            <w:sz w:val="24"/>
            <w:szCs w:val="24"/>
          </w:rPr>
          <w:instrText xml:space="preserve"> PAGEREF _Toc30503446 \h </w:instrText>
        </w:r>
        <w:r w:rsidR="00824583" w:rsidRPr="00F141C5">
          <w:rPr>
            <w:rFonts w:ascii="Times New Roman" w:hAnsi="Times New Roman"/>
            <w:i w:val="0"/>
            <w:noProof/>
            <w:webHidden/>
            <w:sz w:val="24"/>
            <w:szCs w:val="24"/>
          </w:rPr>
        </w:r>
        <w:r w:rsidR="00824583" w:rsidRPr="00F141C5">
          <w:rPr>
            <w:rFonts w:ascii="Times New Roman" w:hAnsi="Times New Roman"/>
            <w:i w:val="0"/>
            <w:noProof/>
            <w:webHidden/>
            <w:sz w:val="24"/>
            <w:szCs w:val="24"/>
          </w:rPr>
          <w:fldChar w:fldCharType="separate"/>
        </w:r>
        <w:r w:rsidR="00337D09">
          <w:rPr>
            <w:rFonts w:ascii="Times New Roman" w:hAnsi="Times New Roman"/>
            <w:i w:val="0"/>
            <w:noProof/>
            <w:webHidden/>
            <w:sz w:val="24"/>
            <w:szCs w:val="24"/>
          </w:rPr>
          <w:t>18</w:t>
        </w:r>
        <w:r w:rsidR="00824583" w:rsidRPr="00F141C5">
          <w:rPr>
            <w:rFonts w:ascii="Times New Roman" w:hAnsi="Times New Roman"/>
            <w:i w:val="0"/>
            <w:noProof/>
            <w:webHidden/>
            <w:sz w:val="24"/>
            <w:szCs w:val="24"/>
          </w:rPr>
          <w:fldChar w:fldCharType="end"/>
        </w:r>
      </w:hyperlink>
    </w:p>
    <w:p w:rsidR="00824583" w:rsidRPr="00F141C5" w:rsidRDefault="009D61A3" w:rsidP="00824583">
      <w:pPr>
        <w:pStyle w:val="ekillerTablosu"/>
        <w:tabs>
          <w:tab w:val="right" w:leader="dot" w:pos="8494"/>
        </w:tabs>
        <w:rPr>
          <w:rFonts w:ascii="Times New Roman" w:eastAsiaTheme="minorEastAsia" w:hAnsi="Times New Roman"/>
          <w:i w:val="0"/>
          <w:iCs w:val="0"/>
          <w:noProof/>
          <w:color w:val="auto"/>
          <w:sz w:val="24"/>
          <w:szCs w:val="24"/>
        </w:rPr>
      </w:pPr>
      <w:hyperlink w:anchor="_Toc30503447" w:history="1">
        <w:r w:rsidR="00824583" w:rsidRPr="00BC55C0">
          <w:rPr>
            <w:rStyle w:val="Kpr"/>
            <w:rFonts w:ascii="Times New Roman" w:hAnsi="Times New Roman"/>
            <w:b/>
            <w:i w:val="0"/>
            <w:noProof/>
            <w:sz w:val="24"/>
            <w:szCs w:val="24"/>
          </w:rPr>
          <w:t>Tablo</w:t>
        </w:r>
        <w:r w:rsidR="00824583" w:rsidRPr="00F141C5">
          <w:rPr>
            <w:rStyle w:val="Kpr"/>
            <w:rFonts w:ascii="Times New Roman" w:hAnsi="Times New Roman"/>
            <w:i w:val="0"/>
            <w:noProof/>
            <w:sz w:val="24"/>
            <w:szCs w:val="24"/>
          </w:rPr>
          <w:t xml:space="preserve"> </w:t>
        </w:r>
        <w:r w:rsidR="00BC55C0">
          <w:rPr>
            <w:rStyle w:val="Kpr"/>
            <w:rFonts w:ascii="Times New Roman" w:hAnsi="Times New Roman"/>
            <w:b/>
            <w:i w:val="0"/>
            <w:noProof/>
            <w:sz w:val="24"/>
            <w:szCs w:val="24"/>
          </w:rPr>
          <w:t>4</w:t>
        </w:r>
        <w:r w:rsidR="00BC55C0">
          <w:rPr>
            <w:rStyle w:val="Kpr"/>
            <w:rFonts w:ascii="Times New Roman" w:hAnsi="Times New Roman"/>
            <w:i w:val="0"/>
            <w:noProof/>
            <w:sz w:val="24"/>
            <w:szCs w:val="24"/>
            <w:u w:val="none"/>
          </w:rPr>
          <w:t>:</w:t>
        </w:r>
        <w:r w:rsidR="00824583" w:rsidRPr="00F141C5">
          <w:rPr>
            <w:rStyle w:val="Kpr"/>
            <w:rFonts w:ascii="Times New Roman" w:hAnsi="Times New Roman"/>
            <w:i w:val="0"/>
            <w:noProof/>
            <w:sz w:val="24"/>
            <w:szCs w:val="24"/>
          </w:rPr>
          <w:t xml:space="preserve"> </w:t>
        </w:r>
        <w:r w:rsidR="00824583" w:rsidRPr="00F141C5">
          <w:rPr>
            <w:rStyle w:val="Kpr"/>
            <w:rFonts w:ascii="Times New Roman" w:hAnsi="Times New Roman"/>
            <w:i w:val="0"/>
            <w:noProof/>
            <w:sz w:val="24"/>
            <w:szCs w:val="24"/>
            <w:shd w:val="clear" w:color="auto" w:fill="FFFFFF"/>
          </w:rPr>
          <w:t>Marjinal Etkiler</w:t>
        </w:r>
        <w:r w:rsidR="00824583" w:rsidRPr="00F141C5">
          <w:rPr>
            <w:rFonts w:ascii="Times New Roman" w:hAnsi="Times New Roman"/>
            <w:i w:val="0"/>
            <w:noProof/>
            <w:webHidden/>
            <w:sz w:val="24"/>
            <w:szCs w:val="24"/>
          </w:rPr>
          <w:tab/>
        </w:r>
        <w:r w:rsidR="00824583" w:rsidRPr="00F141C5">
          <w:rPr>
            <w:rFonts w:ascii="Times New Roman" w:hAnsi="Times New Roman"/>
            <w:i w:val="0"/>
            <w:noProof/>
            <w:webHidden/>
            <w:sz w:val="24"/>
            <w:szCs w:val="24"/>
          </w:rPr>
          <w:fldChar w:fldCharType="begin"/>
        </w:r>
        <w:r w:rsidR="00824583" w:rsidRPr="00F141C5">
          <w:rPr>
            <w:rFonts w:ascii="Times New Roman" w:hAnsi="Times New Roman"/>
            <w:i w:val="0"/>
            <w:noProof/>
            <w:webHidden/>
            <w:sz w:val="24"/>
            <w:szCs w:val="24"/>
          </w:rPr>
          <w:instrText xml:space="preserve"> PAGEREF _Toc30503447 \h </w:instrText>
        </w:r>
        <w:r w:rsidR="00824583" w:rsidRPr="00F141C5">
          <w:rPr>
            <w:rFonts w:ascii="Times New Roman" w:hAnsi="Times New Roman"/>
            <w:i w:val="0"/>
            <w:noProof/>
            <w:webHidden/>
            <w:sz w:val="24"/>
            <w:szCs w:val="24"/>
          </w:rPr>
        </w:r>
        <w:r w:rsidR="00824583" w:rsidRPr="00F141C5">
          <w:rPr>
            <w:rFonts w:ascii="Times New Roman" w:hAnsi="Times New Roman"/>
            <w:i w:val="0"/>
            <w:noProof/>
            <w:webHidden/>
            <w:sz w:val="24"/>
            <w:szCs w:val="24"/>
          </w:rPr>
          <w:fldChar w:fldCharType="separate"/>
        </w:r>
        <w:r w:rsidR="00337D09">
          <w:rPr>
            <w:rFonts w:ascii="Times New Roman" w:hAnsi="Times New Roman"/>
            <w:i w:val="0"/>
            <w:noProof/>
            <w:webHidden/>
            <w:sz w:val="24"/>
            <w:szCs w:val="24"/>
          </w:rPr>
          <w:t>20</w:t>
        </w:r>
        <w:r w:rsidR="00824583" w:rsidRPr="00F141C5">
          <w:rPr>
            <w:rFonts w:ascii="Times New Roman" w:hAnsi="Times New Roman"/>
            <w:i w:val="0"/>
            <w:noProof/>
            <w:webHidden/>
            <w:sz w:val="24"/>
            <w:szCs w:val="24"/>
          </w:rPr>
          <w:fldChar w:fldCharType="end"/>
        </w:r>
      </w:hyperlink>
    </w:p>
    <w:p w:rsidR="009D2B51" w:rsidRPr="009D2B51" w:rsidRDefault="00824583" w:rsidP="00824583">
      <w:pPr>
        <w:ind w:firstLine="0"/>
        <w:rPr>
          <w:shd w:val="clear" w:color="auto" w:fill="FFFFFF"/>
        </w:rPr>
      </w:pPr>
      <w:r w:rsidRPr="00F141C5">
        <w:rPr>
          <w:shd w:val="clear" w:color="auto" w:fill="FFFFFF"/>
        </w:rPr>
        <w:fldChar w:fldCharType="end"/>
      </w:r>
    </w:p>
    <w:p w:rsidR="004328DA" w:rsidRDefault="004328DA">
      <w:pPr>
        <w:spacing w:after="160" w:line="259" w:lineRule="auto"/>
        <w:ind w:firstLine="0"/>
        <w:jc w:val="left"/>
        <w:rPr>
          <w:shd w:val="clear" w:color="auto" w:fill="FFFFFF"/>
        </w:rPr>
      </w:pPr>
      <w:r>
        <w:rPr>
          <w:shd w:val="clear" w:color="auto" w:fill="FFFFFF"/>
        </w:rPr>
        <w:br w:type="page"/>
      </w:r>
    </w:p>
    <w:p w:rsidR="00824583" w:rsidRDefault="00824583" w:rsidP="00824583">
      <w:pPr>
        <w:rPr>
          <w:shd w:val="clear" w:color="auto" w:fill="FFFFFF"/>
        </w:rPr>
      </w:pPr>
    </w:p>
    <w:p w:rsidR="004328DA" w:rsidRPr="009D2B51" w:rsidRDefault="004328DA" w:rsidP="00824583">
      <w:pPr>
        <w:rPr>
          <w:shd w:val="clear" w:color="auto" w:fill="FFFFFF"/>
        </w:rPr>
      </w:pPr>
    </w:p>
    <w:p w:rsidR="009D2B51" w:rsidRPr="009D2B51" w:rsidRDefault="009D2B51" w:rsidP="00EC06FA">
      <w:pPr>
        <w:pStyle w:val="Balk1"/>
        <w:rPr>
          <w:shd w:val="clear" w:color="auto" w:fill="FFFFFF"/>
        </w:rPr>
      </w:pPr>
      <w:bookmarkStart w:id="8" w:name="_Toc34134583"/>
      <w:r w:rsidRPr="009D2B51">
        <w:rPr>
          <w:shd w:val="clear" w:color="auto" w:fill="FFFFFF"/>
        </w:rPr>
        <w:t>KISALTMALAR LİSTESİ</w:t>
      </w:r>
      <w:bookmarkEnd w:id="8"/>
    </w:p>
    <w:p w:rsidR="00EC06FA" w:rsidRPr="009D2B51" w:rsidRDefault="00EC06FA" w:rsidP="00EC06FA">
      <w:pPr>
        <w:ind w:firstLine="0"/>
        <w:rPr>
          <w:shd w:val="clear" w:color="auto" w:fill="FFFFFF"/>
        </w:rPr>
      </w:pPr>
      <w:r w:rsidRPr="00454F82">
        <w:rPr>
          <w:b/>
          <w:shd w:val="clear" w:color="auto" w:fill="FFFFFF"/>
        </w:rPr>
        <w:t>COICOP</w:t>
      </w:r>
      <w:r w:rsidRPr="00454F82">
        <w:rPr>
          <w:b/>
          <w:shd w:val="clear" w:color="auto" w:fill="FFFFFF"/>
        </w:rPr>
        <w:tab/>
        <w:t>:</w:t>
      </w:r>
      <w:r w:rsidRPr="009D2B51">
        <w:rPr>
          <w:shd w:val="clear" w:color="auto" w:fill="FFFFFF"/>
        </w:rPr>
        <w:t xml:space="preserve"> </w:t>
      </w:r>
      <w:r w:rsidR="00454F82" w:rsidRPr="00454F82">
        <w:rPr>
          <w:shd w:val="clear" w:color="auto" w:fill="FFFFFF"/>
        </w:rPr>
        <w:t>Bireysel Tüketimin Amaca Göre Sınıflandırılması</w:t>
      </w:r>
    </w:p>
    <w:p w:rsidR="00EC06FA" w:rsidRPr="009D2B51" w:rsidRDefault="00EC06FA" w:rsidP="00EC06FA">
      <w:pPr>
        <w:ind w:firstLine="0"/>
        <w:rPr>
          <w:shd w:val="clear" w:color="auto" w:fill="FFFFFF"/>
        </w:rPr>
      </w:pPr>
      <w:r w:rsidRPr="00454F82">
        <w:rPr>
          <w:b/>
          <w:shd w:val="clear" w:color="auto" w:fill="FFFFFF"/>
        </w:rPr>
        <w:t>HHB</w:t>
      </w:r>
      <w:r w:rsidRPr="00454F82">
        <w:rPr>
          <w:b/>
          <w:shd w:val="clear" w:color="auto" w:fill="FFFFFF"/>
        </w:rPr>
        <w:tab/>
      </w:r>
      <w:r w:rsidRPr="00454F82">
        <w:rPr>
          <w:b/>
          <w:shd w:val="clear" w:color="auto" w:fill="FFFFFF"/>
        </w:rPr>
        <w:tab/>
        <w:t>:</w:t>
      </w:r>
      <w:r w:rsidRPr="009D2B51">
        <w:rPr>
          <w:shd w:val="clear" w:color="auto" w:fill="FFFFFF"/>
        </w:rPr>
        <w:t xml:space="preserve"> Hanehalkı Büyüklüğü </w:t>
      </w:r>
    </w:p>
    <w:p w:rsidR="00EC06FA" w:rsidRPr="009D2B51" w:rsidRDefault="00EC06FA" w:rsidP="00EC06FA">
      <w:pPr>
        <w:ind w:firstLine="0"/>
        <w:rPr>
          <w:shd w:val="clear" w:color="auto" w:fill="FFFFFF"/>
        </w:rPr>
      </w:pPr>
      <w:r w:rsidRPr="00454F82">
        <w:rPr>
          <w:b/>
          <w:shd w:val="clear" w:color="auto" w:fill="FFFFFF"/>
        </w:rPr>
        <w:t>TAPDK          :</w:t>
      </w:r>
      <w:r w:rsidRPr="009D2B51">
        <w:rPr>
          <w:shd w:val="clear" w:color="auto" w:fill="FFFFFF"/>
        </w:rPr>
        <w:t xml:space="preserve"> Tütün ve Alkol Piyasası Düzenleme Kurumu </w:t>
      </w:r>
    </w:p>
    <w:p w:rsidR="00EC06FA" w:rsidRPr="009D2B51" w:rsidRDefault="00EC06FA" w:rsidP="00EC06FA">
      <w:pPr>
        <w:ind w:firstLine="0"/>
        <w:rPr>
          <w:shd w:val="clear" w:color="auto" w:fill="FFFFFF"/>
        </w:rPr>
      </w:pPr>
      <w:r w:rsidRPr="00454F82">
        <w:rPr>
          <w:b/>
          <w:shd w:val="clear" w:color="auto" w:fill="FFFFFF"/>
        </w:rPr>
        <w:t>TKÇS</w:t>
      </w:r>
      <w:r w:rsidRPr="009D2B51">
        <w:rPr>
          <w:shd w:val="clear" w:color="auto" w:fill="FFFFFF"/>
        </w:rPr>
        <w:t xml:space="preserve"> </w:t>
      </w:r>
      <w:r w:rsidRPr="009D2B51">
        <w:rPr>
          <w:shd w:val="clear" w:color="auto" w:fill="FFFFFF"/>
        </w:rPr>
        <w:tab/>
      </w:r>
      <w:r w:rsidRPr="00454F82">
        <w:rPr>
          <w:b/>
          <w:shd w:val="clear" w:color="auto" w:fill="FFFFFF"/>
        </w:rPr>
        <w:t>:</w:t>
      </w:r>
      <w:r w:rsidRPr="009D2B51">
        <w:rPr>
          <w:shd w:val="clear" w:color="auto" w:fill="FFFFFF"/>
        </w:rPr>
        <w:t xml:space="preserve"> Tütün Kontrolü Çerçeve Sözleşmesi</w:t>
      </w:r>
    </w:p>
    <w:p w:rsidR="00EC06FA" w:rsidRPr="009D2B51" w:rsidRDefault="00EC06FA" w:rsidP="00EC06FA">
      <w:pPr>
        <w:ind w:firstLine="0"/>
        <w:rPr>
          <w:shd w:val="clear" w:color="auto" w:fill="FFFFFF"/>
        </w:rPr>
      </w:pPr>
      <w:r w:rsidRPr="00454F82">
        <w:rPr>
          <w:b/>
          <w:shd w:val="clear" w:color="auto" w:fill="FFFFFF"/>
        </w:rPr>
        <w:t xml:space="preserve">TÜİK </w:t>
      </w:r>
      <w:r w:rsidR="00454F82">
        <w:rPr>
          <w:shd w:val="clear" w:color="auto" w:fill="FFFFFF"/>
        </w:rPr>
        <w:t xml:space="preserve">             </w:t>
      </w:r>
      <w:r w:rsidRPr="00454F82">
        <w:rPr>
          <w:b/>
          <w:shd w:val="clear" w:color="auto" w:fill="FFFFFF"/>
        </w:rPr>
        <w:t xml:space="preserve">: </w:t>
      </w:r>
      <w:r w:rsidRPr="009D2B51">
        <w:rPr>
          <w:shd w:val="clear" w:color="auto" w:fill="FFFFFF"/>
        </w:rPr>
        <w:t>Türkiye İstatistik Kurumu</w:t>
      </w:r>
    </w:p>
    <w:p w:rsidR="00EC06FA" w:rsidRPr="009D2B51" w:rsidRDefault="00EC06FA" w:rsidP="00EC06FA">
      <w:pPr>
        <w:ind w:firstLine="0"/>
        <w:rPr>
          <w:shd w:val="clear" w:color="auto" w:fill="FFFFFF"/>
        </w:rPr>
      </w:pPr>
      <w:r w:rsidRPr="00454F82">
        <w:rPr>
          <w:b/>
          <w:shd w:val="clear" w:color="auto" w:fill="FFFFFF"/>
        </w:rPr>
        <w:t>WHO</w:t>
      </w:r>
      <w:r w:rsidRPr="009D2B51">
        <w:rPr>
          <w:shd w:val="clear" w:color="auto" w:fill="FFFFFF"/>
        </w:rPr>
        <w:t xml:space="preserve">              </w:t>
      </w:r>
      <w:r w:rsidRPr="00454F82">
        <w:rPr>
          <w:b/>
          <w:shd w:val="clear" w:color="auto" w:fill="FFFFFF"/>
        </w:rPr>
        <w:t xml:space="preserve">: </w:t>
      </w:r>
      <w:r w:rsidR="00454F82">
        <w:rPr>
          <w:shd w:val="clear" w:color="auto" w:fill="FFFFFF"/>
        </w:rPr>
        <w:t>Dünya Sağlık Örgütü</w:t>
      </w:r>
    </w:p>
    <w:p w:rsidR="009D2B51" w:rsidRPr="009D2B51" w:rsidRDefault="009D2B51" w:rsidP="00EC06FA">
      <w:pPr>
        <w:rPr>
          <w:shd w:val="clear" w:color="auto" w:fill="FFFFFF"/>
        </w:rPr>
      </w:pPr>
    </w:p>
    <w:p w:rsidR="009D2B51" w:rsidRPr="009D2B51" w:rsidRDefault="009D2B51" w:rsidP="00EC06FA">
      <w:pPr>
        <w:rPr>
          <w:shd w:val="clear" w:color="auto" w:fill="FFFFFF"/>
        </w:rPr>
      </w:pPr>
    </w:p>
    <w:p w:rsidR="00824583" w:rsidRDefault="00824583" w:rsidP="00EC06FA">
      <w:pPr>
        <w:rPr>
          <w:shd w:val="clear" w:color="auto" w:fill="FFFFFF"/>
        </w:rPr>
        <w:sectPr w:rsidR="00824583" w:rsidSect="00993E80">
          <w:pgSz w:w="11906" w:h="16838"/>
          <w:pgMar w:top="1701" w:right="1134" w:bottom="1701" w:left="2268" w:header="709" w:footer="709" w:gutter="0"/>
          <w:pgNumType w:fmt="upperRoman" w:start="5"/>
          <w:cols w:space="708"/>
          <w:titlePg/>
          <w:docGrid w:linePitch="360"/>
        </w:sectPr>
      </w:pPr>
    </w:p>
    <w:p w:rsidR="00F141C5" w:rsidRDefault="00F141C5" w:rsidP="000E3E30">
      <w:pPr>
        <w:pStyle w:val="Balk1"/>
        <w:jc w:val="left"/>
        <w:rPr>
          <w:shd w:val="clear" w:color="auto" w:fill="FFFFFF"/>
        </w:rPr>
      </w:pPr>
    </w:p>
    <w:p w:rsidR="009D2B51" w:rsidRPr="009D2B51" w:rsidRDefault="009D2B51" w:rsidP="00381184">
      <w:pPr>
        <w:pStyle w:val="Balk1"/>
        <w:rPr>
          <w:shd w:val="clear" w:color="auto" w:fill="FFFFFF"/>
        </w:rPr>
      </w:pPr>
      <w:bookmarkStart w:id="9" w:name="_Toc34134584"/>
      <w:r w:rsidRPr="009D2B51">
        <w:rPr>
          <w:shd w:val="clear" w:color="auto" w:fill="FFFFFF"/>
        </w:rPr>
        <w:t>GİRİŞ</w:t>
      </w:r>
      <w:bookmarkEnd w:id="9"/>
    </w:p>
    <w:p w:rsidR="009D2B51" w:rsidRPr="009D2B51" w:rsidRDefault="009D2B51" w:rsidP="00EC06FA">
      <w:pPr>
        <w:rPr>
          <w:shd w:val="clear" w:color="auto" w:fill="FFFFFF"/>
        </w:rPr>
      </w:pPr>
      <w:r w:rsidRPr="009D2B51">
        <w:rPr>
          <w:shd w:val="clear" w:color="auto" w:fill="FFFFFF"/>
        </w:rPr>
        <w:t xml:space="preserve">Sigara tüketimi gerek sağlığa verdiği zararlar gerekse de sağlık giderlerinin ülke ekonomisine yüklediği maliyetler açısından ülkemizde ve dünyada halen en ciddi sorunların başında gelmektedir. Bu bağlamda politika yapıcılar sigara tüketiminin ülke ekonomisine ve sağlık harcamalarına yüklediği maliyeti </w:t>
      </w:r>
      <w:r w:rsidR="00FA5ACB">
        <w:rPr>
          <w:shd w:val="clear" w:color="auto" w:fill="FFFFFF"/>
        </w:rPr>
        <w:t>azaltabilmek adına</w:t>
      </w:r>
      <w:r w:rsidRPr="009D2B51">
        <w:rPr>
          <w:shd w:val="clear" w:color="auto" w:fill="FFFFFF"/>
        </w:rPr>
        <w:t xml:space="preserve"> yasal yollara başvurmaktadır.</w:t>
      </w:r>
    </w:p>
    <w:p w:rsidR="009D2B51" w:rsidRPr="009D2B51" w:rsidRDefault="009D2B51" w:rsidP="00EC06FA">
      <w:pPr>
        <w:rPr>
          <w:shd w:val="clear" w:color="auto" w:fill="FFFFFF"/>
        </w:rPr>
      </w:pPr>
      <w:r w:rsidRPr="009D2B51">
        <w:rPr>
          <w:shd w:val="clear" w:color="auto" w:fill="FFFFFF"/>
        </w:rPr>
        <w:t>Sigara tüketimini azaltmak için Türkiye’de yapılan ilk yasal düzenleme olarak 1996 tarihli Tütün Ürünlerinin Önlenmesi ve Kontrolü Hakkında 4207 Sayılı Kanun yürürlüğe konulmuştur. Sigara tüketimini teşvik edici tüm reklam, promosyon, sponsorluk ve kampanyaların bu kanun yardımı ile önlenmesi amaçlanmıştır. Ayrıca, toplumu bilinçlendirme, sigara tüketimini azaltma ve yasadışı sigara ticaretinin önlenmesi gibi birtakım görevleri yerine getirmesi için 2002 yılında 4733 sayılı Kanun ile Tütün ve Alkol Piyasası Düzenleme Kurumu (TAPDK) kurulmuştur.</w:t>
      </w:r>
    </w:p>
    <w:p w:rsidR="009D2B51" w:rsidRPr="009D2B51" w:rsidRDefault="008362E1" w:rsidP="00EC06FA">
      <w:pPr>
        <w:rPr>
          <w:shd w:val="clear" w:color="auto" w:fill="FFFFFF"/>
        </w:rPr>
      </w:pPr>
      <w:r>
        <w:rPr>
          <w:shd w:val="clear" w:color="auto" w:fill="FFFFFF"/>
        </w:rPr>
        <w:t xml:space="preserve">Dünya </w:t>
      </w:r>
      <w:r w:rsidR="009D2B51" w:rsidRPr="009D2B51">
        <w:rPr>
          <w:shd w:val="clear" w:color="auto" w:fill="FFFFFF"/>
        </w:rPr>
        <w:t>da sigara tüketiminin giderek artış göstermesi ile WHO (World Health Organization), dünya çapında çok uluslu sigara firmaları ile mücadele etmek, sigara tüketiminden kaynaklı yaşanan sağlık tehdidi ile baş edebilmek ve sigara tüketmemekle birlikte pasif içicilikten zarar görenleri koruma altına almak için Tütün Kontrolü Çerçeve Sözleşmesi’ni (TKÇS) düzenleyerek tüm üye ülkelerin imzasına sunmuştur. 21 Mayıs 2003 tarihinde, sigara firmalarının gelişmekte olan ülkelerde pazar arayışı girişiminde bulunmasına karşı ve dünya çapında sigara tüketiminin kontrol altına alınmasına yönelik ilk uluslararası anlaşma olan TKÇS Cenevre’de üye ülkelerce imzalanmış ve kabul edilmiştir. TAPDK 2005 yılında TKÇS ile ilgili yükümlülüklerini yerine getirebilmek için bir yönetmelik yayımlamıştır (Karaöz ve Albeni, 2010).</w:t>
      </w:r>
    </w:p>
    <w:p w:rsidR="009D2B51" w:rsidRPr="009D2B51" w:rsidRDefault="009D2B51" w:rsidP="00EC06FA">
      <w:pPr>
        <w:rPr>
          <w:shd w:val="clear" w:color="auto" w:fill="FFFFFF"/>
        </w:rPr>
      </w:pPr>
      <w:r w:rsidRPr="009D2B51">
        <w:rPr>
          <w:shd w:val="clear" w:color="auto" w:fill="FFFFFF"/>
        </w:rPr>
        <w:t xml:space="preserve">Türkiye’de sigara tüketimi ile ilgili yapılan en kapsamlı kanunlardan biri sayılan 5727 Sayılı Tütün Ürünlerinin Zararlarının Önlenmesi ve Kontrolü Hakkında Kanun 2008 yılında uygulanmaya başlanmıştır. Bu kanun 2009 yılında 4207 Sayılı Tütün Maddelerinin Zararlarının Önlenmesine Dair Kanun ile genişletilerek tütün mamulleri; kamu hizmetinin verildiği kapalı alanların tümünde, koridorları ve iç kısımları da dahil olmakla birlikte her türlü sağlık, eğitim, spor vb. özel hukuk kişilerine ait binaların kapalı alanlarında ve bireye ait özel konut hariç olmak üzere birden fazla kişinin </w:t>
      </w:r>
      <w:r w:rsidRPr="009D2B51">
        <w:rPr>
          <w:shd w:val="clear" w:color="auto" w:fill="FFFFFF"/>
        </w:rPr>
        <w:lastRenderedPageBreak/>
        <w:t>girebileceği binaların kapalı alanlarında sigara tüketimi yasaklanmıştır (Tütün Ürün</w:t>
      </w:r>
      <w:r w:rsidR="00FA5ACB">
        <w:rPr>
          <w:shd w:val="clear" w:color="auto" w:fill="FFFFFF"/>
        </w:rPr>
        <w:t>lerinin Zararlarının Önlenmesi v</w:t>
      </w:r>
      <w:r w:rsidRPr="009D2B51">
        <w:rPr>
          <w:shd w:val="clear" w:color="auto" w:fill="FFFFFF"/>
        </w:rPr>
        <w:t xml:space="preserve">e Kontrolü Hakkında Kanun, 2008).  </w:t>
      </w:r>
    </w:p>
    <w:p w:rsidR="009D2B51" w:rsidRPr="009D2B51" w:rsidRDefault="009D2B51" w:rsidP="00EC06FA">
      <w:pPr>
        <w:rPr>
          <w:shd w:val="clear" w:color="auto" w:fill="FFFFFF"/>
        </w:rPr>
      </w:pPr>
      <w:r w:rsidRPr="009D2B51">
        <w:rPr>
          <w:shd w:val="clear" w:color="auto" w:fill="FFFFFF"/>
        </w:rPr>
        <w:t>Türkiye dünya çapında sigara tüketimi ile mücadele veren WHO’nun TKÇS taahhütlerine uymak için 2019 yılında yeni bir yönetmelik çıkarmıştır. Yapılan tüm bu yasal düzenlemeler ile Türkiye sigara tüketimi ile mücadelede Brezilya’nın başkenti Rio de Janeiro’da kamuoyuna sunulan Küresel Tütün Raporu’nda WHO’nun önerilerini tam olarak uygulayan birinci ülke seçilmiştir. Ancak son on yıl göz önüne alındığında tüm bu yapılan uygulamalara karşın Türkiye’de sigara tüketme oranının % 52 arttığı tespit edilmiştir. 2008 yılında başlayan dumansız hava sahası politikalarına rağmen 2018 yılında Türkiye’de sigara tüketiminin toplamda 118,5 milyar adetle yüksek seviyelere ulaştığı ve</w:t>
      </w:r>
      <w:r w:rsidR="00FA5ACB">
        <w:rPr>
          <w:shd w:val="clear" w:color="auto" w:fill="FFFFFF"/>
        </w:rPr>
        <w:t xml:space="preserve"> yıllık</w:t>
      </w:r>
      <w:r w:rsidRPr="009D2B51">
        <w:rPr>
          <w:shd w:val="clear" w:color="auto" w:fill="FFFFFF"/>
        </w:rPr>
        <w:t xml:space="preserve"> kişi başına düşen sigaranın ise 1400 adet olduğu tespit edilmiştir. Ülke ekonomisinde yarattığı kayıp açısından bakıldığında ise, sağlık harcamaları ve iş göremezlik raporlarından kaynaklı sigaranın ekonomiye verdiği zararın 1 trilyon 400 milyar dolar olduğu görülmüştür. Ayrıca, genç nesil arasında sigara tüketme yaşının 13 ila 15 yaş aralığına indiği ve Türkiye’d</w:t>
      </w:r>
      <w:r w:rsidR="00FA5ACB">
        <w:rPr>
          <w:shd w:val="clear" w:color="auto" w:fill="FFFFFF"/>
        </w:rPr>
        <w:t>e her 10 erkek bireyden birinin ve</w:t>
      </w:r>
      <w:r w:rsidRPr="009D2B51">
        <w:rPr>
          <w:shd w:val="clear" w:color="auto" w:fill="FFFFFF"/>
        </w:rPr>
        <w:t xml:space="preserve"> her 20 kadın bireyden de birinin sigara tüketimi yaptığı tespit edilmiştir (WHO, 2019). </w:t>
      </w:r>
    </w:p>
    <w:p w:rsidR="009D2B51" w:rsidRPr="009D2B51" w:rsidRDefault="009D2B51" w:rsidP="00EC06FA">
      <w:pPr>
        <w:rPr>
          <w:shd w:val="clear" w:color="auto" w:fill="FFFFFF"/>
        </w:rPr>
      </w:pPr>
      <w:r w:rsidRPr="009D2B51">
        <w:rPr>
          <w:shd w:val="clear" w:color="auto" w:fill="FFFFFF"/>
        </w:rPr>
        <w:t>Türkiye’de alınan ciddi önlemler, çıkarılan ağır kanunlar ve milyonlarca lira harcanan kampanyalar ile sigara tüketimini azaltmaya yönelik politikalar uygulanmış olsa da sigaranın bağımlılık yaratıcı bir madde olması bu politikaların etkinliğinin yetersiz kalmasına neden olmaktadır. Bu anlamda sigara tüketim ve katılım kararının arkasında yatan sosyoekonomik etkenlerin belirlenmesinin söz konusu politikaların etkinliğinin artmasına yardımcı olması beklenmektedir. Bu nedenle, bu çalışmada hanelerin sigara katılım ve tüketim karar tercihleri ile bu karar yapılarını etkileyen sosyoekonomik ve demografik değişkenlerin karar yapılar</w:t>
      </w:r>
      <w:r w:rsidR="00FA5ACB">
        <w:rPr>
          <w:shd w:val="clear" w:color="auto" w:fill="FFFFFF"/>
        </w:rPr>
        <w:t>ı üzerindeki etkileri Tobit ve Çift E</w:t>
      </w:r>
      <w:r w:rsidRPr="009D2B51">
        <w:rPr>
          <w:shd w:val="clear" w:color="auto" w:fill="FFFFFF"/>
        </w:rPr>
        <w:t>şik yöntemleri yardımıyla 2014 yılı Hanehalkı Bütçe Anketi verileri kullanılarak analiz edilmiştir.</w:t>
      </w:r>
    </w:p>
    <w:p w:rsidR="009D2B51" w:rsidRPr="009D2B51" w:rsidRDefault="009D2B51" w:rsidP="00EC06FA">
      <w:pPr>
        <w:rPr>
          <w:shd w:val="clear" w:color="auto" w:fill="FFFFFF"/>
        </w:rPr>
      </w:pPr>
      <w:r w:rsidRPr="009D2B51">
        <w:rPr>
          <w:shd w:val="clear" w:color="auto" w:fill="FFFFFF"/>
        </w:rPr>
        <w:t xml:space="preserve">Bu tezde uygulanan ekonometrik modeller; sigara katılım (sigarayı satın alma kararı) ve tüketim miktarı (harcama kararı) kararlarının birbirinden ayrı ayrı, karar aşamalarının iki farklı süreçte izlenmesine olanak tanıyan nicel ekonomik değişken verileri gibi nitel değişkenlerin de ( yaş, cinsiyet, medeni durum vb.) sigarayı tüketenler ve tüketmeyenler arasında bir farklılık yaratabileceğini, katılım kararının tüketim miktarı kararından bağımsız bir </w:t>
      </w:r>
      <w:r w:rsidR="006C43CF">
        <w:rPr>
          <w:shd w:val="clear" w:color="auto" w:fill="FFFFFF"/>
        </w:rPr>
        <w:t xml:space="preserve">şekilde alınabileceğini dikkate almaktadır. </w:t>
      </w:r>
      <w:r w:rsidRPr="009D2B51">
        <w:rPr>
          <w:shd w:val="clear" w:color="auto" w:fill="FFFFFF"/>
        </w:rPr>
        <w:t xml:space="preserve">Sigara </w:t>
      </w:r>
      <w:r w:rsidRPr="009D2B51">
        <w:rPr>
          <w:shd w:val="clear" w:color="auto" w:fill="FFFFFF"/>
        </w:rPr>
        <w:lastRenderedPageBreak/>
        <w:t>tüketen bireyin tüketim kararının iki aşamal</w:t>
      </w:r>
      <w:r w:rsidR="00FA5ACB">
        <w:rPr>
          <w:shd w:val="clear" w:color="auto" w:fill="FFFFFF"/>
        </w:rPr>
        <w:t xml:space="preserve">ı süreci ihmal edildiğinde ise, </w:t>
      </w:r>
      <w:r w:rsidRPr="009D2B51">
        <w:rPr>
          <w:shd w:val="clear" w:color="auto" w:fill="FFFFFF"/>
        </w:rPr>
        <w:t>tüketim dav</w:t>
      </w:r>
      <w:r w:rsidR="00FA5ACB">
        <w:rPr>
          <w:shd w:val="clear" w:color="auto" w:fill="FFFFFF"/>
        </w:rPr>
        <w:t>ranışını anlamak zorlaşmaktadır. Bu durum</w:t>
      </w:r>
      <w:r w:rsidRPr="009D2B51">
        <w:rPr>
          <w:shd w:val="clear" w:color="auto" w:fill="FFFFFF"/>
        </w:rPr>
        <w:t xml:space="preserve"> sapmalı sonuçlar elde edilmesine ve dolayısıyla etkin olmayan politika kararlarının uygulanmasına sebebiyet ver</w:t>
      </w:r>
      <w:r w:rsidR="00FA5ACB">
        <w:rPr>
          <w:shd w:val="clear" w:color="auto" w:fill="FFFFFF"/>
        </w:rPr>
        <w:t>ebil</w:t>
      </w:r>
      <w:r w:rsidRPr="009D2B51">
        <w:rPr>
          <w:shd w:val="clear" w:color="auto" w:fill="FFFFFF"/>
        </w:rPr>
        <w:t xml:space="preserve">mektedir. </w:t>
      </w:r>
    </w:p>
    <w:p w:rsidR="009D2B51" w:rsidRPr="009D2B51" w:rsidRDefault="009D2B51" w:rsidP="00EC06FA">
      <w:pPr>
        <w:rPr>
          <w:shd w:val="clear" w:color="auto" w:fill="FFFFFF"/>
        </w:rPr>
      </w:pPr>
      <w:r w:rsidRPr="009D2B51">
        <w:rPr>
          <w:shd w:val="clear" w:color="auto" w:fill="FFFFFF"/>
        </w:rPr>
        <w:t>Türkiye’de 2014 yılı hanehalkı sigara tüketiminin belirleyicilerinin tespit edilmesini amaçlayan bu çalışma üç bölüm olarak düzenlenmiştir. Çalışmanın birinci bölümünde; hükümetlerin uyguladığı dumansız hava sahası politikaları gibi kamu yasaklarının ve sigaraya uygulanan vergileme politikalarının tek başına sigara tüketimini azaltmada etkili olamayacağını gösteren yerli ve yabancı literatüre yer verilmiştir. Ayrıca, bireyin sigara katılım ve tüketim kararlarının veya bu kararlara etki eden sosyo-ekonomik ve demografik değişkenlerin tespit edilmesinin uygunlanan politikaların etkinliğini arttırmada yardımcı olacağına dikkat çeken ampirik çalışmalar da birinci bölümde incelenmiştir.</w:t>
      </w:r>
    </w:p>
    <w:p w:rsidR="009D2B51" w:rsidRDefault="009D2B51" w:rsidP="00EC06FA">
      <w:pPr>
        <w:rPr>
          <w:shd w:val="clear" w:color="auto" w:fill="FFFFFF"/>
        </w:rPr>
      </w:pPr>
      <w:r w:rsidRPr="009D2B51">
        <w:rPr>
          <w:shd w:val="clear" w:color="auto" w:fill="FFFFFF"/>
        </w:rPr>
        <w:t xml:space="preserve">Çalışmanın ikinci bölümde; analizde kullanılan hanehalkı sigara tüketimine etki eden değişkenlerin sigara katılım ve tüketim kararlarını aynı oranda ve aynı yönde etkilediği varsayımından hareket eden Tobit yöntemi ile söz konusu değişkenlerin hem katılım hem de tüketim kararları üzerindeki etkisinin farklı olacağı varsayımından hareket eden Çift Eşik Yöntemi tanıtılmıştır. Ardından hanehalklarına ait demografik ve sosyoekonomik tüketim bilgilerini içeren Türkiye Cumhuriyeti genelinde yaşayan hanehalklarının yer aldığı ve Türkiye İstatistik Kurumu (TÜİK) tarafından elde edilen 2014 yılı Hanehalkı Bütçe Anketi (HBA) veri setine ait bilgiler sunulmuştur. Sonrasında, ilgili veri seti üzerinden yapılan analizler sonucunda elde edilen model tahmin sonuçları ve marjinal etki değerlerine yer verilmiş, elde edilen bulgular değerlendirilmiştir.  </w:t>
      </w:r>
    </w:p>
    <w:p w:rsidR="009D2B51" w:rsidRPr="009D2B51" w:rsidRDefault="009D2B51" w:rsidP="00EC06FA">
      <w:pPr>
        <w:rPr>
          <w:shd w:val="clear" w:color="auto" w:fill="FFFFFF"/>
        </w:rPr>
      </w:pPr>
      <w:r w:rsidRPr="009D2B51">
        <w:rPr>
          <w:shd w:val="clear" w:color="auto" w:fill="FFFFFF"/>
        </w:rPr>
        <w:t xml:space="preserve">Son olarak çalışmanın sonuç ve değerlendirme bölümü ile çalışma tamamlanmıştır. </w:t>
      </w:r>
    </w:p>
    <w:p w:rsidR="00F141C5" w:rsidRDefault="004328DA" w:rsidP="004328DA">
      <w:pPr>
        <w:spacing w:after="160" w:line="259" w:lineRule="auto"/>
        <w:ind w:firstLine="0"/>
        <w:jc w:val="left"/>
        <w:rPr>
          <w:shd w:val="clear" w:color="auto" w:fill="FFFFFF"/>
        </w:rPr>
      </w:pPr>
      <w:r>
        <w:rPr>
          <w:shd w:val="clear" w:color="auto" w:fill="FFFFFF"/>
        </w:rPr>
        <w:br w:type="page"/>
      </w:r>
      <w:bookmarkStart w:id="10" w:name="_Toc30503544"/>
    </w:p>
    <w:p w:rsidR="004328DA" w:rsidRDefault="004328DA" w:rsidP="00337D09">
      <w:pPr>
        <w:pStyle w:val="Balk1"/>
        <w:spacing w:after="0"/>
        <w:rPr>
          <w:shd w:val="clear" w:color="auto" w:fill="FFFFFF"/>
        </w:rPr>
      </w:pPr>
    </w:p>
    <w:p w:rsidR="004328DA" w:rsidRDefault="004328DA" w:rsidP="00337D09">
      <w:pPr>
        <w:pStyle w:val="Balk1"/>
        <w:spacing w:after="0"/>
        <w:rPr>
          <w:shd w:val="clear" w:color="auto" w:fill="FFFFFF"/>
        </w:rPr>
      </w:pPr>
    </w:p>
    <w:p w:rsidR="009D2B51" w:rsidRPr="009D2B51" w:rsidRDefault="009D2B51" w:rsidP="007F385C">
      <w:pPr>
        <w:pStyle w:val="Balk1"/>
        <w:rPr>
          <w:shd w:val="clear" w:color="auto" w:fill="FFFFFF"/>
        </w:rPr>
      </w:pPr>
      <w:bookmarkStart w:id="11" w:name="_Toc34134585"/>
      <w:r w:rsidRPr="009D2B51">
        <w:rPr>
          <w:shd w:val="clear" w:color="auto" w:fill="FFFFFF"/>
        </w:rPr>
        <w:t>BİRİNCİ BÖLÜM</w:t>
      </w:r>
      <w:bookmarkEnd w:id="10"/>
      <w:bookmarkEnd w:id="11"/>
    </w:p>
    <w:p w:rsidR="009D2B51" w:rsidRPr="009D2B51" w:rsidRDefault="009D2B51" w:rsidP="007F385C">
      <w:pPr>
        <w:pStyle w:val="AA"/>
        <w:rPr>
          <w:shd w:val="clear" w:color="auto" w:fill="FFFFFF"/>
        </w:rPr>
      </w:pPr>
      <w:bookmarkStart w:id="12" w:name="_Toc34134586"/>
      <w:r w:rsidRPr="009D2B51">
        <w:rPr>
          <w:shd w:val="clear" w:color="auto" w:fill="FFFFFF"/>
        </w:rPr>
        <w:t>1. LİTERATÜR</w:t>
      </w:r>
      <w:bookmarkEnd w:id="12"/>
    </w:p>
    <w:p w:rsidR="009D2B51" w:rsidRPr="009D2B51" w:rsidRDefault="009D2B51" w:rsidP="007F385C">
      <w:pPr>
        <w:rPr>
          <w:shd w:val="clear" w:color="auto" w:fill="FFFFFF"/>
        </w:rPr>
      </w:pPr>
      <w:r w:rsidRPr="009D2B51">
        <w:rPr>
          <w:shd w:val="clear" w:color="auto" w:fill="FFFFFF"/>
        </w:rPr>
        <w:t xml:space="preserve">Türkiye’de sigara tüketiminin insan sağlığına verdiği zarar yanında ülke ekonomisine, çevreye ve sosyal refaha olan etkisi azımsanamayacak </w:t>
      </w:r>
      <w:r w:rsidR="00FA5ACB">
        <w:rPr>
          <w:shd w:val="clear" w:color="auto" w:fill="FFFFFF"/>
        </w:rPr>
        <w:t>boyuttadır</w:t>
      </w:r>
      <w:r w:rsidRPr="009D2B51">
        <w:rPr>
          <w:shd w:val="clear" w:color="auto" w:fill="FFFFFF"/>
        </w:rPr>
        <w:t xml:space="preserve">. Son yıllarda sigara tüketimini azaltmak için çok sayıda yasal düzenlemeler yapılmıştır. Ülkemizde sigara tüketimini en az seviyeye indirmek için, 1996 senesinde yürürlüğe giren; Tütün Mahsullerinin Zararlarının Önlenmesine Dair 4207 Sayılı Kanun bunun bir örneğidir. Yürürlüğe konulan bu kanun ile hedeflenen; kişileri ve ülkenin gelecek nesillerini sigaranın zararından ve bu zararlı alışkanlığı cezbedici her türlü reklam ve lansmandan korumaktır. Bu kapsamda sigara tüketimi, devletin kamu hizmet daireleri, kişinin özel mülkiyeti hariç diğer bütün özel hukuk kişilerine ait kapalı mekanlarda, toplu taşıma araçlarında ve eğlence hizmeti veren; lokantalar, kahvehane, kafeterya gibi kapalı alanlarda yasaklanmıştır (Tütün Ürünlerinin Zararlarının Önlenmesi ve Kontrolü Hakkında Kanun, 1996). </w:t>
      </w:r>
    </w:p>
    <w:p w:rsidR="009D2B51" w:rsidRPr="009D2B51" w:rsidRDefault="009D2B51" w:rsidP="007F385C">
      <w:pPr>
        <w:rPr>
          <w:shd w:val="clear" w:color="auto" w:fill="FFFFFF"/>
        </w:rPr>
      </w:pPr>
      <w:r w:rsidRPr="009D2B51">
        <w:rPr>
          <w:shd w:val="clear" w:color="auto" w:fill="FFFFFF"/>
        </w:rPr>
        <w:t>Sigara tüketimi ile mücadelede uygulanan kamu yasaklarına rağmen sigara tüketimi halen ciddi boyutlardadır. Literatürdeki bazı çalışmalarda, kamu yasaklarının; sigara tüketimini azaltmadaki etkilerinin sınırlı olduğuna dair ampirik bulgular elde</w:t>
      </w:r>
      <w:r w:rsidR="00FA5ACB">
        <w:rPr>
          <w:shd w:val="clear" w:color="auto" w:fill="FFFFFF"/>
        </w:rPr>
        <w:t xml:space="preserve"> edilmiştir (Adda ve Cornaglia </w:t>
      </w:r>
      <w:r w:rsidRPr="009D2B51">
        <w:rPr>
          <w:shd w:val="clear" w:color="auto" w:fill="FFFFFF"/>
        </w:rPr>
        <w:t>2010</w:t>
      </w:r>
      <w:r w:rsidR="00FA5ACB">
        <w:rPr>
          <w:shd w:val="clear" w:color="auto" w:fill="FFFFFF"/>
        </w:rPr>
        <w:t>; Anger vd. 2011; Bitler vd. 2010; Boes vd. 2015</w:t>
      </w:r>
      <w:r w:rsidRPr="009D2B51">
        <w:rPr>
          <w:shd w:val="clear" w:color="auto" w:fill="FFFFFF"/>
        </w:rPr>
        <w:t>; Chaisemar</w:t>
      </w:r>
      <w:r w:rsidR="00631432">
        <w:rPr>
          <w:shd w:val="clear" w:color="auto" w:fill="FFFFFF"/>
        </w:rPr>
        <w:t xml:space="preserve">tin vd. 2011; Jones vd. </w:t>
      </w:r>
      <w:r w:rsidR="00FA5ACB">
        <w:rPr>
          <w:shd w:val="clear" w:color="auto" w:fill="FFFFFF"/>
        </w:rPr>
        <w:t>2015</w:t>
      </w:r>
      <w:r w:rsidRPr="009D2B51">
        <w:rPr>
          <w:shd w:val="clear" w:color="auto" w:fill="FFFFFF"/>
        </w:rPr>
        <w:t>; Origo ve L</w:t>
      </w:r>
      <w:r w:rsidR="00FA5ACB">
        <w:rPr>
          <w:shd w:val="clear" w:color="auto" w:fill="FFFFFF"/>
        </w:rPr>
        <w:t>ucifora 2013; Wildman ve Hollingsworth 2013</w:t>
      </w:r>
      <w:r w:rsidRPr="009D2B51">
        <w:rPr>
          <w:shd w:val="clear" w:color="auto" w:fill="FFFFFF"/>
        </w:rPr>
        <w:t>; Özcebe ve Bilir 2012; Çalışkan ve Metin</w:t>
      </w:r>
      <w:r w:rsidR="00FA5ACB">
        <w:rPr>
          <w:shd w:val="clear" w:color="auto" w:fill="FFFFFF"/>
        </w:rPr>
        <w:t>taş 2018; Çetinkaya ve Erkam 2014</w:t>
      </w:r>
      <w:r w:rsidR="00631432">
        <w:rPr>
          <w:shd w:val="clear" w:color="auto" w:fill="FFFFFF"/>
        </w:rPr>
        <w:t xml:space="preserve">; Erdal vd. </w:t>
      </w:r>
      <w:r w:rsidR="00630EB7">
        <w:rPr>
          <w:shd w:val="clear" w:color="auto" w:fill="FFFFFF"/>
        </w:rPr>
        <w:t>2015</w:t>
      </w:r>
      <w:r w:rsidRPr="009D2B51">
        <w:rPr>
          <w:shd w:val="clear" w:color="auto" w:fill="FFFFFF"/>
        </w:rPr>
        <w:t xml:space="preserve">). </w:t>
      </w:r>
    </w:p>
    <w:p w:rsidR="009D2B51" w:rsidRPr="009D2B51" w:rsidRDefault="009D2B51" w:rsidP="007F385C">
      <w:pPr>
        <w:rPr>
          <w:shd w:val="clear" w:color="auto" w:fill="FFFFFF"/>
        </w:rPr>
      </w:pPr>
      <w:r w:rsidRPr="009D2B51">
        <w:rPr>
          <w:shd w:val="clear" w:color="auto" w:fill="FFFFFF"/>
        </w:rPr>
        <w:t>Uygulanan yasakların yanında politika yapıcıların sigara tüketimini azaltmada kullandığı diğer bir müdahale yöntemi ise vergilerdir. Hükümetler, sigara üzerinden yüksek oranda vergiler belirleyerek sigara tüketim eğilimini düşürmeyi hedeflemektedirler. Ancak literatürde yapılan bazı çalışmalar sonucunda, sigara tüketiminde yüksek oranda vergi politikasının tek başına sigara tüketimini azaltmada etkili olmadığı görülmüştür (Hayrullahoğlu 2015; Avcı ve Demirci 2017; Sissoko 2002; Kleine ve Reeder 1977); Barzel 1976) Jackson ve Saba 1997; Saba vd. 1995).</w:t>
      </w:r>
    </w:p>
    <w:p w:rsidR="009D2B51" w:rsidRPr="009D2B51" w:rsidRDefault="009D2B51" w:rsidP="007F385C">
      <w:pPr>
        <w:rPr>
          <w:shd w:val="clear" w:color="auto" w:fill="FFFFFF"/>
        </w:rPr>
      </w:pPr>
      <w:r w:rsidRPr="009D2B51">
        <w:rPr>
          <w:shd w:val="clear" w:color="auto" w:fill="FFFFFF"/>
        </w:rPr>
        <w:lastRenderedPageBreak/>
        <w:t>Hükümetler sigara tüketimini azaltma konusunda kararlı politikalar uygulasa da, bu politikaların etkinliği genellikle sınırlı kalmıştır. Bu durumun ortaya çıkmasında, sigaraya başlama ve tüketme kararlarının veya bu kararlara etki eden faktörlerin tam ve tutarlı olarak belirlenememesinin etkili olduğu düşünülmektedir (Ozcebe vd. 2018). Bu amaçla son yıllarda sigara tüketimine etki eden faktörleri belirlemeye yönelik yapılan ampirik çalışmalar hızla artmaktadır. Söz konusu çalışmalara dair literatür özeti Tablo 1 ile sunulmuştur.</w:t>
      </w:r>
    </w:p>
    <w:p w:rsidR="009D2B51" w:rsidRPr="009D2B51" w:rsidRDefault="009D2B51" w:rsidP="00EC06FA">
      <w:pPr>
        <w:rPr>
          <w:shd w:val="clear" w:color="auto" w:fill="FFFFFF"/>
        </w:rPr>
      </w:pPr>
    </w:p>
    <w:p w:rsidR="009D2B51" w:rsidRPr="007F385C" w:rsidRDefault="007F385C" w:rsidP="007F385C">
      <w:pPr>
        <w:ind w:firstLine="0"/>
        <w:jc w:val="center"/>
        <w:rPr>
          <w:b/>
          <w:shd w:val="clear" w:color="auto" w:fill="FFFFFF"/>
        </w:rPr>
      </w:pPr>
      <w:bookmarkStart w:id="13" w:name="_Toc30503444"/>
      <w:r w:rsidRPr="007F385C">
        <w:rPr>
          <w:b/>
        </w:rPr>
        <w:t xml:space="preserve">Tablo </w:t>
      </w:r>
      <w:r w:rsidRPr="007F385C">
        <w:rPr>
          <w:b/>
        </w:rPr>
        <w:fldChar w:fldCharType="begin"/>
      </w:r>
      <w:r w:rsidRPr="007F385C">
        <w:rPr>
          <w:b/>
        </w:rPr>
        <w:instrText xml:space="preserve"> SEQ Tablo \* ARABIC </w:instrText>
      </w:r>
      <w:r w:rsidRPr="007F385C">
        <w:rPr>
          <w:b/>
        </w:rPr>
        <w:fldChar w:fldCharType="separate"/>
      </w:r>
      <w:r w:rsidR="00BF7F92">
        <w:rPr>
          <w:b/>
          <w:noProof/>
        </w:rPr>
        <w:t>1</w:t>
      </w:r>
      <w:r w:rsidRPr="007F385C">
        <w:rPr>
          <w:b/>
        </w:rPr>
        <w:fldChar w:fldCharType="end"/>
      </w:r>
      <w:r w:rsidRPr="007F385C">
        <w:rPr>
          <w:b/>
        </w:rPr>
        <w:t>.</w:t>
      </w:r>
      <w:r w:rsidR="009D2B51" w:rsidRPr="007F385C">
        <w:rPr>
          <w:b/>
          <w:shd w:val="clear" w:color="auto" w:fill="FFFFFF"/>
        </w:rPr>
        <w:t xml:space="preserve"> Literatür Özeti</w:t>
      </w:r>
      <w:bookmarkEnd w:id="13"/>
    </w:p>
    <w:tbl>
      <w:tblPr>
        <w:tblW w:w="4960" w:type="pct"/>
        <w:tblInd w:w="70" w:type="dxa"/>
        <w:tblCellMar>
          <w:left w:w="70" w:type="dxa"/>
          <w:right w:w="70" w:type="dxa"/>
        </w:tblCellMar>
        <w:tblLook w:val="04A0" w:firstRow="1" w:lastRow="0" w:firstColumn="1" w:lastColumn="0" w:noHBand="0" w:noVBand="1"/>
      </w:tblPr>
      <w:tblGrid>
        <w:gridCol w:w="2211"/>
        <w:gridCol w:w="3183"/>
        <w:gridCol w:w="3181"/>
      </w:tblGrid>
      <w:tr w:rsidR="007F385C" w:rsidRPr="007F385C" w:rsidTr="00F141C5">
        <w:trPr>
          <w:trHeight w:val="315"/>
        </w:trPr>
        <w:tc>
          <w:tcPr>
            <w:tcW w:w="1289" w:type="pct"/>
            <w:tcBorders>
              <w:top w:val="single" w:sz="8" w:space="0" w:color="auto"/>
              <w:left w:val="single" w:sz="8" w:space="0" w:color="000000"/>
              <w:bottom w:val="single" w:sz="8" w:space="0" w:color="000000"/>
              <w:right w:val="single" w:sz="8" w:space="0" w:color="000000"/>
            </w:tcBorders>
            <w:shd w:val="clear" w:color="auto" w:fill="auto"/>
            <w:vAlign w:val="center"/>
            <w:hideMark/>
          </w:tcPr>
          <w:p w:rsidR="007F385C" w:rsidRPr="007F385C" w:rsidRDefault="007F385C" w:rsidP="007F385C">
            <w:pPr>
              <w:spacing w:line="240" w:lineRule="auto"/>
              <w:ind w:firstLine="0"/>
              <w:jc w:val="left"/>
              <w:rPr>
                <w:b/>
                <w:bCs/>
                <w:color w:val="000000"/>
                <w:sz w:val="20"/>
                <w:szCs w:val="20"/>
              </w:rPr>
            </w:pPr>
            <w:r w:rsidRPr="007F385C">
              <w:rPr>
                <w:b/>
                <w:bCs/>
                <w:color w:val="000000"/>
                <w:sz w:val="20"/>
                <w:szCs w:val="20"/>
              </w:rPr>
              <w:t>Yazar</w:t>
            </w:r>
          </w:p>
        </w:tc>
        <w:tc>
          <w:tcPr>
            <w:tcW w:w="1856" w:type="pct"/>
            <w:tcBorders>
              <w:top w:val="single" w:sz="8" w:space="0" w:color="auto"/>
              <w:left w:val="nil"/>
              <w:bottom w:val="single" w:sz="8" w:space="0" w:color="000000"/>
              <w:right w:val="single" w:sz="8" w:space="0" w:color="000000"/>
            </w:tcBorders>
            <w:shd w:val="clear" w:color="auto" w:fill="auto"/>
            <w:vAlign w:val="center"/>
            <w:hideMark/>
          </w:tcPr>
          <w:p w:rsidR="007F385C" w:rsidRPr="007F385C" w:rsidRDefault="007F385C" w:rsidP="007F385C">
            <w:pPr>
              <w:spacing w:line="240" w:lineRule="auto"/>
              <w:ind w:firstLine="0"/>
              <w:jc w:val="center"/>
              <w:rPr>
                <w:b/>
                <w:bCs/>
                <w:color w:val="000000"/>
                <w:sz w:val="20"/>
                <w:szCs w:val="20"/>
              </w:rPr>
            </w:pPr>
            <w:r w:rsidRPr="007F385C">
              <w:rPr>
                <w:b/>
                <w:bCs/>
                <w:color w:val="000000"/>
                <w:sz w:val="20"/>
                <w:szCs w:val="20"/>
              </w:rPr>
              <w:t>Veri Seti ve Ekonometrik Yöntem</w:t>
            </w:r>
          </w:p>
        </w:tc>
        <w:tc>
          <w:tcPr>
            <w:tcW w:w="1855" w:type="pct"/>
            <w:tcBorders>
              <w:top w:val="single" w:sz="8" w:space="0" w:color="auto"/>
              <w:left w:val="nil"/>
              <w:bottom w:val="single" w:sz="8" w:space="0" w:color="000000"/>
              <w:right w:val="single" w:sz="8" w:space="0" w:color="000000"/>
            </w:tcBorders>
            <w:shd w:val="clear" w:color="auto" w:fill="auto"/>
            <w:vAlign w:val="center"/>
            <w:hideMark/>
          </w:tcPr>
          <w:p w:rsidR="007F385C" w:rsidRPr="007F385C" w:rsidRDefault="007F385C" w:rsidP="007F385C">
            <w:pPr>
              <w:spacing w:line="240" w:lineRule="auto"/>
              <w:ind w:firstLine="0"/>
              <w:jc w:val="center"/>
              <w:rPr>
                <w:b/>
                <w:bCs/>
                <w:color w:val="000000"/>
                <w:sz w:val="20"/>
                <w:szCs w:val="20"/>
              </w:rPr>
            </w:pPr>
            <w:r w:rsidRPr="007F385C">
              <w:rPr>
                <w:b/>
                <w:bCs/>
                <w:color w:val="000000"/>
                <w:sz w:val="20"/>
                <w:szCs w:val="20"/>
              </w:rPr>
              <w:t>Sonuç</w:t>
            </w:r>
          </w:p>
        </w:tc>
      </w:tr>
      <w:tr w:rsidR="006B13D1" w:rsidRPr="007F385C" w:rsidTr="007F385C">
        <w:trPr>
          <w:trHeight w:val="2310"/>
        </w:trPr>
        <w:tc>
          <w:tcPr>
            <w:tcW w:w="1289" w:type="pct"/>
            <w:tcBorders>
              <w:top w:val="nil"/>
              <w:left w:val="single" w:sz="8" w:space="0" w:color="000000"/>
              <w:bottom w:val="single" w:sz="8" w:space="0" w:color="000000"/>
              <w:right w:val="single" w:sz="8" w:space="0" w:color="000000"/>
            </w:tcBorders>
            <w:shd w:val="clear" w:color="auto" w:fill="auto"/>
            <w:vAlign w:val="center"/>
            <w:hideMark/>
          </w:tcPr>
          <w:p w:rsidR="006B13D1" w:rsidRPr="007F385C" w:rsidRDefault="006B13D1" w:rsidP="006B13D1">
            <w:pPr>
              <w:spacing w:line="240" w:lineRule="auto"/>
              <w:ind w:firstLine="0"/>
              <w:jc w:val="left"/>
              <w:rPr>
                <w:b/>
                <w:bCs/>
                <w:color w:val="000000"/>
                <w:sz w:val="20"/>
                <w:szCs w:val="20"/>
              </w:rPr>
            </w:pPr>
            <w:r w:rsidRPr="007F385C">
              <w:rPr>
                <w:b/>
                <w:bCs/>
                <w:color w:val="000000"/>
                <w:sz w:val="20"/>
                <w:szCs w:val="20"/>
              </w:rPr>
              <w:t>Lee ve Kidane (1988)</w:t>
            </w:r>
          </w:p>
        </w:tc>
        <w:tc>
          <w:tcPr>
            <w:tcW w:w="1856" w:type="pct"/>
            <w:tcBorders>
              <w:top w:val="nil"/>
              <w:left w:val="nil"/>
              <w:bottom w:val="single" w:sz="8" w:space="0" w:color="000000"/>
              <w:right w:val="single" w:sz="8" w:space="0" w:color="000000"/>
            </w:tcBorders>
            <w:shd w:val="clear" w:color="auto" w:fill="auto"/>
            <w:vAlign w:val="center"/>
            <w:hideMark/>
          </w:tcPr>
          <w:p w:rsidR="006B13D1" w:rsidRPr="007F385C" w:rsidRDefault="006B13D1" w:rsidP="006B13D1">
            <w:pPr>
              <w:spacing w:line="240" w:lineRule="auto"/>
              <w:ind w:firstLine="0"/>
              <w:rPr>
                <w:color w:val="000000"/>
                <w:sz w:val="20"/>
                <w:szCs w:val="20"/>
              </w:rPr>
            </w:pPr>
            <w:r w:rsidRPr="007F385C">
              <w:rPr>
                <w:color w:val="000000"/>
                <w:sz w:val="20"/>
                <w:szCs w:val="20"/>
              </w:rPr>
              <w:t>1973 yılı Çalışma İstatistikleri Bürosu (BLS) mikro verileri kullanılarak ABD’de sigara tüketimi ile çeşitli demografik ve sosyoekonomik faktörler arasındaki ilişki Ki-kare Analizi ve Çoklu Regresyon Analizi kullanılarak belirlenmiştir.</w:t>
            </w:r>
          </w:p>
        </w:tc>
        <w:tc>
          <w:tcPr>
            <w:tcW w:w="1855" w:type="pct"/>
            <w:tcBorders>
              <w:top w:val="nil"/>
              <w:left w:val="nil"/>
              <w:bottom w:val="single" w:sz="8" w:space="0" w:color="000000"/>
              <w:right w:val="single" w:sz="8" w:space="0" w:color="000000"/>
            </w:tcBorders>
            <w:shd w:val="clear" w:color="auto" w:fill="auto"/>
            <w:vAlign w:val="center"/>
            <w:hideMark/>
          </w:tcPr>
          <w:p w:rsidR="006B13D1" w:rsidRPr="007F385C" w:rsidRDefault="006B13D1" w:rsidP="006B13D1">
            <w:pPr>
              <w:spacing w:line="240" w:lineRule="auto"/>
              <w:ind w:firstLine="0"/>
              <w:rPr>
                <w:color w:val="000000"/>
                <w:sz w:val="20"/>
                <w:szCs w:val="20"/>
              </w:rPr>
            </w:pPr>
            <w:r w:rsidRPr="007F385C">
              <w:rPr>
                <w:color w:val="000000"/>
                <w:sz w:val="20"/>
                <w:szCs w:val="20"/>
              </w:rPr>
              <w:t>Hanehalkı reisi, üniversite eğitim düzeyine sahip olanlar ve evli bireylerin sigara tüketiminin daha az olduğu sonucuna ulaşılmıştır. Sigara tüketimi ile hanehalkı büyüklüğü arasında doğru yönlü bir ilişkinin olduğu belirlenmiştir. Kentsel alanda yaşayanların kırsal alanda yaşayanlara nispeten daha fazla sigara tüketim eğiliminde olduğu gözlemlenmiştir.</w:t>
            </w:r>
          </w:p>
        </w:tc>
      </w:tr>
      <w:tr w:rsidR="006B13D1" w:rsidRPr="007F385C" w:rsidTr="007F385C">
        <w:trPr>
          <w:trHeight w:val="3330"/>
        </w:trPr>
        <w:tc>
          <w:tcPr>
            <w:tcW w:w="1289" w:type="pct"/>
            <w:tcBorders>
              <w:top w:val="nil"/>
              <w:left w:val="single" w:sz="8" w:space="0" w:color="000000"/>
              <w:bottom w:val="single" w:sz="8" w:space="0" w:color="000000"/>
              <w:right w:val="single" w:sz="8" w:space="0" w:color="000000"/>
            </w:tcBorders>
            <w:shd w:val="clear" w:color="auto" w:fill="auto"/>
            <w:vAlign w:val="center"/>
            <w:hideMark/>
          </w:tcPr>
          <w:p w:rsidR="006B13D1" w:rsidRPr="007F385C" w:rsidRDefault="006B13D1" w:rsidP="006B13D1">
            <w:pPr>
              <w:spacing w:line="240" w:lineRule="auto"/>
              <w:ind w:firstLine="0"/>
              <w:jc w:val="left"/>
              <w:rPr>
                <w:b/>
                <w:bCs/>
                <w:color w:val="000000"/>
                <w:sz w:val="20"/>
                <w:szCs w:val="20"/>
              </w:rPr>
            </w:pPr>
            <w:r w:rsidRPr="007F385C">
              <w:rPr>
                <w:b/>
                <w:bCs/>
                <w:color w:val="000000"/>
                <w:sz w:val="20"/>
                <w:szCs w:val="20"/>
              </w:rPr>
              <w:t>Jones (1989a; 1989b)</w:t>
            </w:r>
          </w:p>
        </w:tc>
        <w:tc>
          <w:tcPr>
            <w:tcW w:w="1856" w:type="pct"/>
            <w:tcBorders>
              <w:top w:val="nil"/>
              <w:left w:val="nil"/>
              <w:bottom w:val="single" w:sz="8" w:space="0" w:color="000000"/>
              <w:right w:val="single" w:sz="8" w:space="0" w:color="000000"/>
            </w:tcBorders>
            <w:shd w:val="clear" w:color="auto" w:fill="auto"/>
            <w:vAlign w:val="center"/>
            <w:hideMark/>
          </w:tcPr>
          <w:p w:rsidR="006B13D1" w:rsidRPr="007F385C" w:rsidRDefault="006B13D1" w:rsidP="006B13D1">
            <w:pPr>
              <w:spacing w:line="240" w:lineRule="auto"/>
              <w:ind w:firstLine="0"/>
              <w:rPr>
                <w:color w:val="000000"/>
                <w:sz w:val="20"/>
                <w:szCs w:val="20"/>
              </w:rPr>
            </w:pPr>
            <w:r w:rsidRPr="007F385C">
              <w:rPr>
                <w:color w:val="000000"/>
                <w:sz w:val="20"/>
                <w:szCs w:val="20"/>
              </w:rPr>
              <w:t xml:space="preserve">Birleşik Krallık’taki 1980 yılı Hanehalkı Mikro Veri Seti kullanılarak sigara tüketimi Çift Eşik(DoubleHurdle) Modeli ile analiz edilmiştir. Çalışmada sigara tüketiminde kullanılan Çift Eşik Modeli’nin de önemi vurgulanmıştır. </w:t>
            </w:r>
          </w:p>
        </w:tc>
        <w:tc>
          <w:tcPr>
            <w:tcW w:w="1855" w:type="pct"/>
            <w:tcBorders>
              <w:top w:val="nil"/>
              <w:left w:val="nil"/>
              <w:bottom w:val="single" w:sz="8" w:space="0" w:color="000000"/>
              <w:right w:val="single" w:sz="8" w:space="0" w:color="000000"/>
            </w:tcBorders>
            <w:shd w:val="clear" w:color="auto" w:fill="auto"/>
            <w:vAlign w:val="center"/>
            <w:hideMark/>
          </w:tcPr>
          <w:p w:rsidR="006B13D1" w:rsidRPr="007F385C" w:rsidRDefault="006B13D1" w:rsidP="006B13D1">
            <w:pPr>
              <w:spacing w:line="240" w:lineRule="auto"/>
              <w:ind w:firstLine="0"/>
              <w:rPr>
                <w:color w:val="000000"/>
                <w:sz w:val="20"/>
                <w:szCs w:val="20"/>
              </w:rPr>
            </w:pPr>
            <w:r w:rsidRPr="007F385C">
              <w:rPr>
                <w:color w:val="000000"/>
                <w:sz w:val="20"/>
                <w:szCs w:val="20"/>
              </w:rPr>
              <w:t>Ekonometrik tahmin neticesinde, tüketim kararı ve tüketime katılım kararı olmak üzere iki ayrı denklem modeli oluşturulmuş ve bu çerçeve de sigara tüketimi, kişi başına talep, fiyat, gelir ve sağlık değişkenlerinin modele konularak sigara talebi üzerindeki etkileri incelenmiştir.</w:t>
            </w:r>
          </w:p>
        </w:tc>
      </w:tr>
      <w:tr w:rsidR="006B13D1" w:rsidRPr="007F385C" w:rsidTr="007F385C">
        <w:trPr>
          <w:trHeight w:val="1545"/>
        </w:trPr>
        <w:tc>
          <w:tcPr>
            <w:tcW w:w="1289" w:type="pct"/>
            <w:tcBorders>
              <w:top w:val="nil"/>
              <w:left w:val="single" w:sz="8" w:space="0" w:color="000000"/>
              <w:bottom w:val="single" w:sz="8" w:space="0" w:color="000000"/>
              <w:right w:val="single" w:sz="8" w:space="0" w:color="000000"/>
            </w:tcBorders>
            <w:shd w:val="clear" w:color="auto" w:fill="auto"/>
            <w:vAlign w:val="center"/>
            <w:hideMark/>
          </w:tcPr>
          <w:p w:rsidR="006B13D1" w:rsidRPr="007F385C" w:rsidRDefault="006B13D1" w:rsidP="006B13D1">
            <w:pPr>
              <w:spacing w:line="240" w:lineRule="auto"/>
              <w:ind w:firstLine="0"/>
              <w:jc w:val="left"/>
              <w:rPr>
                <w:b/>
                <w:bCs/>
                <w:color w:val="000000"/>
                <w:sz w:val="20"/>
                <w:szCs w:val="20"/>
              </w:rPr>
            </w:pPr>
            <w:r w:rsidRPr="007F385C">
              <w:rPr>
                <w:b/>
                <w:bCs/>
                <w:color w:val="000000"/>
                <w:sz w:val="20"/>
                <w:szCs w:val="20"/>
              </w:rPr>
              <w:t>Blaylock ve Blisard (1992</w:t>
            </w:r>
            <w:r w:rsidRPr="007F385C">
              <w:rPr>
                <w:color w:val="000000"/>
                <w:sz w:val="20"/>
                <w:szCs w:val="20"/>
              </w:rPr>
              <w:t>)</w:t>
            </w:r>
          </w:p>
        </w:tc>
        <w:tc>
          <w:tcPr>
            <w:tcW w:w="1856" w:type="pct"/>
            <w:tcBorders>
              <w:top w:val="nil"/>
              <w:left w:val="nil"/>
              <w:bottom w:val="single" w:sz="8" w:space="0" w:color="000000"/>
              <w:right w:val="single" w:sz="8" w:space="0" w:color="000000"/>
            </w:tcBorders>
            <w:shd w:val="clear" w:color="auto" w:fill="auto"/>
            <w:vAlign w:val="center"/>
            <w:hideMark/>
          </w:tcPr>
          <w:p w:rsidR="006B13D1" w:rsidRPr="007F385C" w:rsidRDefault="006B13D1" w:rsidP="006B13D1">
            <w:pPr>
              <w:spacing w:line="240" w:lineRule="auto"/>
              <w:ind w:firstLine="0"/>
              <w:rPr>
                <w:color w:val="000000"/>
                <w:sz w:val="20"/>
                <w:szCs w:val="20"/>
              </w:rPr>
            </w:pPr>
            <w:r w:rsidRPr="007F385C">
              <w:rPr>
                <w:color w:val="000000"/>
                <w:sz w:val="20"/>
                <w:szCs w:val="20"/>
              </w:rPr>
              <w:t>Hanehalkı sosyoekonomik ve demografik özellikleri ile sigara katılım ve tüketim kararları; 1985-86 yılları arası Amerika’da Düşük Gelirli Kadınlar Anketi (CSFII) verileri kullanılarak Çift Eşik ve Cragg Model yardımıyla analiz edilmiştir.</w:t>
            </w:r>
          </w:p>
        </w:tc>
        <w:tc>
          <w:tcPr>
            <w:tcW w:w="1855" w:type="pct"/>
            <w:tcBorders>
              <w:top w:val="nil"/>
              <w:left w:val="nil"/>
              <w:bottom w:val="single" w:sz="8" w:space="0" w:color="000000"/>
              <w:right w:val="single" w:sz="8" w:space="0" w:color="000000"/>
            </w:tcBorders>
            <w:shd w:val="clear" w:color="auto" w:fill="auto"/>
            <w:vAlign w:val="center"/>
            <w:hideMark/>
          </w:tcPr>
          <w:p w:rsidR="006B13D1" w:rsidRPr="007F385C" w:rsidRDefault="006B13D1" w:rsidP="006B13D1">
            <w:pPr>
              <w:spacing w:line="240" w:lineRule="auto"/>
              <w:ind w:firstLine="0"/>
              <w:rPr>
                <w:color w:val="000000"/>
                <w:sz w:val="20"/>
                <w:szCs w:val="20"/>
              </w:rPr>
            </w:pPr>
            <w:r w:rsidRPr="007F385C">
              <w:rPr>
                <w:color w:val="000000"/>
                <w:sz w:val="20"/>
                <w:szCs w:val="20"/>
              </w:rPr>
              <w:t>Yapılan ekonometrik analiz sonucunda, gelir seviyesi düşük kadınların sigara katılım kararını etkileyen en önemli değişkenlerin; bölge, çocuk sayısı, eğitim düzeyi ve etnik köken olduğu sonucuna ulaşılmıştır. Bölge, yaş, ırk, etnik köken ve sağlık durumu gibi değişkenlerinde tüketim kararını etkileyen en önemli değişkenler olduğu sonucuna ulaşılmıştır.</w:t>
            </w:r>
          </w:p>
        </w:tc>
      </w:tr>
    </w:tbl>
    <w:p w:rsidR="007F385C" w:rsidRDefault="007F385C" w:rsidP="007F385C">
      <w:pPr>
        <w:rPr>
          <w:shd w:val="clear" w:color="auto" w:fill="FFFFFF"/>
        </w:rPr>
      </w:pPr>
    </w:p>
    <w:p w:rsidR="007F385C" w:rsidRDefault="007F385C" w:rsidP="007F385C">
      <w:pPr>
        <w:rPr>
          <w:shd w:val="clear" w:color="auto" w:fill="FFFFFF"/>
        </w:rPr>
      </w:pPr>
    </w:p>
    <w:p w:rsidR="007F385C" w:rsidRDefault="007F385C" w:rsidP="007F385C">
      <w:pPr>
        <w:rPr>
          <w:shd w:val="clear" w:color="auto" w:fill="FFFFFF"/>
        </w:rPr>
      </w:pPr>
    </w:p>
    <w:p w:rsidR="007F385C" w:rsidRPr="007F385C" w:rsidRDefault="007F385C" w:rsidP="007F385C">
      <w:pPr>
        <w:ind w:firstLine="0"/>
        <w:rPr>
          <w:b/>
          <w:shd w:val="clear" w:color="auto" w:fill="FFFFFF"/>
        </w:rPr>
      </w:pPr>
    </w:p>
    <w:tbl>
      <w:tblPr>
        <w:tblW w:w="4960" w:type="pct"/>
        <w:tblInd w:w="70" w:type="dxa"/>
        <w:tblCellMar>
          <w:left w:w="70" w:type="dxa"/>
          <w:right w:w="70" w:type="dxa"/>
        </w:tblCellMar>
        <w:tblLook w:val="04A0" w:firstRow="1" w:lastRow="0" w:firstColumn="1" w:lastColumn="0" w:noHBand="0" w:noVBand="1"/>
      </w:tblPr>
      <w:tblGrid>
        <w:gridCol w:w="2211"/>
        <w:gridCol w:w="3183"/>
        <w:gridCol w:w="3181"/>
      </w:tblGrid>
      <w:tr w:rsidR="006B13D1" w:rsidRPr="007F385C" w:rsidTr="00337D09">
        <w:trPr>
          <w:trHeight w:val="2265"/>
        </w:trPr>
        <w:tc>
          <w:tcPr>
            <w:tcW w:w="1289"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6B13D1" w:rsidRPr="007F385C" w:rsidRDefault="006B13D1" w:rsidP="006B13D1">
            <w:pPr>
              <w:spacing w:line="240" w:lineRule="auto"/>
              <w:ind w:firstLine="0"/>
              <w:jc w:val="left"/>
              <w:rPr>
                <w:b/>
                <w:bCs/>
                <w:color w:val="000000"/>
                <w:sz w:val="20"/>
                <w:szCs w:val="20"/>
              </w:rPr>
            </w:pPr>
            <w:r w:rsidRPr="007F385C">
              <w:rPr>
                <w:b/>
                <w:bCs/>
                <w:color w:val="000000"/>
                <w:sz w:val="20"/>
                <w:szCs w:val="20"/>
              </w:rPr>
              <w:t>Garcia ve Labeaga (1996)</w:t>
            </w:r>
          </w:p>
        </w:tc>
        <w:tc>
          <w:tcPr>
            <w:tcW w:w="1856" w:type="pct"/>
            <w:tcBorders>
              <w:top w:val="single" w:sz="8" w:space="0" w:color="000000"/>
              <w:left w:val="nil"/>
              <w:bottom w:val="single" w:sz="8" w:space="0" w:color="000000"/>
              <w:right w:val="single" w:sz="8" w:space="0" w:color="000000"/>
            </w:tcBorders>
            <w:shd w:val="clear" w:color="auto" w:fill="auto"/>
            <w:vAlign w:val="center"/>
            <w:hideMark/>
          </w:tcPr>
          <w:p w:rsidR="00337D09" w:rsidRPr="007F385C" w:rsidRDefault="006B13D1" w:rsidP="006B13D1">
            <w:pPr>
              <w:spacing w:line="240" w:lineRule="auto"/>
              <w:ind w:firstLine="0"/>
              <w:rPr>
                <w:color w:val="000000"/>
                <w:sz w:val="20"/>
                <w:szCs w:val="20"/>
              </w:rPr>
            </w:pPr>
            <w:r w:rsidRPr="007F385C">
              <w:rPr>
                <w:color w:val="000000"/>
                <w:sz w:val="20"/>
                <w:szCs w:val="20"/>
              </w:rPr>
              <w:t xml:space="preserve">1980-81 İspanyol Aile Harcamaları Anketi (EPF) verilerinden yararlanılarak hem sigara katılım kararı hem de sigara tüketim kararı ayrı olarak belirlenip; Tobit, P </w:t>
            </w:r>
            <w:r w:rsidRPr="007F385C">
              <w:rPr>
                <w:rFonts w:ascii="Cambria Math" w:hAnsi="Cambria Math" w:cs="Cambria Math"/>
                <w:color w:val="000000"/>
                <w:sz w:val="20"/>
                <w:szCs w:val="20"/>
              </w:rPr>
              <w:t>‐</w:t>
            </w:r>
            <w:r w:rsidRPr="007F385C">
              <w:rPr>
                <w:color w:val="000000"/>
                <w:sz w:val="20"/>
                <w:szCs w:val="20"/>
              </w:rPr>
              <w:t xml:space="preserve"> Tobit ve Double-hurdle modelleri ile tahmin edilmiştir.</w:t>
            </w:r>
          </w:p>
        </w:tc>
        <w:tc>
          <w:tcPr>
            <w:tcW w:w="1855" w:type="pct"/>
            <w:tcBorders>
              <w:top w:val="single" w:sz="8" w:space="0" w:color="000000"/>
              <w:left w:val="nil"/>
              <w:bottom w:val="single" w:sz="8" w:space="0" w:color="000000"/>
              <w:right w:val="single" w:sz="8" w:space="0" w:color="000000"/>
            </w:tcBorders>
            <w:shd w:val="clear" w:color="auto" w:fill="auto"/>
            <w:vAlign w:val="center"/>
            <w:hideMark/>
          </w:tcPr>
          <w:p w:rsidR="006B13D1" w:rsidRPr="007F385C" w:rsidRDefault="006B13D1" w:rsidP="006B13D1">
            <w:pPr>
              <w:spacing w:line="240" w:lineRule="auto"/>
              <w:ind w:firstLine="0"/>
              <w:rPr>
                <w:color w:val="000000"/>
                <w:sz w:val="20"/>
                <w:szCs w:val="20"/>
              </w:rPr>
            </w:pPr>
            <w:r w:rsidRPr="007F385C">
              <w:rPr>
                <w:color w:val="000000"/>
                <w:sz w:val="20"/>
                <w:szCs w:val="20"/>
              </w:rPr>
              <w:t>Çalışmanın ekonometrik sonucuna göre, hanehalkı reisinin eğitim düzeyi, bireyin yaşı ve gelir değişkenleri ile sigara tüketimi arasında doğru yönlü bir ilişki saptanmıştır.</w:t>
            </w:r>
          </w:p>
        </w:tc>
      </w:tr>
      <w:tr w:rsidR="006B13D1" w:rsidRPr="007F385C" w:rsidTr="007F385C">
        <w:trPr>
          <w:trHeight w:val="2055"/>
        </w:trPr>
        <w:tc>
          <w:tcPr>
            <w:tcW w:w="1289" w:type="pct"/>
            <w:tcBorders>
              <w:top w:val="nil"/>
              <w:left w:val="single" w:sz="8" w:space="0" w:color="000000"/>
              <w:bottom w:val="single" w:sz="8" w:space="0" w:color="000000"/>
              <w:right w:val="single" w:sz="8" w:space="0" w:color="000000"/>
            </w:tcBorders>
            <w:shd w:val="clear" w:color="auto" w:fill="auto"/>
            <w:vAlign w:val="center"/>
            <w:hideMark/>
          </w:tcPr>
          <w:p w:rsidR="006B13D1" w:rsidRPr="007F385C" w:rsidRDefault="006B13D1" w:rsidP="006B13D1">
            <w:pPr>
              <w:spacing w:line="240" w:lineRule="auto"/>
              <w:ind w:firstLine="0"/>
              <w:jc w:val="left"/>
              <w:rPr>
                <w:b/>
                <w:bCs/>
                <w:color w:val="000000"/>
                <w:sz w:val="20"/>
                <w:szCs w:val="20"/>
              </w:rPr>
            </w:pPr>
            <w:r w:rsidRPr="007F385C">
              <w:rPr>
                <w:b/>
                <w:bCs/>
                <w:color w:val="000000"/>
                <w:sz w:val="20"/>
                <w:szCs w:val="20"/>
              </w:rPr>
              <w:t>Yen (2005)</w:t>
            </w:r>
          </w:p>
        </w:tc>
        <w:tc>
          <w:tcPr>
            <w:tcW w:w="1856" w:type="pct"/>
            <w:tcBorders>
              <w:top w:val="nil"/>
              <w:left w:val="nil"/>
              <w:bottom w:val="single" w:sz="8" w:space="0" w:color="000000"/>
              <w:right w:val="single" w:sz="8" w:space="0" w:color="000000"/>
            </w:tcBorders>
            <w:shd w:val="clear" w:color="auto" w:fill="auto"/>
            <w:vAlign w:val="center"/>
            <w:hideMark/>
          </w:tcPr>
          <w:p w:rsidR="006B13D1" w:rsidRPr="007F385C" w:rsidRDefault="006B13D1" w:rsidP="006B13D1">
            <w:pPr>
              <w:spacing w:line="240" w:lineRule="auto"/>
              <w:ind w:firstLine="0"/>
              <w:rPr>
                <w:color w:val="000000"/>
                <w:sz w:val="20"/>
                <w:szCs w:val="20"/>
              </w:rPr>
            </w:pPr>
            <w:r w:rsidRPr="007F385C">
              <w:rPr>
                <w:color w:val="000000"/>
                <w:sz w:val="20"/>
                <w:szCs w:val="20"/>
              </w:rPr>
              <w:t xml:space="preserve">ABD’de 1994-1996 yılları arası Gıda Alımları Anketi (CSFII) mikro verileri kullanılarak sigara tüketimi sıfır gözlemler ve cinsiyet farklılıkları göz önünde bulundurularak Cragg ve Heckman Modelleri ile tahmin edilmiştir. </w:t>
            </w:r>
          </w:p>
        </w:tc>
        <w:tc>
          <w:tcPr>
            <w:tcW w:w="1855" w:type="pct"/>
            <w:tcBorders>
              <w:top w:val="nil"/>
              <w:left w:val="nil"/>
              <w:bottom w:val="single" w:sz="8" w:space="0" w:color="000000"/>
              <w:right w:val="single" w:sz="8" w:space="0" w:color="000000"/>
            </w:tcBorders>
            <w:shd w:val="clear" w:color="auto" w:fill="auto"/>
            <w:vAlign w:val="center"/>
            <w:hideMark/>
          </w:tcPr>
          <w:p w:rsidR="006B13D1" w:rsidRPr="007F385C" w:rsidRDefault="006B13D1" w:rsidP="006B13D1">
            <w:pPr>
              <w:spacing w:line="240" w:lineRule="auto"/>
              <w:ind w:firstLine="0"/>
              <w:rPr>
                <w:color w:val="000000"/>
                <w:sz w:val="20"/>
                <w:szCs w:val="20"/>
              </w:rPr>
            </w:pPr>
            <w:r w:rsidRPr="007F385C">
              <w:rPr>
                <w:color w:val="000000"/>
                <w:sz w:val="20"/>
                <w:szCs w:val="20"/>
              </w:rPr>
              <w:t>Ekonometrik tahmin sonucunda sigara tüketiminde gelirin bir rolü olmadığı, yaşlı bireylerin sigara tüketiminin düşük ancak sigara tüketmeye bağlı olarak, gençlerden daha fazla sigara tükettiği sonucuna varılmıştır. Ayrıca eğitim seviyesi ile sigara tüketimi arasında ters yönlü bir ilişki saptanmıştır.</w:t>
            </w:r>
          </w:p>
        </w:tc>
      </w:tr>
      <w:tr w:rsidR="006B13D1" w:rsidRPr="007F385C" w:rsidTr="007F385C">
        <w:trPr>
          <w:trHeight w:val="2055"/>
        </w:trPr>
        <w:tc>
          <w:tcPr>
            <w:tcW w:w="1289" w:type="pct"/>
            <w:tcBorders>
              <w:top w:val="nil"/>
              <w:left w:val="single" w:sz="8" w:space="0" w:color="000000"/>
              <w:bottom w:val="single" w:sz="8" w:space="0" w:color="000000"/>
              <w:right w:val="single" w:sz="8" w:space="0" w:color="000000"/>
            </w:tcBorders>
            <w:shd w:val="clear" w:color="auto" w:fill="auto"/>
            <w:vAlign w:val="center"/>
            <w:hideMark/>
          </w:tcPr>
          <w:p w:rsidR="006B13D1" w:rsidRPr="007F385C" w:rsidRDefault="006B13D1" w:rsidP="006B13D1">
            <w:pPr>
              <w:spacing w:line="240" w:lineRule="auto"/>
              <w:ind w:firstLine="0"/>
              <w:jc w:val="left"/>
              <w:rPr>
                <w:b/>
                <w:bCs/>
                <w:color w:val="000000"/>
                <w:sz w:val="20"/>
                <w:szCs w:val="20"/>
              </w:rPr>
            </w:pPr>
            <w:r w:rsidRPr="007F385C">
              <w:rPr>
                <w:b/>
                <w:bCs/>
                <w:color w:val="000000"/>
                <w:sz w:val="20"/>
                <w:szCs w:val="20"/>
              </w:rPr>
              <w:t>Wang vd. (2006)</w:t>
            </w:r>
          </w:p>
        </w:tc>
        <w:tc>
          <w:tcPr>
            <w:tcW w:w="1856" w:type="pct"/>
            <w:tcBorders>
              <w:top w:val="nil"/>
              <w:left w:val="nil"/>
              <w:bottom w:val="single" w:sz="8" w:space="0" w:color="000000"/>
              <w:right w:val="single" w:sz="8" w:space="0" w:color="000000"/>
            </w:tcBorders>
            <w:shd w:val="clear" w:color="auto" w:fill="auto"/>
            <w:vAlign w:val="center"/>
            <w:hideMark/>
          </w:tcPr>
          <w:p w:rsidR="006B13D1" w:rsidRPr="007F385C" w:rsidRDefault="006B13D1" w:rsidP="006B13D1">
            <w:pPr>
              <w:spacing w:line="240" w:lineRule="auto"/>
              <w:ind w:firstLine="0"/>
              <w:rPr>
                <w:color w:val="000000"/>
                <w:sz w:val="20"/>
                <w:szCs w:val="20"/>
              </w:rPr>
            </w:pPr>
            <w:r w:rsidRPr="007F385C">
              <w:rPr>
                <w:color w:val="000000"/>
                <w:sz w:val="20"/>
                <w:szCs w:val="20"/>
              </w:rPr>
              <w:t>2002 yılı Çin Kırsal Hanehalkı Anketi verileriyle Çin’de sigara harcamaları ile diğer harcama kategorileri arasındaki ilişkiler; hanehalkının sosyoekonomik ve demografik özellikleri dikkate alınarak Logit Model ile analiz edilmiştir.</w:t>
            </w:r>
          </w:p>
        </w:tc>
        <w:tc>
          <w:tcPr>
            <w:tcW w:w="1855" w:type="pct"/>
            <w:tcBorders>
              <w:top w:val="nil"/>
              <w:left w:val="nil"/>
              <w:bottom w:val="single" w:sz="8" w:space="0" w:color="000000"/>
              <w:right w:val="single" w:sz="8" w:space="0" w:color="000000"/>
            </w:tcBorders>
            <w:shd w:val="clear" w:color="auto" w:fill="auto"/>
            <w:vAlign w:val="center"/>
            <w:hideMark/>
          </w:tcPr>
          <w:p w:rsidR="006B13D1" w:rsidRPr="007F385C" w:rsidRDefault="006B13D1" w:rsidP="006B13D1">
            <w:pPr>
              <w:spacing w:line="240" w:lineRule="auto"/>
              <w:ind w:firstLine="0"/>
              <w:rPr>
                <w:color w:val="000000"/>
                <w:sz w:val="20"/>
                <w:szCs w:val="20"/>
              </w:rPr>
            </w:pPr>
            <w:r w:rsidRPr="007F385C">
              <w:rPr>
                <w:color w:val="000000"/>
                <w:sz w:val="20"/>
                <w:szCs w:val="20"/>
              </w:rPr>
              <w:t>Analiz sonuçlarına göre sigara harcamaları; eğitim, sağlık, gıda, tarım, tasarruf ve kira harcamaları ile ters yönlü sosyal aktivite, giyim, taşımacılık, alkol ve eğlence harcamaları ile doğru yönlü bir ilişkiye sahiptir. Sigara tüketenler ayrıca alkol için daha fazla harcama eğilimindedir, bu nedenle bağımlılık yaratan maddelerin harcamalar üzerindeki etkisinin temel ihtiyaçlar üzerindeki etkisini artırdığı gözlemlenmiştir.</w:t>
            </w:r>
          </w:p>
        </w:tc>
      </w:tr>
      <w:tr w:rsidR="006B13D1" w:rsidRPr="007F385C" w:rsidTr="007F385C">
        <w:trPr>
          <w:trHeight w:val="1800"/>
        </w:trPr>
        <w:tc>
          <w:tcPr>
            <w:tcW w:w="1289" w:type="pct"/>
            <w:tcBorders>
              <w:top w:val="nil"/>
              <w:left w:val="single" w:sz="8" w:space="0" w:color="000000"/>
              <w:bottom w:val="single" w:sz="8" w:space="0" w:color="000000"/>
              <w:right w:val="single" w:sz="8" w:space="0" w:color="000000"/>
            </w:tcBorders>
            <w:shd w:val="clear" w:color="auto" w:fill="auto"/>
            <w:vAlign w:val="center"/>
            <w:hideMark/>
          </w:tcPr>
          <w:p w:rsidR="006B13D1" w:rsidRPr="007F385C" w:rsidRDefault="006B13D1" w:rsidP="006B13D1">
            <w:pPr>
              <w:spacing w:line="240" w:lineRule="auto"/>
              <w:ind w:firstLine="0"/>
              <w:jc w:val="left"/>
              <w:rPr>
                <w:b/>
                <w:bCs/>
                <w:color w:val="000000"/>
                <w:sz w:val="20"/>
                <w:szCs w:val="20"/>
              </w:rPr>
            </w:pPr>
            <w:r w:rsidRPr="007F385C">
              <w:rPr>
                <w:b/>
                <w:bCs/>
                <w:color w:val="000000"/>
                <w:sz w:val="20"/>
                <w:szCs w:val="20"/>
              </w:rPr>
              <w:t>Alam vd. (2008)</w:t>
            </w:r>
          </w:p>
        </w:tc>
        <w:tc>
          <w:tcPr>
            <w:tcW w:w="1856" w:type="pct"/>
            <w:tcBorders>
              <w:top w:val="nil"/>
              <w:left w:val="nil"/>
              <w:bottom w:val="single" w:sz="8" w:space="0" w:color="000000"/>
              <w:right w:val="single" w:sz="8" w:space="0" w:color="000000"/>
            </w:tcBorders>
            <w:shd w:val="clear" w:color="auto" w:fill="auto"/>
            <w:vAlign w:val="center"/>
            <w:hideMark/>
          </w:tcPr>
          <w:p w:rsidR="006B13D1" w:rsidRPr="007F385C" w:rsidRDefault="006B13D1" w:rsidP="006B13D1">
            <w:pPr>
              <w:spacing w:line="240" w:lineRule="auto"/>
              <w:ind w:firstLine="0"/>
              <w:rPr>
                <w:color w:val="000000"/>
                <w:sz w:val="20"/>
                <w:szCs w:val="20"/>
              </w:rPr>
            </w:pPr>
            <w:r w:rsidRPr="007F385C">
              <w:rPr>
                <w:color w:val="000000"/>
                <w:sz w:val="20"/>
                <w:szCs w:val="20"/>
              </w:rPr>
              <w:t>2004-2005 yıları arasında Pakistan’daki sigara tüketiminin sosyo-ekonomik ve demografik belirleyicileri çok değişkenli lojistik regresyon analizi kullanılarak tahmin edilmiştir.</w:t>
            </w:r>
          </w:p>
        </w:tc>
        <w:tc>
          <w:tcPr>
            <w:tcW w:w="1855" w:type="pct"/>
            <w:tcBorders>
              <w:top w:val="nil"/>
              <w:left w:val="nil"/>
              <w:bottom w:val="single" w:sz="8" w:space="0" w:color="000000"/>
              <w:right w:val="single" w:sz="8" w:space="0" w:color="000000"/>
            </w:tcBorders>
            <w:shd w:val="clear" w:color="auto" w:fill="auto"/>
            <w:vAlign w:val="center"/>
            <w:hideMark/>
          </w:tcPr>
          <w:p w:rsidR="006B13D1" w:rsidRPr="007F385C" w:rsidRDefault="006B13D1" w:rsidP="006B13D1">
            <w:pPr>
              <w:spacing w:line="240" w:lineRule="auto"/>
              <w:ind w:firstLine="0"/>
              <w:rPr>
                <w:color w:val="000000"/>
                <w:sz w:val="20"/>
                <w:szCs w:val="20"/>
              </w:rPr>
            </w:pPr>
            <w:r w:rsidRPr="007F385C">
              <w:rPr>
                <w:color w:val="000000"/>
                <w:sz w:val="20"/>
                <w:szCs w:val="20"/>
              </w:rPr>
              <w:t>Analiz sonucunda sigara tüketiminin; kırsal yerleşim yeri, cinsiyetin erkek olması ve düşük eğitim düzeyi ile arasında doğru yönlü bir ilişki olduğu gözlemlenmiştir.</w:t>
            </w:r>
          </w:p>
        </w:tc>
      </w:tr>
      <w:tr w:rsidR="008A54F3" w:rsidRPr="007F385C" w:rsidTr="00B037C6">
        <w:trPr>
          <w:trHeight w:val="1256"/>
        </w:trPr>
        <w:tc>
          <w:tcPr>
            <w:tcW w:w="1289" w:type="pct"/>
            <w:tcBorders>
              <w:top w:val="nil"/>
              <w:left w:val="single" w:sz="8" w:space="0" w:color="000000"/>
              <w:bottom w:val="single" w:sz="8" w:space="0" w:color="000000"/>
              <w:right w:val="single" w:sz="8" w:space="0" w:color="000000"/>
            </w:tcBorders>
            <w:shd w:val="clear" w:color="auto" w:fill="auto"/>
            <w:vAlign w:val="center"/>
            <w:hideMark/>
          </w:tcPr>
          <w:p w:rsidR="008A54F3" w:rsidRPr="007F385C" w:rsidRDefault="008A54F3" w:rsidP="008A54F3">
            <w:pPr>
              <w:spacing w:line="240" w:lineRule="auto"/>
              <w:ind w:firstLine="0"/>
              <w:jc w:val="left"/>
              <w:rPr>
                <w:b/>
                <w:bCs/>
                <w:color w:val="000000"/>
                <w:sz w:val="20"/>
                <w:szCs w:val="20"/>
              </w:rPr>
            </w:pPr>
            <w:r w:rsidRPr="007F385C">
              <w:rPr>
                <w:b/>
                <w:bCs/>
                <w:color w:val="000000"/>
                <w:sz w:val="20"/>
                <w:szCs w:val="20"/>
              </w:rPr>
              <w:t>Aristei ve Pieroni (2008)</w:t>
            </w:r>
          </w:p>
        </w:tc>
        <w:tc>
          <w:tcPr>
            <w:tcW w:w="1856" w:type="pct"/>
            <w:tcBorders>
              <w:top w:val="nil"/>
              <w:left w:val="nil"/>
              <w:bottom w:val="single" w:sz="8" w:space="0" w:color="000000"/>
              <w:right w:val="single" w:sz="8" w:space="0" w:color="000000"/>
            </w:tcBorders>
            <w:shd w:val="clear" w:color="auto" w:fill="auto"/>
            <w:vAlign w:val="center"/>
            <w:hideMark/>
          </w:tcPr>
          <w:p w:rsidR="008A54F3" w:rsidRPr="007F385C" w:rsidRDefault="008A54F3" w:rsidP="008A54F3">
            <w:pPr>
              <w:spacing w:line="240" w:lineRule="auto"/>
              <w:ind w:firstLine="0"/>
              <w:rPr>
                <w:color w:val="000000"/>
                <w:sz w:val="20"/>
                <w:szCs w:val="20"/>
              </w:rPr>
            </w:pPr>
            <w:r w:rsidRPr="007F385C">
              <w:rPr>
                <w:color w:val="000000"/>
                <w:sz w:val="20"/>
                <w:szCs w:val="20"/>
              </w:rPr>
              <w:t>İtalya’daki 2002 yılı Hanehalkı Mikro Veri Seti kullanılarak tütün harcamalarının belirleyicileri Box-Cox Çift Eşik Modeli ile tahmin edilmiştir.</w:t>
            </w:r>
          </w:p>
        </w:tc>
        <w:tc>
          <w:tcPr>
            <w:tcW w:w="1855" w:type="pct"/>
            <w:tcBorders>
              <w:top w:val="nil"/>
              <w:left w:val="nil"/>
              <w:bottom w:val="single" w:sz="8" w:space="0" w:color="000000"/>
              <w:right w:val="single" w:sz="8" w:space="0" w:color="000000"/>
            </w:tcBorders>
            <w:shd w:val="clear" w:color="auto" w:fill="auto"/>
            <w:vAlign w:val="center"/>
            <w:hideMark/>
          </w:tcPr>
          <w:p w:rsidR="008A54F3" w:rsidRPr="007F385C" w:rsidRDefault="00B037C6" w:rsidP="00B037C6">
            <w:pPr>
              <w:spacing w:line="240" w:lineRule="auto"/>
              <w:ind w:firstLine="0"/>
              <w:rPr>
                <w:color w:val="000000"/>
                <w:sz w:val="20"/>
                <w:szCs w:val="20"/>
              </w:rPr>
            </w:pPr>
            <w:r>
              <w:rPr>
                <w:color w:val="000000"/>
                <w:sz w:val="20"/>
                <w:szCs w:val="20"/>
              </w:rPr>
              <w:t>Model</w:t>
            </w:r>
            <w:r w:rsidR="008A54F3" w:rsidRPr="007F385C">
              <w:rPr>
                <w:color w:val="000000"/>
                <w:sz w:val="20"/>
                <w:szCs w:val="20"/>
              </w:rPr>
              <w:t xml:space="preserve"> tahmin sonuçlarının bireylerin tüketim kararlarının gelir ve sosyo-demogra</w:t>
            </w:r>
            <w:r>
              <w:rPr>
                <w:color w:val="000000"/>
                <w:sz w:val="20"/>
                <w:szCs w:val="20"/>
              </w:rPr>
              <w:t xml:space="preserve">fik özelliklerden önemli ölçüde </w:t>
            </w:r>
            <w:r w:rsidR="008A54F3" w:rsidRPr="007F385C">
              <w:rPr>
                <w:color w:val="000000"/>
                <w:sz w:val="20"/>
                <w:szCs w:val="20"/>
              </w:rPr>
              <w:t>etkilendiği</w:t>
            </w:r>
            <w:r>
              <w:rPr>
                <w:color w:val="000000"/>
                <w:sz w:val="20"/>
                <w:szCs w:val="20"/>
              </w:rPr>
              <w:t xml:space="preserve"> ve çalışmanın sonucunda </w:t>
            </w:r>
            <w:r w:rsidR="008A54F3" w:rsidRPr="007F385C">
              <w:rPr>
                <w:color w:val="000000"/>
                <w:sz w:val="20"/>
                <w:szCs w:val="20"/>
              </w:rPr>
              <w:t xml:space="preserve">özellikle, gelirin tütün harcamalarını olumlu yönde etkilediği belirlenmiştir. </w:t>
            </w:r>
          </w:p>
        </w:tc>
      </w:tr>
      <w:tr w:rsidR="008A54F3" w:rsidRPr="007F385C" w:rsidTr="007F385C">
        <w:trPr>
          <w:trHeight w:val="1545"/>
        </w:trPr>
        <w:tc>
          <w:tcPr>
            <w:tcW w:w="1289" w:type="pct"/>
            <w:tcBorders>
              <w:top w:val="nil"/>
              <w:left w:val="single" w:sz="8" w:space="0" w:color="000000"/>
              <w:bottom w:val="single" w:sz="8" w:space="0" w:color="000000"/>
              <w:right w:val="single" w:sz="8" w:space="0" w:color="000000"/>
            </w:tcBorders>
            <w:shd w:val="clear" w:color="auto" w:fill="auto"/>
            <w:vAlign w:val="center"/>
            <w:hideMark/>
          </w:tcPr>
          <w:p w:rsidR="008A54F3" w:rsidRPr="007F385C" w:rsidRDefault="008A54F3" w:rsidP="008A54F3">
            <w:pPr>
              <w:spacing w:line="240" w:lineRule="auto"/>
              <w:ind w:firstLine="0"/>
              <w:jc w:val="left"/>
              <w:rPr>
                <w:b/>
                <w:bCs/>
                <w:color w:val="000000"/>
                <w:sz w:val="20"/>
                <w:szCs w:val="20"/>
              </w:rPr>
            </w:pPr>
            <w:r w:rsidRPr="007F385C">
              <w:rPr>
                <w:b/>
                <w:bCs/>
                <w:color w:val="000000"/>
                <w:sz w:val="20"/>
                <w:szCs w:val="20"/>
              </w:rPr>
              <w:t>Ground ve Koch (2008)</w:t>
            </w:r>
          </w:p>
        </w:tc>
        <w:tc>
          <w:tcPr>
            <w:tcW w:w="1856" w:type="pct"/>
            <w:tcBorders>
              <w:top w:val="nil"/>
              <w:left w:val="nil"/>
              <w:bottom w:val="single" w:sz="8" w:space="0" w:color="000000"/>
              <w:right w:val="single" w:sz="8" w:space="0" w:color="000000"/>
            </w:tcBorders>
            <w:shd w:val="clear" w:color="auto" w:fill="auto"/>
            <w:vAlign w:val="center"/>
            <w:hideMark/>
          </w:tcPr>
          <w:p w:rsidR="008A54F3" w:rsidRPr="007F385C" w:rsidRDefault="008A54F3" w:rsidP="008A54F3">
            <w:pPr>
              <w:spacing w:line="240" w:lineRule="auto"/>
              <w:ind w:firstLine="0"/>
              <w:rPr>
                <w:color w:val="000000"/>
                <w:sz w:val="20"/>
                <w:szCs w:val="20"/>
              </w:rPr>
            </w:pPr>
            <w:r w:rsidRPr="007F385C">
              <w:rPr>
                <w:color w:val="000000"/>
                <w:sz w:val="20"/>
                <w:szCs w:val="20"/>
              </w:rPr>
              <w:t xml:space="preserve">2000 yılı Güney Afrika Gelir ve Harcama Anketi verileri kullanılarak Güney Afrikalı hanelerin sigara ve alkol harcama davranışları Probit, Tobit ve Cragg tarafından geliştirilen Tobit Modeli ile analiz edilmiştir. </w:t>
            </w:r>
          </w:p>
        </w:tc>
        <w:tc>
          <w:tcPr>
            <w:tcW w:w="1855" w:type="pct"/>
            <w:tcBorders>
              <w:top w:val="nil"/>
              <w:left w:val="nil"/>
              <w:bottom w:val="single" w:sz="8" w:space="0" w:color="000000"/>
              <w:right w:val="single" w:sz="8" w:space="0" w:color="000000"/>
            </w:tcBorders>
            <w:shd w:val="clear" w:color="auto" w:fill="auto"/>
            <w:vAlign w:val="center"/>
            <w:hideMark/>
          </w:tcPr>
          <w:p w:rsidR="008A54F3" w:rsidRPr="007F385C" w:rsidRDefault="008A54F3" w:rsidP="008A54F3">
            <w:pPr>
              <w:spacing w:line="240" w:lineRule="auto"/>
              <w:ind w:firstLine="0"/>
              <w:rPr>
                <w:color w:val="000000"/>
                <w:sz w:val="20"/>
                <w:szCs w:val="20"/>
              </w:rPr>
            </w:pPr>
            <w:r w:rsidRPr="007F385C">
              <w:rPr>
                <w:color w:val="000000"/>
                <w:sz w:val="20"/>
                <w:szCs w:val="20"/>
              </w:rPr>
              <w:t>Hanehalkı harcamaların tütün tüketimine katılım olasılığını azalttığını, ancak pozitif alkol tüketimini artırdığı çalışma sonunda gözlemlenmiştir.</w:t>
            </w:r>
          </w:p>
        </w:tc>
      </w:tr>
      <w:tr w:rsidR="00530DAE" w:rsidRPr="007F385C" w:rsidTr="007F385C">
        <w:trPr>
          <w:trHeight w:val="2055"/>
        </w:trPr>
        <w:tc>
          <w:tcPr>
            <w:tcW w:w="1289"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530DAE" w:rsidRPr="007F385C" w:rsidRDefault="00530DAE" w:rsidP="00530DAE">
            <w:pPr>
              <w:spacing w:line="240" w:lineRule="auto"/>
              <w:ind w:firstLine="0"/>
              <w:jc w:val="left"/>
              <w:rPr>
                <w:b/>
                <w:bCs/>
                <w:color w:val="000000"/>
                <w:sz w:val="20"/>
                <w:szCs w:val="20"/>
              </w:rPr>
            </w:pPr>
            <w:r w:rsidRPr="007F385C">
              <w:rPr>
                <w:b/>
                <w:bCs/>
                <w:color w:val="000000"/>
                <w:sz w:val="20"/>
                <w:szCs w:val="20"/>
              </w:rPr>
              <w:lastRenderedPageBreak/>
              <w:t>Bilgiç vd. (2010)</w:t>
            </w:r>
          </w:p>
        </w:tc>
        <w:tc>
          <w:tcPr>
            <w:tcW w:w="1856" w:type="pct"/>
            <w:tcBorders>
              <w:top w:val="single" w:sz="8" w:space="0" w:color="000000"/>
              <w:left w:val="nil"/>
              <w:bottom w:val="single" w:sz="8" w:space="0" w:color="000000"/>
              <w:right w:val="single" w:sz="8" w:space="0" w:color="000000"/>
            </w:tcBorders>
            <w:shd w:val="clear" w:color="auto" w:fill="auto"/>
            <w:vAlign w:val="center"/>
            <w:hideMark/>
          </w:tcPr>
          <w:p w:rsidR="00530DAE" w:rsidRPr="007F385C" w:rsidRDefault="00530DAE" w:rsidP="00530DAE">
            <w:pPr>
              <w:spacing w:line="240" w:lineRule="auto"/>
              <w:ind w:firstLine="0"/>
              <w:rPr>
                <w:color w:val="000000"/>
                <w:sz w:val="20"/>
                <w:szCs w:val="20"/>
              </w:rPr>
            </w:pPr>
            <w:r w:rsidRPr="007F385C">
              <w:rPr>
                <w:color w:val="000000"/>
                <w:sz w:val="20"/>
                <w:szCs w:val="20"/>
              </w:rPr>
              <w:t>Türkiye’deki 2003 hanehalkı mikro veri setleri kullanılarak sigara tüketimi; sigara içmeyenleri ya da sigara satın almayan hanehalklarınını da hesaba katarak Sıfır Şişirilmiş Negatif Binom Modeli kullanılarak incelenmiştir.</w:t>
            </w:r>
          </w:p>
        </w:tc>
        <w:tc>
          <w:tcPr>
            <w:tcW w:w="1855" w:type="pct"/>
            <w:tcBorders>
              <w:top w:val="single" w:sz="8" w:space="0" w:color="000000"/>
              <w:left w:val="nil"/>
              <w:bottom w:val="single" w:sz="8" w:space="0" w:color="000000"/>
              <w:right w:val="single" w:sz="8" w:space="0" w:color="000000"/>
            </w:tcBorders>
            <w:shd w:val="clear" w:color="auto" w:fill="auto"/>
            <w:vAlign w:val="center"/>
            <w:hideMark/>
          </w:tcPr>
          <w:p w:rsidR="00530DAE" w:rsidRPr="007F385C" w:rsidRDefault="00530DAE" w:rsidP="00530DAE">
            <w:pPr>
              <w:spacing w:line="240" w:lineRule="auto"/>
              <w:ind w:firstLine="0"/>
              <w:rPr>
                <w:color w:val="000000"/>
                <w:sz w:val="20"/>
                <w:szCs w:val="20"/>
              </w:rPr>
            </w:pPr>
            <w:r w:rsidRPr="007F385C">
              <w:rPr>
                <w:color w:val="000000"/>
                <w:sz w:val="20"/>
                <w:szCs w:val="20"/>
              </w:rPr>
              <w:t>Yapılan ekonometrik tahminler neticesinde devletin sigara tüketimini azaltması için hanehalkının özelliklerini belirleyip buna göre etkin bir politika geliştirilmelidir. Özellikle sağlık harcamaları payı, gelir ve sigara fiyatı esnekliklerinin sigara tüketiminin azaltılmasında önemli olduğu sonucuna ulaşılmıştır.</w:t>
            </w:r>
          </w:p>
        </w:tc>
      </w:tr>
      <w:tr w:rsidR="00530DAE" w:rsidRPr="007F385C" w:rsidTr="007F385C">
        <w:trPr>
          <w:trHeight w:val="2310"/>
        </w:trPr>
        <w:tc>
          <w:tcPr>
            <w:tcW w:w="1289" w:type="pct"/>
            <w:tcBorders>
              <w:top w:val="nil"/>
              <w:left w:val="single" w:sz="8" w:space="0" w:color="000000"/>
              <w:bottom w:val="single" w:sz="8" w:space="0" w:color="000000"/>
              <w:right w:val="single" w:sz="8" w:space="0" w:color="000000"/>
            </w:tcBorders>
            <w:shd w:val="clear" w:color="auto" w:fill="auto"/>
            <w:vAlign w:val="center"/>
            <w:hideMark/>
          </w:tcPr>
          <w:p w:rsidR="00530DAE" w:rsidRPr="007F385C" w:rsidRDefault="00530DAE" w:rsidP="00530DAE">
            <w:pPr>
              <w:spacing w:line="240" w:lineRule="auto"/>
              <w:ind w:firstLine="0"/>
              <w:jc w:val="left"/>
              <w:rPr>
                <w:b/>
                <w:bCs/>
                <w:color w:val="000000"/>
                <w:sz w:val="20"/>
                <w:szCs w:val="20"/>
              </w:rPr>
            </w:pPr>
            <w:r w:rsidRPr="007F385C">
              <w:rPr>
                <w:b/>
                <w:bCs/>
                <w:color w:val="000000"/>
                <w:sz w:val="20"/>
                <w:szCs w:val="20"/>
              </w:rPr>
              <w:t>John vd. (2012)</w:t>
            </w:r>
          </w:p>
        </w:tc>
        <w:tc>
          <w:tcPr>
            <w:tcW w:w="1856" w:type="pct"/>
            <w:tcBorders>
              <w:top w:val="nil"/>
              <w:left w:val="nil"/>
              <w:bottom w:val="single" w:sz="8" w:space="0" w:color="000000"/>
              <w:right w:val="single" w:sz="8" w:space="0" w:color="000000"/>
            </w:tcBorders>
            <w:shd w:val="clear" w:color="auto" w:fill="auto"/>
            <w:vAlign w:val="center"/>
            <w:hideMark/>
          </w:tcPr>
          <w:p w:rsidR="00530DAE" w:rsidRPr="007F385C" w:rsidRDefault="00530DAE" w:rsidP="00530DAE">
            <w:pPr>
              <w:spacing w:line="240" w:lineRule="auto"/>
              <w:ind w:firstLine="0"/>
              <w:rPr>
                <w:color w:val="000000"/>
                <w:sz w:val="20"/>
                <w:szCs w:val="20"/>
              </w:rPr>
            </w:pPr>
            <w:r w:rsidRPr="007F385C">
              <w:rPr>
                <w:color w:val="000000"/>
                <w:sz w:val="20"/>
                <w:szCs w:val="20"/>
              </w:rPr>
              <w:t>2004 Kamboçya Sosyo-Ekonomik Değerlendirme Anket verileri ile Kamboçya’da hanehalkının sosyoekonomik ve demografik özellikleri dikkate alınarak sigara tüketiminin belirleyicileri lojistik regresyon modeli kullanılarak tahmin edilmiştir.</w:t>
            </w:r>
          </w:p>
        </w:tc>
        <w:tc>
          <w:tcPr>
            <w:tcW w:w="1855" w:type="pct"/>
            <w:tcBorders>
              <w:top w:val="nil"/>
              <w:left w:val="nil"/>
              <w:bottom w:val="single" w:sz="8" w:space="0" w:color="000000"/>
              <w:right w:val="single" w:sz="8" w:space="0" w:color="000000"/>
            </w:tcBorders>
            <w:shd w:val="clear" w:color="auto" w:fill="auto"/>
            <w:vAlign w:val="center"/>
            <w:hideMark/>
          </w:tcPr>
          <w:p w:rsidR="00530DAE" w:rsidRPr="007F385C" w:rsidRDefault="00530DAE" w:rsidP="00530DAE">
            <w:pPr>
              <w:spacing w:line="240" w:lineRule="auto"/>
              <w:ind w:firstLine="0"/>
              <w:rPr>
                <w:color w:val="000000"/>
                <w:sz w:val="20"/>
                <w:szCs w:val="20"/>
              </w:rPr>
            </w:pPr>
            <w:r w:rsidRPr="007F385C">
              <w:rPr>
                <w:color w:val="000000"/>
                <w:sz w:val="20"/>
                <w:szCs w:val="20"/>
              </w:rPr>
              <w:t xml:space="preserve">Analiz neticesinde çalışmada; kentsel alanda yaşayan erkekler, evli bireyler, eğitim seviyesinin düşük olması, yaşın 1’er yıl artması ve bir bireyin kendi sağlık durumunu “ortalama” olarak algılaması (sağlıklarını “iyi” olarak algılayanlara göre) ile sigara tüketimi arasında doğru yönlü bir ilişkinin gözlemlendiği sonucuna ulaşılmıştır. </w:t>
            </w:r>
          </w:p>
        </w:tc>
      </w:tr>
      <w:tr w:rsidR="00530DAE" w:rsidRPr="007F385C" w:rsidTr="00337D09">
        <w:trPr>
          <w:trHeight w:val="1663"/>
        </w:trPr>
        <w:tc>
          <w:tcPr>
            <w:tcW w:w="1289" w:type="pct"/>
            <w:tcBorders>
              <w:top w:val="nil"/>
              <w:left w:val="single" w:sz="8" w:space="0" w:color="000000"/>
              <w:bottom w:val="single" w:sz="8" w:space="0" w:color="000000"/>
              <w:right w:val="single" w:sz="8" w:space="0" w:color="000000"/>
            </w:tcBorders>
            <w:shd w:val="clear" w:color="auto" w:fill="auto"/>
            <w:vAlign w:val="center"/>
            <w:hideMark/>
          </w:tcPr>
          <w:p w:rsidR="00530DAE" w:rsidRPr="007F385C" w:rsidRDefault="00530DAE" w:rsidP="00530DAE">
            <w:pPr>
              <w:spacing w:line="240" w:lineRule="auto"/>
              <w:ind w:firstLine="0"/>
              <w:jc w:val="left"/>
              <w:rPr>
                <w:b/>
                <w:bCs/>
                <w:color w:val="000000"/>
                <w:sz w:val="20"/>
                <w:szCs w:val="20"/>
              </w:rPr>
            </w:pPr>
            <w:r w:rsidRPr="007F385C">
              <w:rPr>
                <w:b/>
                <w:bCs/>
                <w:color w:val="000000"/>
                <w:sz w:val="20"/>
                <w:szCs w:val="20"/>
              </w:rPr>
              <w:t>Vazquez-Segovia vd. (2012)</w:t>
            </w:r>
          </w:p>
        </w:tc>
        <w:tc>
          <w:tcPr>
            <w:tcW w:w="1856" w:type="pct"/>
            <w:tcBorders>
              <w:top w:val="nil"/>
              <w:left w:val="nil"/>
              <w:bottom w:val="single" w:sz="8" w:space="0" w:color="000000"/>
              <w:right w:val="single" w:sz="8" w:space="0" w:color="000000"/>
            </w:tcBorders>
            <w:shd w:val="clear" w:color="auto" w:fill="auto"/>
            <w:vAlign w:val="center"/>
            <w:hideMark/>
          </w:tcPr>
          <w:p w:rsidR="00530DAE" w:rsidRPr="007F385C" w:rsidRDefault="00530DAE" w:rsidP="00530DAE">
            <w:pPr>
              <w:spacing w:line="240" w:lineRule="auto"/>
              <w:ind w:firstLine="0"/>
              <w:rPr>
                <w:color w:val="000000"/>
                <w:sz w:val="20"/>
                <w:szCs w:val="20"/>
              </w:rPr>
            </w:pPr>
            <w:r w:rsidRPr="007F385C">
              <w:rPr>
                <w:color w:val="000000"/>
                <w:sz w:val="20"/>
                <w:szCs w:val="20"/>
              </w:rPr>
              <w:t>Meksika’da hanehalkı sigara tüketiminin belirleyicileri 1984-2000 tarihli Ulusal Hanehalkı Gelir ve Harcama Anketi verileri kullanılarak Lojistik Regresyon Modeli ile tahmin edilmiştir.</w:t>
            </w:r>
          </w:p>
        </w:tc>
        <w:tc>
          <w:tcPr>
            <w:tcW w:w="1855" w:type="pct"/>
            <w:tcBorders>
              <w:top w:val="nil"/>
              <w:left w:val="nil"/>
              <w:bottom w:val="single" w:sz="8" w:space="0" w:color="000000"/>
              <w:right w:val="single" w:sz="8" w:space="0" w:color="000000"/>
            </w:tcBorders>
            <w:shd w:val="clear" w:color="auto" w:fill="auto"/>
            <w:vAlign w:val="center"/>
            <w:hideMark/>
          </w:tcPr>
          <w:p w:rsidR="00530DAE" w:rsidRPr="007F385C" w:rsidRDefault="00530DAE" w:rsidP="00530DAE">
            <w:pPr>
              <w:spacing w:line="240" w:lineRule="auto"/>
              <w:ind w:firstLine="0"/>
              <w:rPr>
                <w:color w:val="000000"/>
                <w:sz w:val="20"/>
                <w:szCs w:val="20"/>
              </w:rPr>
            </w:pPr>
            <w:r w:rsidRPr="007F385C">
              <w:rPr>
                <w:color w:val="000000"/>
                <w:sz w:val="20"/>
                <w:szCs w:val="20"/>
              </w:rPr>
              <w:t>Gelir düzeyi yüksek hanelerin, gelir düzeyi düşük hanelerden daha fazla sigara tükettiği ve buna bağlı olarak, en düşük gelire sahip olan hanelerin, sigara tüketimine büyük oranda gelir ayırdığı tespit edilmiştir.</w:t>
            </w:r>
          </w:p>
        </w:tc>
      </w:tr>
      <w:tr w:rsidR="00530DAE" w:rsidRPr="007F385C" w:rsidTr="007F385C">
        <w:trPr>
          <w:trHeight w:val="2055"/>
        </w:trPr>
        <w:tc>
          <w:tcPr>
            <w:tcW w:w="1289" w:type="pct"/>
            <w:tcBorders>
              <w:top w:val="nil"/>
              <w:left w:val="single" w:sz="8" w:space="0" w:color="000000"/>
              <w:bottom w:val="single" w:sz="8" w:space="0" w:color="000000"/>
              <w:right w:val="single" w:sz="8" w:space="0" w:color="000000"/>
            </w:tcBorders>
            <w:shd w:val="clear" w:color="auto" w:fill="auto"/>
            <w:vAlign w:val="center"/>
            <w:hideMark/>
          </w:tcPr>
          <w:p w:rsidR="00530DAE" w:rsidRPr="007F385C" w:rsidRDefault="00530DAE" w:rsidP="00530DAE">
            <w:pPr>
              <w:spacing w:line="240" w:lineRule="auto"/>
              <w:ind w:firstLine="0"/>
              <w:jc w:val="left"/>
              <w:rPr>
                <w:b/>
                <w:bCs/>
                <w:color w:val="000000"/>
                <w:sz w:val="20"/>
                <w:szCs w:val="20"/>
              </w:rPr>
            </w:pPr>
            <w:r w:rsidRPr="007F385C">
              <w:rPr>
                <w:b/>
                <w:bCs/>
                <w:color w:val="000000"/>
                <w:sz w:val="20"/>
                <w:szCs w:val="20"/>
              </w:rPr>
              <w:t>Çamoğlu(2013)</w:t>
            </w:r>
          </w:p>
        </w:tc>
        <w:tc>
          <w:tcPr>
            <w:tcW w:w="1856" w:type="pct"/>
            <w:tcBorders>
              <w:top w:val="nil"/>
              <w:left w:val="nil"/>
              <w:bottom w:val="single" w:sz="8" w:space="0" w:color="000000"/>
              <w:right w:val="single" w:sz="8" w:space="0" w:color="000000"/>
            </w:tcBorders>
            <w:shd w:val="clear" w:color="auto" w:fill="auto"/>
            <w:vAlign w:val="center"/>
            <w:hideMark/>
          </w:tcPr>
          <w:p w:rsidR="00530DAE" w:rsidRPr="007F385C" w:rsidRDefault="00530DAE" w:rsidP="00530DAE">
            <w:pPr>
              <w:spacing w:line="240" w:lineRule="auto"/>
              <w:ind w:firstLine="0"/>
              <w:rPr>
                <w:color w:val="000000"/>
                <w:sz w:val="20"/>
                <w:szCs w:val="20"/>
              </w:rPr>
            </w:pPr>
            <w:r w:rsidRPr="007F385C">
              <w:rPr>
                <w:color w:val="000000"/>
                <w:sz w:val="20"/>
                <w:szCs w:val="20"/>
              </w:rPr>
              <w:t>2011 TÜİK HBA veri Seti kullanılarak hanehalkı sigara tüketimi Heckman İki Aşamalı Talep Modeli ile tahmin edilmiştir.</w:t>
            </w:r>
          </w:p>
        </w:tc>
        <w:tc>
          <w:tcPr>
            <w:tcW w:w="1855" w:type="pct"/>
            <w:tcBorders>
              <w:top w:val="nil"/>
              <w:left w:val="nil"/>
              <w:bottom w:val="single" w:sz="8" w:space="0" w:color="000000"/>
              <w:right w:val="single" w:sz="8" w:space="0" w:color="000000"/>
            </w:tcBorders>
            <w:shd w:val="clear" w:color="auto" w:fill="auto"/>
            <w:vAlign w:val="center"/>
            <w:hideMark/>
          </w:tcPr>
          <w:p w:rsidR="00530DAE" w:rsidRPr="007F385C" w:rsidRDefault="00530DAE" w:rsidP="00530DAE">
            <w:pPr>
              <w:spacing w:line="240" w:lineRule="auto"/>
              <w:ind w:firstLine="0"/>
              <w:rPr>
                <w:color w:val="000000"/>
                <w:sz w:val="20"/>
                <w:szCs w:val="20"/>
              </w:rPr>
            </w:pPr>
            <w:r w:rsidRPr="007F385C">
              <w:rPr>
                <w:color w:val="000000"/>
                <w:sz w:val="20"/>
                <w:szCs w:val="20"/>
              </w:rPr>
              <w:t>Ekonometrik bulgular sonucunda hanehalkına ait sosyo-ekonomik ve demografik değişkenlerdeki farklılığın iki etkisi tespit edilmiştir. Birinci aşama da Probit model ikinci aşamada da Ters Mill Oranı bulunarak sigara tüketip tüketmeme olasılığının etkisi enstrüman değişken olarak belirlenmiştir. Oluşturulan denklemde bireylerin hayatlarını kentte sürdürmesi ve iş yaşamında karşılaştığı zorluklarının tütün tüketiminde etkili olduğu sonucuna varılmıştır.</w:t>
            </w:r>
          </w:p>
        </w:tc>
      </w:tr>
      <w:tr w:rsidR="00530DAE" w:rsidRPr="007F385C" w:rsidTr="007F385C">
        <w:trPr>
          <w:trHeight w:val="3075"/>
        </w:trPr>
        <w:tc>
          <w:tcPr>
            <w:tcW w:w="1289" w:type="pct"/>
            <w:tcBorders>
              <w:top w:val="nil"/>
              <w:left w:val="single" w:sz="8" w:space="0" w:color="000000"/>
              <w:bottom w:val="single" w:sz="8" w:space="0" w:color="000000"/>
              <w:right w:val="single" w:sz="8" w:space="0" w:color="000000"/>
            </w:tcBorders>
            <w:shd w:val="clear" w:color="auto" w:fill="auto"/>
            <w:vAlign w:val="center"/>
            <w:hideMark/>
          </w:tcPr>
          <w:p w:rsidR="00530DAE" w:rsidRPr="007F385C" w:rsidRDefault="00530DAE" w:rsidP="00530DAE">
            <w:pPr>
              <w:spacing w:line="240" w:lineRule="auto"/>
              <w:ind w:firstLine="0"/>
              <w:jc w:val="left"/>
              <w:rPr>
                <w:b/>
                <w:bCs/>
                <w:color w:val="000000"/>
                <w:sz w:val="20"/>
                <w:szCs w:val="20"/>
              </w:rPr>
            </w:pPr>
            <w:r w:rsidRPr="007F385C">
              <w:rPr>
                <w:b/>
                <w:bCs/>
                <w:color w:val="000000"/>
                <w:sz w:val="20"/>
                <w:szCs w:val="20"/>
              </w:rPr>
              <w:t>Gilani ve Leon (2013)</w:t>
            </w:r>
          </w:p>
        </w:tc>
        <w:tc>
          <w:tcPr>
            <w:tcW w:w="1856" w:type="pct"/>
            <w:tcBorders>
              <w:top w:val="nil"/>
              <w:left w:val="nil"/>
              <w:bottom w:val="single" w:sz="8" w:space="0" w:color="000000"/>
              <w:right w:val="single" w:sz="8" w:space="0" w:color="000000"/>
            </w:tcBorders>
            <w:shd w:val="clear" w:color="auto" w:fill="auto"/>
            <w:vAlign w:val="center"/>
            <w:hideMark/>
          </w:tcPr>
          <w:p w:rsidR="00530DAE" w:rsidRPr="007F385C" w:rsidRDefault="00530DAE" w:rsidP="00530DAE">
            <w:pPr>
              <w:spacing w:line="240" w:lineRule="auto"/>
              <w:ind w:firstLine="0"/>
              <w:rPr>
                <w:color w:val="000000"/>
                <w:sz w:val="20"/>
                <w:szCs w:val="20"/>
              </w:rPr>
            </w:pPr>
            <w:r w:rsidRPr="007F385C">
              <w:rPr>
                <w:color w:val="000000"/>
                <w:sz w:val="20"/>
                <w:szCs w:val="20"/>
              </w:rPr>
              <w:t>2012'de Pakistan’daki ülke çapında bir anket verisinden yararlanılarak sosyodemografik değişkenler ve sigara tüketimi arasındaki ilişkiler Çok Değişkenli Regresyon Analizi kullanılarak incelenmiştir.</w:t>
            </w:r>
          </w:p>
        </w:tc>
        <w:tc>
          <w:tcPr>
            <w:tcW w:w="1855" w:type="pct"/>
            <w:tcBorders>
              <w:top w:val="nil"/>
              <w:left w:val="nil"/>
              <w:bottom w:val="single" w:sz="8" w:space="0" w:color="000000"/>
              <w:right w:val="single" w:sz="8" w:space="0" w:color="000000"/>
            </w:tcBorders>
            <w:shd w:val="clear" w:color="auto" w:fill="auto"/>
            <w:vAlign w:val="center"/>
            <w:hideMark/>
          </w:tcPr>
          <w:p w:rsidR="00530DAE" w:rsidRPr="007F385C" w:rsidRDefault="00530DAE" w:rsidP="00530DAE">
            <w:pPr>
              <w:spacing w:line="240" w:lineRule="auto"/>
              <w:ind w:firstLine="0"/>
              <w:rPr>
                <w:color w:val="000000"/>
                <w:sz w:val="20"/>
                <w:szCs w:val="20"/>
              </w:rPr>
            </w:pPr>
            <w:r w:rsidRPr="007F385C">
              <w:rPr>
                <w:color w:val="000000"/>
                <w:sz w:val="20"/>
                <w:szCs w:val="20"/>
              </w:rPr>
              <w:t>Yapılan amprik çalışma neticesinde, hanehalkı geliri düşük olan ve kırsal kesimde yaşayan erkeklerde sigara tüketiminin yüksek olduğu saptanmıştır. Çalışmada gözlemlenen diğer bir neticede; erkeklerde sigara tüketimi ile eğitim seviyesi arasındaki ters yönlü bir ilişki olmasıdır.</w:t>
            </w:r>
          </w:p>
        </w:tc>
      </w:tr>
    </w:tbl>
    <w:p w:rsidR="007F385C" w:rsidRDefault="007F385C" w:rsidP="007F385C">
      <w:pPr>
        <w:rPr>
          <w:shd w:val="clear" w:color="auto" w:fill="FFFFFF"/>
        </w:rPr>
      </w:pPr>
    </w:p>
    <w:p w:rsidR="007F385C" w:rsidRPr="007F385C" w:rsidRDefault="007F385C" w:rsidP="007F385C">
      <w:pPr>
        <w:ind w:firstLine="0"/>
        <w:rPr>
          <w:b/>
          <w:shd w:val="clear" w:color="auto" w:fill="FFFFFF"/>
        </w:rPr>
      </w:pPr>
    </w:p>
    <w:tbl>
      <w:tblPr>
        <w:tblW w:w="4960" w:type="pct"/>
        <w:tblInd w:w="70" w:type="dxa"/>
        <w:tblCellMar>
          <w:left w:w="70" w:type="dxa"/>
          <w:right w:w="70" w:type="dxa"/>
        </w:tblCellMar>
        <w:tblLook w:val="04A0" w:firstRow="1" w:lastRow="0" w:firstColumn="1" w:lastColumn="0" w:noHBand="0" w:noVBand="1"/>
      </w:tblPr>
      <w:tblGrid>
        <w:gridCol w:w="2212"/>
        <w:gridCol w:w="3183"/>
        <w:gridCol w:w="3180"/>
      </w:tblGrid>
      <w:tr w:rsidR="00530DAE" w:rsidRPr="007F385C" w:rsidTr="00337D09">
        <w:trPr>
          <w:trHeight w:val="2565"/>
        </w:trPr>
        <w:tc>
          <w:tcPr>
            <w:tcW w:w="1289"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530DAE" w:rsidRPr="007F385C" w:rsidRDefault="00530DAE" w:rsidP="00530DAE">
            <w:pPr>
              <w:spacing w:line="240" w:lineRule="auto"/>
              <w:ind w:firstLine="0"/>
              <w:jc w:val="left"/>
              <w:rPr>
                <w:b/>
                <w:bCs/>
                <w:color w:val="000000"/>
                <w:sz w:val="20"/>
                <w:szCs w:val="20"/>
              </w:rPr>
            </w:pPr>
            <w:r w:rsidRPr="007F385C">
              <w:rPr>
                <w:b/>
                <w:bCs/>
                <w:color w:val="000000"/>
                <w:sz w:val="20"/>
                <w:szCs w:val="20"/>
              </w:rPr>
              <w:lastRenderedPageBreak/>
              <w:t>Bilgiç ve Yen (2015)</w:t>
            </w:r>
          </w:p>
        </w:tc>
        <w:tc>
          <w:tcPr>
            <w:tcW w:w="1856" w:type="pct"/>
            <w:tcBorders>
              <w:top w:val="single" w:sz="8" w:space="0" w:color="000000"/>
              <w:left w:val="nil"/>
              <w:bottom w:val="single" w:sz="8" w:space="0" w:color="000000"/>
              <w:right w:val="single" w:sz="8" w:space="0" w:color="000000"/>
            </w:tcBorders>
            <w:shd w:val="clear" w:color="auto" w:fill="auto"/>
            <w:vAlign w:val="center"/>
            <w:hideMark/>
          </w:tcPr>
          <w:p w:rsidR="00530DAE" w:rsidRPr="007F385C" w:rsidRDefault="00530DAE" w:rsidP="00530DAE">
            <w:pPr>
              <w:spacing w:line="240" w:lineRule="auto"/>
              <w:ind w:firstLine="0"/>
              <w:rPr>
                <w:color w:val="000000"/>
                <w:sz w:val="20"/>
                <w:szCs w:val="20"/>
              </w:rPr>
            </w:pPr>
            <w:r w:rsidRPr="007F385C">
              <w:rPr>
                <w:color w:val="000000"/>
                <w:sz w:val="20"/>
                <w:szCs w:val="20"/>
              </w:rPr>
              <w:t>Türkiye’de hanehalkının alkol ve sigara tüketimin belirleyicileri 2010 yılı TÜİK Hanehalkı Mikro Veri Seti kullanılarak Örnek Seçim Modeli (Heckman 1979) ile belirlenmiştir.</w:t>
            </w:r>
          </w:p>
        </w:tc>
        <w:tc>
          <w:tcPr>
            <w:tcW w:w="1855" w:type="pct"/>
            <w:tcBorders>
              <w:top w:val="single" w:sz="8" w:space="0" w:color="000000"/>
              <w:left w:val="nil"/>
              <w:bottom w:val="single" w:sz="8" w:space="0" w:color="000000"/>
              <w:right w:val="single" w:sz="8" w:space="0" w:color="000000"/>
            </w:tcBorders>
            <w:shd w:val="clear" w:color="auto" w:fill="auto"/>
            <w:vAlign w:val="center"/>
            <w:hideMark/>
          </w:tcPr>
          <w:p w:rsidR="00530DAE" w:rsidRPr="007F385C" w:rsidRDefault="00530DAE" w:rsidP="00530DAE">
            <w:pPr>
              <w:spacing w:line="240" w:lineRule="auto"/>
              <w:ind w:firstLine="0"/>
              <w:rPr>
                <w:color w:val="000000"/>
                <w:sz w:val="20"/>
                <w:szCs w:val="20"/>
              </w:rPr>
            </w:pPr>
            <w:r w:rsidRPr="007F385C">
              <w:rPr>
                <w:color w:val="000000"/>
                <w:sz w:val="20"/>
                <w:szCs w:val="20"/>
              </w:rPr>
              <w:t>Analiz sonucunda; ekonomik ve sosyo-demografik özelliklerin, kentsel ve kırsal hanehalkları arasındaki alkol ve sigara tüketim üzerindeki etkilerinin farklı olduğu sonucuna ulaşılmıştır. Kentsel alanda yaşayan hanehalkında sigara tüketimi; eğitim, evli olma, zorunlu sigorta, ev sahibi olma ve 15-19 yaş arası geçlerde ters yönlü çocuklu aile, yaşlı bireyler ve çalışıyor olma durumu ile doğru yönlü bir ilişki olduğu saptanmıştır. Kırsal alanda yaşayan hanehalkında ise sigara tüketimi; eğitim, evli olma ve zorunlu sigorta ile ters yönlü ev sahibi olma, 15-19 yaş arası geçlerde, çocuklu aile, yaşlı bireyler ve çalışıyor olma durumu ile doğru yönlü bir ilişki bulunmuştur.</w:t>
            </w:r>
          </w:p>
        </w:tc>
      </w:tr>
      <w:tr w:rsidR="00530DAE" w:rsidRPr="007F385C" w:rsidTr="00337D09">
        <w:trPr>
          <w:trHeight w:val="2602"/>
        </w:trPr>
        <w:tc>
          <w:tcPr>
            <w:tcW w:w="1289" w:type="pct"/>
            <w:tcBorders>
              <w:top w:val="nil"/>
              <w:left w:val="single" w:sz="8" w:space="0" w:color="000000"/>
              <w:bottom w:val="single" w:sz="8" w:space="0" w:color="000000"/>
              <w:right w:val="single" w:sz="8" w:space="0" w:color="000000"/>
            </w:tcBorders>
            <w:shd w:val="clear" w:color="auto" w:fill="auto"/>
            <w:vAlign w:val="center"/>
            <w:hideMark/>
          </w:tcPr>
          <w:p w:rsidR="00530DAE" w:rsidRPr="007F385C" w:rsidRDefault="00530DAE" w:rsidP="00530DAE">
            <w:pPr>
              <w:spacing w:line="240" w:lineRule="auto"/>
              <w:ind w:firstLine="0"/>
              <w:jc w:val="left"/>
              <w:rPr>
                <w:b/>
                <w:bCs/>
                <w:color w:val="000000"/>
                <w:sz w:val="20"/>
                <w:szCs w:val="20"/>
              </w:rPr>
            </w:pPr>
            <w:r w:rsidRPr="007F385C">
              <w:rPr>
                <w:b/>
                <w:bCs/>
                <w:color w:val="000000"/>
                <w:sz w:val="20"/>
                <w:szCs w:val="20"/>
              </w:rPr>
              <w:t>Do ve Bautista (2015)</w:t>
            </w:r>
          </w:p>
        </w:tc>
        <w:tc>
          <w:tcPr>
            <w:tcW w:w="1856" w:type="pct"/>
            <w:tcBorders>
              <w:top w:val="nil"/>
              <w:left w:val="nil"/>
              <w:bottom w:val="single" w:sz="8" w:space="0" w:color="000000"/>
              <w:right w:val="single" w:sz="8" w:space="0" w:color="000000"/>
            </w:tcBorders>
            <w:shd w:val="clear" w:color="auto" w:fill="auto"/>
            <w:vAlign w:val="center"/>
            <w:hideMark/>
          </w:tcPr>
          <w:p w:rsidR="00530DAE" w:rsidRPr="007F385C" w:rsidRDefault="00530DAE" w:rsidP="00530DAE">
            <w:pPr>
              <w:spacing w:line="240" w:lineRule="auto"/>
              <w:ind w:firstLine="0"/>
              <w:rPr>
                <w:color w:val="000000"/>
                <w:sz w:val="20"/>
                <w:szCs w:val="20"/>
              </w:rPr>
            </w:pPr>
            <w:r w:rsidRPr="007F385C">
              <w:rPr>
                <w:color w:val="000000"/>
                <w:sz w:val="20"/>
                <w:szCs w:val="20"/>
              </w:rPr>
              <w:t>2002-2004 yılları arası Dünya Sağlık Anketi verileri kullanılarak düşük ve orta gelirli ülkelerdeki sigara tüketimi ile hanehalkı harcamaları kategorisi(sağlık, eğitim ve gıda harcamaları) arasındaki ilişki Çok Düzeyli Doğrusal Regresyon Modeli kullanılarak belirlenmiştir.</w:t>
            </w:r>
          </w:p>
        </w:tc>
        <w:tc>
          <w:tcPr>
            <w:tcW w:w="1855" w:type="pct"/>
            <w:tcBorders>
              <w:top w:val="nil"/>
              <w:left w:val="nil"/>
              <w:bottom w:val="single" w:sz="8" w:space="0" w:color="000000"/>
              <w:right w:val="single" w:sz="8" w:space="0" w:color="000000"/>
            </w:tcBorders>
            <w:shd w:val="clear" w:color="auto" w:fill="auto"/>
            <w:vAlign w:val="center"/>
            <w:hideMark/>
          </w:tcPr>
          <w:p w:rsidR="00530DAE" w:rsidRPr="007F385C" w:rsidRDefault="00530DAE" w:rsidP="00530DAE">
            <w:pPr>
              <w:spacing w:line="240" w:lineRule="auto"/>
              <w:ind w:firstLine="0"/>
              <w:rPr>
                <w:color w:val="000000"/>
                <w:sz w:val="20"/>
                <w:szCs w:val="20"/>
              </w:rPr>
            </w:pPr>
            <w:r w:rsidRPr="007F385C">
              <w:rPr>
                <w:color w:val="000000"/>
                <w:sz w:val="20"/>
                <w:szCs w:val="20"/>
              </w:rPr>
              <w:t>Yapılan çalışmada; gıda, eğitim, sağlık durumu, yaş, eğitim düzeyi, refah düzeyi, medeni durum, kentsel-kırsal alan, ülke düzeyindeki gelir grubu ve bölge değişkenleri ile sigara tüketimi arasındaki ilişki gözlenmiş olup eğitim ve hanehalkı refahının, her üç hanehalkı harcama kategorisi ile güçlü ilişkiler sergilediği istatistiksel olarak anlamlı bulunmuştur.</w:t>
            </w:r>
          </w:p>
        </w:tc>
      </w:tr>
      <w:tr w:rsidR="00530DAE" w:rsidRPr="007F385C" w:rsidTr="00337D09">
        <w:trPr>
          <w:trHeight w:val="3330"/>
        </w:trPr>
        <w:tc>
          <w:tcPr>
            <w:tcW w:w="1289" w:type="pct"/>
            <w:tcBorders>
              <w:top w:val="nil"/>
              <w:left w:val="single" w:sz="8" w:space="0" w:color="000000"/>
              <w:bottom w:val="single" w:sz="8" w:space="0" w:color="000000"/>
              <w:right w:val="single" w:sz="8" w:space="0" w:color="000000"/>
            </w:tcBorders>
            <w:shd w:val="clear" w:color="auto" w:fill="auto"/>
            <w:vAlign w:val="center"/>
            <w:hideMark/>
          </w:tcPr>
          <w:p w:rsidR="00530DAE" w:rsidRPr="007F385C" w:rsidRDefault="00530DAE" w:rsidP="00530DAE">
            <w:pPr>
              <w:spacing w:line="240" w:lineRule="auto"/>
              <w:ind w:firstLine="0"/>
              <w:jc w:val="left"/>
              <w:rPr>
                <w:b/>
                <w:bCs/>
                <w:color w:val="000000"/>
                <w:sz w:val="20"/>
                <w:szCs w:val="20"/>
              </w:rPr>
            </w:pPr>
            <w:r w:rsidRPr="007F385C">
              <w:rPr>
                <w:b/>
                <w:bCs/>
                <w:color w:val="000000"/>
                <w:sz w:val="20"/>
                <w:szCs w:val="20"/>
              </w:rPr>
              <w:t>Uguru vd. (2015)</w:t>
            </w:r>
          </w:p>
        </w:tc>
        <w:tc>
          <w:tcPr>
            <w:tcW w:w="1856" w:type="pct"/>
            <w:tcBorders>
              <w:top w:val="nil"/>
              <w:left w:val="nil"/>
              <w:bottom w:val="single" w:sz="8" w:space="0" w:color="000000"/>
              <w:right w:val="single" w:sz="8" w:space="0" w:color="000000"/>
            </w:tcBorders>
            <w:shd w:val="clear" w:color="auto" w:fill="auto"/>
            <w:vAlign w:val="center"/>
            <w:hideMark/>
          </w:tcPr>
          <w:p w:rsidR="00530DAE" w:rsidRPr="007F385C" w:rsidRDefault="00530DAE" w:rsidP="00530DAE">
            <w:pPr>
              <w:spacing w:line="240" w:lineRule="auto"/>
              <w:ind w:firstLine="0"/>
              <w:rPr>
                <w:color w:val="000000"/>
                <w:sz w:val="20"/>
                <w:szCs w:val="20"/>
              </w:rPr>
            </w:pPr>
            <w:r w:rsidRPr="007F385C">
              <w:rPr>
                <w:color w:val="000000"/>
                <w:sz w:val="20"/>
                <w:szCs w:val="20"/>
              </w:rPr>
              <w:t>2008 yılı Ulusal Demografik ve Sağlık Anketi (NDHS) verileri ile Nijerya'daki farklı sosyo-ekonomik gruplar arasındaki sigara tüketimini etkileyen faktörler Lojistik Regresyon Analizi kullanılarak tespit edilmiştir.</w:t>
            </w:r>
          </w:p>
        </w:tc>
        <w:tc>
          <w:tcPr>
            <w:tcW w:w="1855" w:type="pct"/>
            <w:tcBorders>
              <w:top w:val="nil"/>
              <w:left w:val="nil"/>
              <w:bottom w:val="single" w:sz="8" w:space="0" w:color="000000"/>
              <w:right w:val="single" w:sz="8" w:space="0" w:color="000000"/>
            </w:tcBorders>
            <w:shd w:val="clear" w:color="auto" w:fill="auto"/>
            <w:vAlign w:val="center"/>
            <w:hideMark/>
          </w:tcPr>
          <w:p w:rsidR="00530DAE" w:rsidRPr="007F385C" w:rsidRDefault="00530DAE" w:rsidP="00530DAE">
            <w:pPr>
              <w:spacing w:line="240" w:lineRule="auto"/>
              <w:ind w:firstLine="0"/>
              <w:rPr>
                <w:color w:val="000000"/>
                <w:sz w:val="20"/>
                <w:szCs w:val="20"/>
              </w:rPr>
            </w:pPr>
            <w:r w:rsidRPr="007F385C">
              <w:rPr>
                <w:color w:val="000000"/>
                <w:sz w:val="20"/>
                <w:szCs w:val="20"/>
              </w:rPr>
              <w:t>Çalışmada yüksek eğitim seviyesi; gazete okuyan, müzik dinleyen ve televizyon seyreden yüksek eğitim sahibi kişiler şeklinde ayrı olarak incelenmiştir. Buna göre sigara tüketiminin gazete okuyan ve televizyon seyreden yüksek eğitim sahibi kişiler ile ters, müzik dinleyen yüksek eğitim sahibi kişiler ile doğru yönlü bir ilişkisinin bulunduğu tespit edilmiştir. Gelir düzeyi arttıkça sigara tüketiminin azaldığı da çalışmada gözlemlenen diğer bir sonuçtur.</w:t>
            </w:r>
          </w:p>
        </w:tc>
      </w:tr>
      <w:tr w:rsidR="00530DAE" w:rsidRPr="007F385C" w:rsidTr="00337D09">
        <w:trPr>
          <w:trHeight w:val="1545"/>
        </w:trPr>
        <w:tc>
          <w:tcPr>
            <w:tcW w:w="1289" w:type="pct"/>
            <w:tcBorders>
              <w:top w:val="nil"/>
              <w:left w:val="single" w:sz="8" w:space="0" w:color="000000"/>
              <w:bottom w:val="single" w:sz="8" w:space="0" w:color="000000"/>
              <w:right w:val="single" w:sz="8" w:space="0" w:color="000000"/>
            </w:tcBorders>
            <w:shd w:val="clear" w:color="auto" w:fill="auto"/>
            <w:vAlign w:val="center"/>
            <w:hideMark/>
          </w:tcPr>
          <w:p w:rsidR="00530DAE" w:rsidRPr="007F385C" w:rsidRDefault="00530DAE" w:rsidP="00530DAE">
            <w:pPr>
              <w:spacing w:line="240" w:lineRule="auto"/>
              <w:ind w:firstLine="0"/>
              <w:jc w:val="left"/>
              <w:rPr>
                <w:b/>
                <w:bCs/>
                <w:color w:val="000000"/>
                <w:sz w:val="20"/>
                <w:szCs w:val="20"/>
              </w:rPr>
            </w:pPr>
            <w:r w:rsidRPr="007F385C">
              <w:rPr>
                <w:b/>
                <w:bCs/>
                <w:color w:val="000000"/>
                <w:sz w:val="20"/>
                <w:szCs w:val="20"/>
              </w:rPr>
              <w:t>Xu vd. (2015)</w:t>
            </w:r>
          </w:p>
        </w:tc>
        <w:tc>
          <w:tcPr>
            <w:tcW w:w="1856" w:type="pct"/>
            <w:tcBorders>
              <w:top w:val="nil"/>
              <w:left w:val="nil"/>
              <w:bottom w:val="single" w:sz="8" w:space="0" w:color="000000"/>
              <w:right w:val="single" w:sz="8" w:space="0" w:color="000000"/>
            </w:tcBorders>
            <w:shd w:val="clear" w:color="auto" w:fill="auto"/>
            <w:vAlign w:val="center"/>
            <w:hideMark/>
          </w:tcPr>
          <w:p w:rsidR="00530DAE" w:rsidRPr="007F385C" w:rsidRDefault="00530DAE" w:rsidP="00530DAE">
            <w:pPr>
              <w:spacing w:line="240" w:lineRule="auto"/>
              <w:ind w:firstLine="0"/>
              <w:rPr>
                <w:color w:val="000000"/>
                <w:sz w:val="20"/>
                <w:szCs w:val="20"/>
              </w:rPr>
            </w:pPr>
            <w:r w:rsidRPr="007F385C">
              <w:rPr>
                <w:color w:val="000000"/>
                <w:sz w:val="20"/>
                <w:szCs w:val="20"/>
              </w:rPr>
              <w:t>2009-2010 Papua Yeni Gine Hane Halkı Gelir ve Harcama Anketi'nden elde edilen verileri kullanarak sigara tüketiminin belirleyicileri Logit Regresyon Analizi yardımıyla tahmin edilmiştir.</w:t>
            </w:r>
          </w:p>
        </w:tc>
        <w:tc>
          <w:tcPr>
            <w:tcW w:w="1855" w:type="pct"/>
            <w:tcBorders>
              <w:top w:val="nil"/>
              <w:left w:val="nil"/>
              <w:bottom w:val="single" w:sz="8" w:space="0" w:color="000000"/>
              <w:right w:val="single" w:sz="8" w:space="0" w:color="000000"/>
            </w:tcBorders>
            <w:shd w:val="clear" w:color="auto" w:fill="auto"/>
            <w:vAlign w:val="center"/>
            <w:hideMark/>
          </w:tcPr>
          <w:p w:rsidR="00530DAE" w:rsidRPr="007F385C" w:rsidRDefault="00530DAE" w:rsidP="00530DAE">
            <w:pPr>
              <w:spacing w:line="240" w:lineRule="auto"/>
              <w:ind w:firstLine="0"/>
              <w:rPr>
                <w:color w:val="000000"/>
                <w:sz w:val="20"/>
                <w:szCs w:val="20"/>
              </w:rPr>
            </w:pPr>
            <w:r w:rsidRPr="007F385C">
              <w:rPr>
                <w:color w:val="000000"/>
                <w:sz w:val="20"/>
                <w:szCs w:val="20"/>
              </w:rPr>
              <w:t>Ekonometrik analiz neticesinde, eğitim seviyesi düşük bireyler ile sigara tüketimi arasında ters yönlü bir ilişkinin olduğu, kadınlara oranla erkeklerin daha çok, bekar bireylere oranla evli bireylerin daha çok ve son olarak yaşlı erişkinlere oranla genç erişkinlerin daha çok sigara tükettiği gözlemlenmiştir. Ve ayrıca işlenmemiş sigara tüketimi; kadınlara oranla erkeklerde daha popüler olduğu sonucuna ulaşılmıştır.</w:t>
            </w:r>
          </w:p>
        </w:tc>
      </w:tr>
      <w:tr w:rsidR="00530DAE" w:rsidRPr="007F385C" w:rsidTr="00337D09">
        <w:trPr>
          <w:trHeight w:val="4860"/>
        </w:trPr>
        <w:tc>
          <w:tcPr>
            <w:tcW w:w="1290"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530DAE" w:rsidRPr="007F385C" w:rsidRDefault="00530DAE" w:rsidP="00530DAE">
            <w:pPr>
              <w:spacing w:line="240" w:lineRule="auto"/>
              <w:ind w:firstLine="0"/>
              <w:jc w:val="left"/>
              <w:rPr>
                <w:b/>
                <w:bCs/>
                <w:color w:val="000000"/>
                <w:sz w:val="20"/>
                <w:szCs w:val="20"/>
              </w:rPr>
            </w:pPr>
            <w:r w:rsidRPr="007F385C">
              <w:rPr>
                <w:b/>
                <w:bCs/>
                <w:color w:val="000000"/>
                <w:sz w:val="20"/>
                <w:szCs w:val="20"/>
              </w:rPr>
              <w:lastRenderedPageBreak/>
              <w:t>Ali ve Bilgiç (2016)</w:t>
            </w:r>
          </w:p>
        </w:tc>
        <w:tc>
          <w:tcPr>
            <w:tcW w:w="1855" w:type="pct"/>
            <w:tcBorders>
              <w:top w:val="single" w:sz="8" w:space="0" w:color="000000"/>
              <w:left w:val="nil"/>
              <w:bottom w:val="single" w:sz="8" w:space="0" w:color="000000"/>
              <w:right w:val="single" w:sz="8" w:space="0" w:color="000000"/>
            </w:tcBorders>
            <w:shd w:val="clear" w:color="auto" w:fill="auto"/>
            <w:vAlign w:val="center"/>
            <w:hideMark/>
          </w:tcPr>
          <w:p w:rsidR="00530DAE" w:rsidRPr="007F385C" w:rsidRDefault="00530DAE" w:rsidP="00530DAE">
            <w:pPr>
              <w:spacing w:line="240" w:lineRule="auto"/>
              <w:ind w:firstLine="0"/>
              <w:rPr>
                <w:color w:val="000000"/>
                <w:sz w:val="20"/>
                <w:szCs w:val="20"/>
              </w:rPr>
            </w:pPr>
            <w:r w:rsidRPr="007F385C">
              <w:rPr>
                <w:color w:val="000000"/>
                <w:sz w:val="20"/>
                <w:szCs w:val="20"/>
              </w:rPr>
              <w:t>2008-2012 Küresel Yetişkin Tütün Araştırması (GATS) verileri kullanılarak Türkiye’de sigara tüketimini ve tüketim düzeyini etkileyen faktörler, Çift Eşik(DoubleHurdle) Modeli ile ortaya konulmuştur.</w:t>
            </w:r>
          </w:p>
        </w:tc>
        <w:tc>
          <w:tcPr>
            <w:tcW w:w="1854" w:type="pct"/>
            <w:tcBorders>
              <w:top w:val="single" w:sz="8" w:space="0" w:color="000000"/>
              <w:left w:val="nil"/>
              <w:bottom w:val="single" w:sz="8" w:space="0" w:color="000000"/>
              <w:right w:val="single" w:sz="8" w:space="0" w:color="000000"/>
            </w:tcBorders>
            <w:shd w:val="clear" w:color="auto" w:fill="auto"/>
            <w:vAlign w:val="center"/>
            <w:hideMark/>
          </w:tcPr>
          <w:p w:rsidR="00530DAE" w:rsidRPr="007F385C" w:rsidRDefault="00530DAE" w:rsidP="00530DAE">
            <w:pPr>
              <w:spacing w:line="240" w:lineRule="auto"/>
              <w:ind w:firstLine="0"/>
              <w:rPr>
                <w:color w:val="000000"/>
                <w:sz w:val="20"/>
                <w:szCs w:val="20"/>
              </w:rPr>
            </w:pPr>
            <w:r w:rsidRPr="007F385C">
              <w:rPr>
                <w:color w:val="000000"/>
                <w:sz w:val="20"/>
                <w:szCs w:val="20"/>
              </w:rPr>
              <w:t xml:space="preserve">Yapılan çalışma sonucunda Türk toplumunda sigara tüketimini beş faktörün etkileyebileceği ve bu faktörlerin sırasıyla yaş, cinsiyet, konum, eğitim ve gelir düzeyi olabileceği öngörülmüştür. </w:t>
            </w:r>
          </w:p>
        </w:tc>
      </w:tr>
      <w:tr w:rsidR="00530DAE" w:rsidRPr="007F385C" w:rsidTr="00337D09">
        <w:trPr>
          <w:trHeight w:val="2820"/>
        </w:trPr>
        <w:tc>
          <w:tcPr>
            <w:tcW w:w="1290" w:type="pct"/>
            <w:tcBorders>
              <w:top w:val="nil"/>
              <w:left w:val="single" w:sz="8" w:space="0" w:color="000000"/>
              <w:bottom w:val="single" w:sz="8" w:space="0" w:color="000000"/>
              <w:right w:val="single" w:sz="8" w:space="0" w:color="000000"/>
            </w:tcBorders>
            <w:shd w:val="clear" w:color="auto" w:fill="auto"/>
            <w:vAlign w:val="center"/>
            <w:hideMark/>
          </w:tcPr>
          <w:p w:rsidR="00530DAE" w:rsidRPr="007F385C" w:rsidRDefault="00530DAE" w:rsidP="00530DAE">
            <w:pPr>
              <w:spacing w:line="240" w:lineRule="auto"/>
              <w:ind w:firstLine="0"/>
              <w:jc w:val="left"/>
              <w:rPr>
                <w:b/>
                <w:bCs/>
                <w:color w:val="000000"/>
                <w:sz w:val="20"/>
                <w:szCs w:val="20"/>
              </w:rPr>
            </w:pPr>
            <w:r w:rsidRPr="007F385C">
              <w:rPr>
                <w:b/>
                <w:bCs/>
                <w:color w:val="000000"/>
                <w:sz w:val="20"/>
                <w:szCs w:val="20"/>
              </w:rPr>
              <w:t>Sahan vd. (2018)</w:t>
            </w:r>
          </w:p>
        </w:tc>
        <w:tc>
          <w:tcPr>
            <w:tcW w:w="1855" w:type="pct"/>
            <w:tcBorders>
              <w:top w:val="nil"/>
              <w:left w:val="nil"/>
              <w:bottom w:val="single" w:sz="8" w:space="0" w:color="000000"/>
              <w:right w:val="single" w:sz="8" w:space="0" w:color="000000"/>
            </w:tcBorders>
            <w:shd w:val="clear" w:color="auto" w:fill="auto"/>
            <w:vAlign w:val="center"/>
            <w:hideMark/>
          </w:tcPr>
          <w:p w:rsidR="00530DAE" w:rsidRPr="007F385C" w:rsidRDefault="00530DAE" w:rsidP="00530DAE">
            <w:pPr>
              <w:spacing w:line="240" w:lineRule="auto"/>
              <w:ind w:firstLine="0"/>
              <w:rPr>
                <w:color w:val="000000"/>
                <w:sz w:val="20"/>
                <w:szCs w:val="20"/>
              </w:rPr>
            </w:pPr>
            <w:r w:rsidRPr="007F385C">
              <w:rPr>
                <w:color w:val="000000"/>
                <w:sz w:val="20"/>
                <w:szCs w:val="20"/>
              </w:rPr>
              <w:t>Çalışmada Balçova'daki bireyler üzerinde sosyoekonomik özellikler ile sigara içme durumu arasındaki ilişki lojistik regresyon analizi kullanılarak tahmin edilmiştir.</w:t>
            </w:r>
          </w:p>
        </w:tc>
        <w:tc>
          <w:tcPr>
            <w:tcW w:w="1854" w:type="pct"/>
            <w:tcBorders>
              <w:top w:val="nil"/>
              <w:left w:val="nil"/>
              <w:bottom w:val="single" w:sz="8" w:space="0" w:color="000000"/>
              <w:right w:val="single" w:sz="8" w:space="0" w:color="000000"/>
            </w:tcBorders>
            <w:shd w:val="clear" w:color="auto" w:fill="auto"/>
            <w:vAlign w:val="center"/>
            <w:hideMark/>
          </w:tcPr>
          <w:p w:rsidR="00530DAE" w:rsidRPr="007F385C" w:rsidRDefault="00530DAE" w:rsidP="00530DAE">
            <w:pPr>
              <w:spacing w:line="240" w:lineRule="auto"/>
              <w:ind w:firstLine="0"/>
              <w:rPr>
                <w:color w:val="000000"/>
                <w:sz w:val="20"/>
                <w:szCs w:val="20"/>
              </w:rPr>
            </w:pPr>
            <w:r w:rsidRPr="007F385C">
              <w:rPr>
                <w:color w:val="000000"/>
                <w:sz w:val="20"/>
                <w:szCs w:val="20"/>
              </w:rPr>
              <w:t>Tahmin neticesinde sosyal olarak dezavantajlı grupların, özellikle düşük eğitim görmüş veya işsiz erkeklerin sigara tiryakileri olma olasılığı daha yüksek ve bu gruplarda sigarayı bırakma oranının daha düşük olduğu sonucuna varılmıştır. Ayrıca çalışmada sosyoekonomik faktörlerin, sigarayı bırakma politikaları geliştirilirken her zaman göz önünde bulundurulması gerektiği görüşüne yer verilmiştir.</w:t>
            </w:r>
          </w:p>
        </w:tc>
      </w:tr>
      <w:tr w:rsidR="00530DAE" w:rsidRPr="007F385C" w:rsidTr="00337D09">
        <w:trPr>
          <w:trHeight w:val="2198"/>
        </w:trPr>
        <w:tc>
          <w:tcPr>
            <w:tcW w:w="1290" w:type="pct"/>
            <w:tcBorders>
              <w:top w:val="nil"/>
              <w:left w:val="single" w:sz="8" w:space="0" w:color="000000"/>
              <w:bottom w:val="single" w:sz="8" w:space="0" w:color="000000"/>
              <w:right w:val="single" w:sz="8" w:space="0" w:color="000000"/>
            </w:tcBorders>
            <w:shd w:val="clear" w:color="auto" w:fill="auto"/>
            <w:vAlign w:val="center"/>
            <w:hideMark/>
          </w:tcPr>
          <w:p w:rsidR="00530DAE" w:rsidRPr="007F385C" w:rsidRDefault="00530DAE" w:rsidP="00530DAE">
            <w:pPr>
              <w:spacing w:line="240" w:lineRule="auto"/>
              <w:ind w:firstLine="0"/>
              <w:jc w:val="left"/>
              <w:rPr>
                <w:b/>
                <w:bCs/>
                <w:color w:val="000000"/>
                <w:sz w:val="20"/>
                <w:szCs w:val="20"/>
              </w:rPr>
            </w:pPr>
            <w:r w:rsidRPr="007F385C">
              <w:rPr>
                <w:b/>
                <w:bCs/>
                <w:color w:val="000000"/>
                <w:sz w:val="20"/>
                <w:szCs w:val="20"/>
              </w:rPr>
              <w:t>Bilgiç vd. (2019)</w:t>
            </w:r>
          </w:p>
        </w:tc>
        <w:tc>
          <w:tcPr>
            <w:tcW w:w="1855" w:type="pct"/>
            <w:tcBorders>
              <w:top w:val="nil"/>
              <w:left w:val="nil"/>
              <w:bottom w:val="single" w:sz="8" w:space="0" w:color="000000"/>
              <w:right w:val="single" w:sz="8" w:space="0" w:color="000000"/>
            </w:tcBorders>
            <w:shd w:val="clear" w:color="auto" w:fill="auto"/>
            <w:vAlign w:val="center"/>
            <w:hideMark/>
          </w:tcPr>
          <w:p w:rsidR="00530DAE" w:rsidRPr="007F385C" w:rsidRDefault="00530DAE" w:rsidP="00530DAE">
            <w:pPr>
              <w:spacing w:line="240" w:lineRule="auto"/>
              <w:ind w:firstLine="0"/>
              <w:rPr>
                <w:color w:val="000000"/>
                <w:sz w:val="20"/>
                <w:szCs w:val="20"/>
              </w:rPr>
            </w:pPr>
            <w:r w:rsidRPr="007F385C">
              <w:rPr>
                <w:color w:val="000000"/>
                <w:sz w:val="20"/>
                <w:szCs w:val="20"/>
              </w:rPr>
              <w:t>Türkiye’de 2015 TÜİK hanehalkı harcamalarından elde edilen mikro verileri kullanılarak hanehalkı sosyo-demografik ve ekonomik özelliklerin sigara ve alkol tüketimindeki rolleri ilk aşamada tobit ve probit ikinci aşamada da Heckman iki aşamalı talep modeli yardımıyla belirlenmiştir.</w:t>
            </w:r>
          </w:p>
        </w:tc>
        <w:tc>
          <w:tcPr>
            <w:tcW w:w="1854" w:type="pct"/>
            <w:tcBorders>
              <w:top w:val="nil"/>
              <w:left w:val="nil"/>
              <w:bottom w:val="single" w:sz="8" w:space="0" w:color="000000"/>
              <w:right w:val="single" w:sz="8" w:space="0" w:color="000000"/>
            </w:tcBorders>
            <w:shd w:val="clear" w:color="auto" w:fill="auto"/>
            <w:vAlign w:val="center"/>
            <w:hideMark/>
          </w:tcPr>
          <w:p w:rsidR="00530DAE" w:rsidRPr="007F385C" w:rsidRDefault="00530DAE" w:rsidP="00530DAE">
            <w:pPr>
              <w:spacing w:line="240" w:lineRule="auto"/>
              <w:ind w:firstLine="0"/>
              <w:rPr>
                <w:color w:val="000000"/>
                <w:sz w:val="20"/>
                <w:szCs w:val="20"/>
              </w:rPr>
            </w:pPr>
            <w:r w:rsidRPr="007F385C">
              <w:rPr>
                <w:color w:val="000000"/>
                <w:sz w:val="20"/>
                <w:szCs w:val="20"/>
              </w:rPr>
              <w:t>Çalışma neticesinde, sigara ve alkol tüketimini minimuma indirmek için; 50 yaş altı, bekar olma ve düşük eğitim seviyesi gibi değişkenlerin dikkate alınması ve bu değişkenlere göre politika uygulanması gerektiği analiz sonucunda tespit edilmiştir.</w:t>
            </w:r>
          </w:p>
        </w:tc>
      </w:tr>
      <w:tr w:rsidR="00502725" w:rsidRPr="007F385C" w:rsidTr="00337D09">
        <w:trPr>
          <w:trHeight w:val="2685"/>
        </w:trPr>
        <w:tc>
          <w:tcPr>
            <w:tcW w:w="1290" w:type="pct"/>
            <w:tcBorders>
              <w:top w:val="nil"/>
              <w:left w:val="single" w:sz="8" w:space="0" w:color="000000"/>
              <w:bottom w:val="single" w:sz="8" w:space="0" w:color="000000"/>
              <w:right w:val="single" w:sz="8" w:space="0" w:color="000000"/>
            </w:tcBorders>
            <w:shd w:val="clear" w:color="auto" w:fill="auto"/>
            <w:vAlign w:val="center"/>
            <w:hideMark/>
          </w:tcPr>
          <w:p w:rsidR="00502725" w:rsidRPr="007F385C" w:rsidRDefault="00502725" w:rsidP="00502725">
            <w:pPr>
              <w:spacing w:line="240" w:lineRule="auto"/>
              <w:ind w:firstLine="0"/>
              <w:jc w:val="left"/>
              <w:rPr>
                <w:b/>
                <w:bCs/>
                <w:color w:val="000000"/>
                <w:sz w:val="20"/>
                <w:szCs w:val="20"/>
              </w:rPr>
            </w:pPr>
            <w:r w:rsidRPr="007F385C">
              <w:rPr>
                <w:b/>
                <w:bCs/>
                <w:color w:val="000000"/>
                <w:sz w:val="20"/>
                <w:szCs w:val="20"/>
              </w:rPr>
              <w:t>İpek (2019)</w:t>
            </w:r>
          </w:p>
        </w:tc>
        <w:tc>
          <w:tcPr>
            <w:tcW w:w="1855" w:type="pct"/>
            <w:tcBorders>
              <w:top w:val="nil"/>
              <w:left w:val="nil"/>
              <w:bottom w:val="single" w:sz="8" w:space="0" w:color="000000"/>
              <w:right w:val="single" w:sz="8" w:space="0" w:color="000000"/>
            </w:tcBorders>
            <w:shd w:val="clear" w:color="auto" w:fill="auto"/>
            <w:vAlign w:val="center"/>
            <w:hideMark/>
          </w:tcPr>
          <w:p w:rsidR="00502725" w:rsidRPr="007F385C" w:rsidRDefault="00502725" w:rsidP="00502725">
            <w:pPr>
              <w:spacing w:line="240" w:lineRule="auto"/>
              <w:ind w:firstLine="0"/>
              <w:rPr>
                <w:color w:val="000000"/>
                <w:sz w:val="20"/>
                <w:szCs w:val="20"/>
              </w:rPr>
            </w:pPr>
            <w:r w:rsidRPr="007F385C">
              <w:rPr>
                <w:color w:val="000000"/>
                <w:sz w:val="20"/>
                <w:szCs w:val="20"/>
              </w:rPr>
              <w:t>2015 yılında TÜİK tarafından elde edilen HBA veri seti kaynakları kullanılarak hanehalkının alkol ve sigara tüketim karar yapıları Tobit ve Çift Eşik Yöntemleri yardımıyla analiz edilmiştir.</w:t>
            </w:r>
          </w:p>
        </w:tc>
        <w:tc>
          <w:tcPr>
            <w:tcW w:w="1854" w:type="pct"/>
            <w:tcBorders>
              <w:top w:val="nil"/>
              <w:left w:val="nil"/>
              <w:bottom w:val="single" w:sz="8" w:space="0" w:color="000000"/>
              <w:right w:val="single" w:sz="8" w:space="0" w:color="000000"/>
            </w:tcBorders>
            <w:shd w:val="clear" w:color="auto" w:fill="auto"/>
            <w:vAlign w:val="center"/>
            <w:hideMark/>
          </w:tcPr>
          <w:p w:rsidR="00502725" w:rsidRPr="007F385C" w:rsidRDefault="00502725" w:rsidP="00502725">
            <w:pPr>
              <w:spacing w:line="240" w:lineRule="auto"/>
              <w:ind w:firstLine="0"/>
              <w:rPr>
                <w:color w:val="000000"/>
                <w:sz w:val="20"/>
                <w:szCs w:val="20"/>
              </w:rPr>
            </w:pPr>
            <w:r w:rsidRPr="007F385C">
              <w:rPr>
                <w:color w:val="000000"/>
                <w:sz w:val="20"/>
                <w:szCs w:val="20"/>
              </w:rPr>
              <w:t>Çalışma sonucunda edinilen bulgulara göre; ailede çocuğun var olması halinde bireylerin alkol tüketimini azalttığı, buna karşılık sigara tüketimini artırdığı tespit edilmiştir. Analizdeki bir başka sonuca göre de, hanehalkı gelir düzeyinin artması ile hem sigara hem de alkol tüketiminin arttığının gözlemlenmiş olmasıdır.</w:t>
            </w:r>
          </w:p>
        </w:tc>
      </w:tr>
    </w:tbl>
    <w:p w:rsidR="004010AA" w:rsidRPr="006C43CF" w:rsidRDefault="004010AA" w:rsidP="004010AA">
      <w:pPr>
        <w:ind w:firstLine="0"/>
        <w:rPr>
          <w:sz w:val="20"/>
          <w:szCs w:val="20"/>
          <w:shd w:val="clear" w:color="auto" w:fill="FFFFFF"/>
        </w:rPr>
      </w:pPr>
      <w:r w:rsidRPr="006C43CF">
        <w:rPr>
          <w:b/>
          <w:sz w:val="20"/>
          <w:szCs w:val="20"/>
          <w:shd w:val="clear" w:color="auto" w:fill="FFFFFF"/>
        </w:rPr>
        <w:t>Kaynak:</w:t>
      </w:r>
      <w:r w:rsidRPr="006C43CF">
        <w:rPr>
          <w:sz w:val="20"/>
          <w:szCs w:val="20"/>
          <w:shd w:val="clear" w:color="auto" w:fill="FFFFFF"/>
        </w:rPr>
        <w:t xml:space="preserve"> Tablo yazar tarafından oluşturulmuştur.</w:t>
      </w:r>
    </w:p>
    <w:p w:rsidR="00E8606C" w:rsidRPr="00B64451" w:rsidRDefault="009D2B51" w:rsidP="00B64451">
      <w:pPr>
        <w:rPr>
          <w:color w:val="auto"/>
          <w:shd w:val="clear" w:color="auto" w:fill="FFFFFF"/>
        </w:rPr>
      </w:pPr>
      <w:r w:rsidRPr="009D2B51">
        <w:rPr>
          <w:shd w:val="clear" w:color="auto" w:fill="FFFFFF"/>
        </w:rPr>
        <w:lastRenderedPageBreak/>
        <w:t>Tablo 1’de Türkiye’de yapılmış literatür çalışmaları çok az sayıda olmasına rağmen, hanehalkı sigara tüketiminin belirleyicilerinin tespiti için yapılan çok sayıda ba</w:t>
      </w:r>
      <w:r w:rsidR="007772C4">
        <w:rPr>
          <w:shd w:val="clear" w:color="auto" w:fill="FFFFFF"/>
        </w:rPr>
        <w:t>şka ülke örneklerine</w:t>
      </w:r>
      <w:r w:rsidRPr="009D2B51">
        <w:rPr>
          <w:shd w:val="clear" w:color="auto" w:fill="FFFFFF"/>
        </w:rPr>
        <w:t xml:space="preserve"> rastlanılmaktadır. Yazarlar hanehalkı sigara tüketiminin, hanehalkına ait sosyoekonomik ve demografik özelliklerin dikkate alınarak belirlenmesi gerektiğini çalışmalarında vurgulamışlardır. Genel olarak literatürde yaş, cinsiyet, hanehalkı büyüklüğü, sağlık sigortasının olup olmaması, eğitim durumu, medeni durumu, anket ayındaki çalışma durumu, iş yerinin faaliyeti ( tarım-tarım dışı) ve gelir</w:t>
      </w:r>
      <w:r w:rsidR="007772C4">
        <w:rPr>
          <w:shd w:val="clear" w:color="auto" w:fill="FFFFFF"/>
        </w:rPr>
        <w:t xml:space="preserve"> gibi değişkenler kullanılmıştır</w:t>
      </w:r>
      <w:r w:rsidRPr="009D2B51">
        <w:rPr>
          <w:shd w:val="clear" w:color="auto" w:fill="FFFFFF"/>
        </w:rPr>
        <w:t>. Literatürde, kullanılan verilerin sansürlü yapılarını dikkate alan sınırlı bağımlı değişkenli ekonometrik modeller</w:t>
      </w:r>
      <w:r w:rsidR="007772C4">
        <w:rPr>
          <w:shd w:val="clear" w:color="auto" w:fill="FFFFFF"/>
        </w:rPr>
        <w:t xml:space="preserve"> genellikle tercih edilmiştir.</w:t>
      </w:r>
      <w:r w:rsidRPr="009D2B51">
        <w:rPr>
          <w:shd w:val="clear" w:color="auto" w:fill="FFFFFF"/>
        </w:rPr>
        <w:t xml:space="preserve"> </w:t>
      </w:r>
      <w:r w:rsidRPr="001E6B54">
        <w:rPr>
          <w:shd w:val="clear" w:color="auto" w:fill="FFFFFF"/>
        </w:rPr>
        <w:t xml:space="preserve">Bireyin </w:t>
      </w:r>
      <w:r w:rsidR="003D36DF" w:rsidRPr="001E6B54">
        <w:rPr>
          <w:shd w:val="clear" w:color="auto" w:fill="FFFFFF"/>
        </w:rPr>
        <w:t xml:space="preserve">katılım </w:t>
      </w:r>
      <w:r w:rsidRPr="001E6B54">
        <w:rPr>
          <w:shd w:val="clear" w:color="auto" w:fill="FFFFFF"/>
        </w:rPr>
        <w:t>tercihi ve tüketim miktarı tercihlerinin iki aşamalı karar süreci içerisinde gözlemlenmesine olanak tanıyan Çift Eşik modeli bu yöntemlerden biri</w:t>
      </w:r>
      <w:r w:rsidR="003D36DF" w:rsidRPr="001E6B54">
        <w:rPr>
          <w:shd w:val="clear" w:color="auto" w:fill="FFFFFF"/>
        </w:rPr>
        <w:t xml:space="preserve">sidir. Bu nedenle çalışmada </w:t>
      </w:r>
      <w:r w:rsidRPr="001E6B54">
        <w:rPr>
          <w:shd w:val="clear" w:color="auto" w:fill="FFFFFF"/>
        </w:rPr>
        <w:t xml:space="preserve">Çift </w:t>
      </w:r>
      <w:r w:rsidR="00D55D59" w:rsidRPr="001E6B54">
        <w:rPr>
          <w:shd w:val="clear" w:color="auto" w:fill="FFFFFF"/>
        </w:rPr>
        <w:t>E</w:t>
      </w:r>
      <w:r w:rsidRPr="001E6B54">
        <w:rPr>
          <w:shd w:val="clear" w:color="auto" w:fill="FFFFFF"/>
        </w:rPr>
        <w:t>şik yöntemi kullanılmıştır.</w:t>
      </w:r>
      <w:bookmarkStart w:id="14" w:name="_Toc30503546"/>
      <w:r w:rsidR="004A5F05" w:rsidRPr="001E6B54">
        <w:rPr>
          <w:shd w:val="clear" w:color="auto" w:fill="FFFFFF"/>
        </w:rPr>
        <w:t xml:space="preserve"> </w:t>
      </w:r>
      <w:r w:rsidR="004A5F05" w:rsidRPr="001E6B54">
        <w:rPr>
          <w:color w:val="auto"/>
          <w:shd w:val="clear" w:color="auto" w:fill="FFFFFF"/>
        </w:rPr>
        <w:t xml:space="preserve">Bu yönteme göre hanehalklarına ait sosyoekonomik ve demografik değişken katsayılarındaki değişim düzeyinin farklı iki etkisi mevcuttur. </w:t>
      </w:r>
      <w:r w:rsidR="00CA31C9" w:rsidRPr="001E6B54">
        <w:rPr>
          <w:color w:val="auto"/>
          <w:shd w:val="clear" w:color="auto" w:fill="FFFFFF"/>
        </w:rPr>
        <w:t>H</w:t>
      </w:r>
      <w:r w:rsidR="004A5F05" w:rsidRPr="001E6B54">
        <w:rPr>
          <w:color w:val="auto"/>
          <w:shd w:val="clear" w:color="auto" w:fill="FFFFFF"/>
        </w:rPr>
        <w:t>anehalklarının sigarayı kullanıp kullanmama</w:t>
      </w:r>
      <w:r w:rsidR="001E6B54">
        <w:rPr>
          <w:color w:val="auto"/>
          <w:shd w:val="clear" w:color="auto" w:fill="FFFFFF"/>
        </w:rPr>
        <w:t>sı</w:t>
      </w:r>
      <w:r w:rsidR="00B64451">
        <w:rPr>
          <w:color w:val="auto"/>
          <w:shd w:val="clear" w:color="auto" w:fill="FFFFFF"/>
        </w:rPr>
        <w:t xml:space="preserve"> kararı</w:t>
      </w:r>
      <w:r w:rsidR="004A5F05" w:rsidRPr="001E6B54">
        <w:rPr>
          <w:color w:val="auto"/>
          <w:shd w:val="clear" w:color="auto" w:fill="FFFFFF"/>
        </w:rPr>
        <w:t xml:space="preserve"> </w:t>
      </w:r>
      <w:r w:rsidR="00B64451">
        <w:rPr>
          <w:color w:val="auto"/>
          <w:shd w:val="clear" w:color="auto" w:fill="FFFFFF"/>
        </w:rPr>
        <w:t xml:space="preserve">ilk etkiyi, </w:t>
      </w:r>
      <w:r w:rsidR="00E47D70">
        <w:rPr>
          <w:color w:val="auto"/>
          <w:shd w:val="clear" w:color="auto" w:fill="FFFFFF"/>
        </w:rPr>
        <w:t>s</w:t>
      </w:r>
      <w:r w:rsidR="00E47D70" w:rsidRPr="001E6B54">
        <w:rPr>
          <w:color w:val="auto"/>
          <w:shd w:val="clear" w:color="auto" w:fill="FFFFFF"/>
        </w:rPr>
        <w:t>igara kullanmaya karar ver</w:t>
      </w:r>
      <w:r w:rsidR="00E47D70">
        <w:rPr>
          <w:color w:val="auto"/>
          <w:shd w:val="clear" w:color="auto" w:fill="FFFFFF"/>
        </w:rPr>
        <w:t xml:space="preserve">enlerin sigaradan ne kadar tüketecekleri </w:t>
      </w:r>
      <w:r w:rsidR="00B64451">
        <w:rPr>
          <w:color w:val="auto"/>
          <w:shd w:val="clear" w:color="auto" w:fill="FFFFFF"/>
        </w:rPr>
        <w:t>kararı da ikinci etkiyi oluştu</w:t>
      </w:r>
      <w:r w:rsidR="00E47D70">
        <w:rPr>
          <w:color w:val="auto"/>
          <w:shd w:val="clear" w:color="auto" w:fill="FFFFFF"/>
        </w:rPr>
        <w:t>r</w:t>
      </w:r>
      <w:r w:rsidR="00B64451">
        <w:rPr>
          <w:color w:val="auto"/>
          <w:shd w:val="clear" w:color="auto" w:fill="FFFFFF"/>
        </w:rPr>
        <w:t>maktadır</w:t>
      </w:r>
      <w:r w:rsidR="001E6B54" w:rsidRPr="001E6B54">
        <w:rPr>
          <w:color w:val="auto"/>
          <w:shd w:val="clear" w:color="auto" w:fill="FFFFFF"/>
        </w:rPr>
        <w:t>.</w:t>
      </w:r>
      <w:r w:rsidR="00B64451">
        <w:rPr>
          <w:color w:val="auto"/>
          <w:shd w:val="clear" w:color="auto" w:fill="FFFFFF"/>
        </w:rPr>
        <w:t xml:space="preserve"> </w:t>
      </w:r>
      <w:r w:rsidR="00D55D59" w:rsidRPr="001E6B54">
        <w:rPr>
          <w:shd w:val="clear" w:color="auto" w:fill="FFFFFF"/>
        </w:rPr>
        <w:t>Bu çalışmanın diğer literatür çalışmalarından farkı; bireyin sigaraya başlama aşamasında ki kararı ile tüketme kararlarının veya bu kararlara etki eden faktörlerin; Çift Eşik yöntemiyle tam ve tutarlı olarak belirlenebilmesidir.</w:t>
      </w:r>
    </w:p>
    <w:p w:rsidR="00F141C5" w:rsidRDefault="00F141C5">
      <w:pPr>
        <w:spacing w:after="160" w:line="259" w:lineRule="auto"/>
        <w:ind w:firstLine="0"/>
        <w:jc w:val="left"/>
        <w:rPr>
          <w:shd w:val="clear" w:color="auto" w:fill="FFFFFF"/>
        </w:rPr>
      </w:pPr>
      <w:r w:rsidRPr="00E03293">
        <w:rPr>
          <w:shd w:val="clear" w:color="auto" w:fill="FFFFFF"/>
        </w:rPr>
        <w:br w:type="page"/>
      </w:r>
    </w:p>
    <w:p w:rsidR="00F141C5" w:rsidRDefault="00F141C5" w:rsidP="00F141C5">
      <w:pPr>
        <w:rPr>
          <w:shd w:val="clear" w:color="auto" w:fill="FFFFFF"/>
        </w:rPr>
      </w:pPr>
    </w:p>
    <w:p w:rsidR="00F141C5" w:rsidRDefault="00F141C5" w:rsidP="00F141C5">
      <w:pPr>
        <w:rPr>
          <w:shd w:val="clear" w:color="auto" w:fill="FFFFFF"/>
        </w:rPr>
      </w:pPr>
    </w:p>
    <w:p w:rsidR="009D2B51" w:rsidRPr="009D2B51" w:rsidRDefault="009D2B51" w:rsidP="004010AA">
      <w:pPr>
        <w:pStyle w:val="Balk1"/>
        <w:rPr>
          <w:shd w:val="clear" w:color="auto" w:fill="FFFFFF"/>
        </w:rPr>
      </w:pPr>
      <w:bookmarkStart w:id="15" w:name="_Toc34134587"/>
      <w:r w:rsidRPr="009D2B51">
        <w:rPr>
          <w:shd w:val="clear" w:color="auto" w:fill="FFFFFF"/>
        </w:rPr>
        <w:t>İKİNCİ BÖLÜM</w:t>
      </w:r>
      <w:bookmarkEnd w:id="14"/>
      <w:bookmarkEnd w:id="15"/>
    </w:p>
    <w:p w:rsidR="009D2B51" w:rsidRPr="009D2B51" w:rsidRDefault="009D2B51" w:rsidP="004010AA">
      <w:pPr>
        <w:pStyle w:val="AA"/>
        <w:rPr>
          <w:shd w:val="clear" w:color="auto" w:fill="FFFFFF"/>
        </w:rPr>
      </w:pPr>
      <w:bookmarkStart w:id="16" w:name="_Toc34134588"/>
      <w:r w:rsidRPr="009D2B51">
        <w:rPr>
          <w:shd w:val="clear" w:color="auto" w:fill="FFFFFF"/>
        </w:rPr>
        <w:t>2. UYGULAMA</w:t>
      </w:r>
      <w:bookmarkEnd w:id="16"/>
      <w:r w:rsidRPr="009D2B51">
        <w:rPr>
          <w:shd w:val="clear" w:color="auto" w:fill="FFFFFF"/>
        </w:rPr>
        <w:t xml:space="preserve"> </w:t>
      </w:r>
    </w:p>
    <w:p w:rsidR="009D2B51" w:rsidRPr="009D2B51" w:rsidRDefault="009D2B51" w:rsidP="00EC06FA">
      <w:pPr>
        <w:rPr>
          <w:shd w:val="clear" w:color="auto" w:fill="FFFFFF"/>
        </w:rPr>
      </w:pPr>
      <w:r w:rsidRPr="009D2B51">
        <w:rPr>
          <w:shd w:val="clear" w:color="auto" w:fill="FFFFFF"/>
        </w:rPr>
        <w:t>Tüketimin</w:t>
      </w:r>
      <w:r w:rsidR="00AA124F">
        <w:rPr>
          <w:shd w:val="clear" w:color="auto" w:fill="FFFFFF"/>
        </w:rPr>
        <w:t xml:space="preserve"> hanehalkı bazında incelenmesi ve</w:t>
      </w:r>
      <w:r w:rsidRPr="009D2B51">
        <w:rPr>
          <w:shd w:val="clear" w:color="auto" w:fill="FFFFFF"/>
        </w:rPr>
        <w:t xml:space="preserve"> TÜİK tarafından </w:t>
      </w:r>
      <w:r w:rsidR="001A4F96">
        <w:rPr>
          <w:shd w:val="clear" w:color="auto" w:fill="FFFFFF"/>
        </w:rPr>
        <w:t>derlenen</w:t>
      </w:r>
      <w:r w:rsidRPr="009D2B51">
        <w:rPr>
          <w:shd w:val="clear" w:color="auto" w:fill="FFFFFF"/>
        </w:rPr>
        <w:t xml:space="preserve"> hanehalkı bütçe anketi veri setlerinin ulaşılab</w:t>
      </w:r>
      <w:r w:rsidR="00AA124F">
        <w:rPr>
          <w:shd w:val="clear" w:color="auto" w:fill="FFFFFF"/>
        </w:rPr>
        <w:t xml:space="preserve">ilir olması </w:t>
      </w:r>
      <w:r w:rsidRPr="009D2B51">
        <w:rPr>
          <w:shd w:val="clear" w:color="auto" w:fill="FFFFFF"/>
        </w:rPr>
        <w:t xml:space="preserve">birçok literatür çalışmasında dikkate alınmaya ve araştırılmaya başlanmıştır. Hanehalkına ait bu özellikler yalnızca ilgili üründen ne kadar tüketileceğini değil aynı zamanda o ürünü tüketip tüketmeme kararlarının altında yatan sebeplerin neler olduğunun da tespit edilmesine olanak sağlamıştır. Diğer tüketim ürünlerinin aksine sigara tüketimi, hanehalkı açısından ekonomik bir karar olmanın yanında bireyin yaşı ve sağlık durumu gibi nedenlerden de etkilenebilmektedir. Bu nedenlerden dolayı sigara fiyatlarında düşüş olmasına rağmen sigara harcaması yapmayan hanehalklarının olabileceği gibi çalışmada rastlanılan anket döneminde sağlık durumu ya da bireyin yaşı gibi çeşitli sebeplerle sigara harcaması yapmayan hanelerin diğer anket dönemlerinde sigara harcaması yapabilme ihtimalleri vardır.  Bu sebeplerle özellikle hanehalkı sigara tüketim kararının tespitinde tüketimin iki aşamalı sürecinin ihmal edilmemesi gerekmektedir. Hanehalkı sigara tüketiminin modellenmesinde tüketip tüketmeme kararı (katılım kararı) ile bu karar sonrasında ne kadar tüketileceğini (tüketim kararı) belirleyen değişkenlerin aynı etkilere sahip olduğunu söylemek yanlış sonuçlar alınmasına sebebiyet verecektir (Blaylock ve Blisard, 1993; Yen, 1994). </w:t>
      </w:r>
    </w:p>
    <w:p w:rsidR="009D2B51" w:rsidRPr="009D2B51" w:rsidRDefault="009D2B51" w:rsidP="004010AA">
      <w:pPr>
        <w:pStyle w:val="AAA"/>
        <w:rPr>
          <w:shd w:val="clear" w:color="auto" w:fill="FFFFFF"/>
        </w:rPr>
      </w:pPr>
      <w:bookmarkStart w:id="17" w:name="_Toc34134589"/>
      <w:r w:rsidRPr="009D2B51">
        <w:rPr>
          <w:shd w:val="clear" w:color="auto" w:fill="FFFFFF"/>
        </w:rPr>
        <w:t>2.1. Yöntem</w:t>
      </w:r>
      <w:bookmarkEnd w:id="17"/>
    </w:p>
    <w:p w:rsidR="009D2B51" w:rsidRPr="009D2B51" w:rsidRDefault="009D2B51" w:rsidP="004010AA">
      <w:pPr>
        <w:rPr>
          <w:shd w:val="clear" w:color="auto" w:fill="FFFFFF"/>
        </w:rPr>
      </w:pPr>
      <w:r w:rsidRPr="009D2B51">
        <w:rPr>
          <w:shd w:val="clear" w:color="auto" w:fill="FFFFFF"/>
        </w:rPr>
        <w:t xml:space="preserve">Hanehalkı sigara tüketimini belirleyen sosyo-ekonomik ve demografik etkenlerin belirlenmesini amaçlayan bu çalışmada, literatürde sıklıkla tercih edilen tahmin yöntemlerinden olan Çift Eşik ve Tobit modelleri tercih edilmiştir. Ayrıca, hanehalkı sigara tüketiminin tespitine yönelik sigara katılım ve tüketim kararları arasındaki ilişki, Vuong (1989) ve Greene (2011) ‘nin literatüre kazandırdığı LR testleri ve model uyum iyiliği kriterleri yardımıyla araştırılmıştır. </w:t>
      </w:r>
    </w:p>
    <w:p w:rsidR="009D2B51" w:rsidRPr="009D2B51" w:rsidRDefault="009D2B51" w:rsidP="004010AA">
      <w:pPr>
        <w:pStyle w:val="AAAA"/>
        <w:rPr>
          <w:shd w:val="clear" w:color="auto" w:fill="FFFFFF"/>
        </w:rPr>
      </w:pPr>
      <w:bookmarkStart w:id="18" w:name="_Toc34134590"/>
      <w:r w:rsidRPr="009D2B51">
        <w:rPr>
          <w:shd w:val="clear" w:color="auto" w:fill="FFFFFF"/>
        </w:rPr>
        <w:lastRenderedPageBreak/>
        <w:t>2.1.1. Tobit Yöntemi</w:t>
      </w:r>
      <w:bookmarkEnd w:id="18"/>
    </w:p>
    <w:p w:rsidR="009D2B51" w:rsidRDefault="009D2B51" w:rsidP="004010AA">
      <w:pPr>
        <w:rPr>
          <w:shd w:val="clear" w:color="auto" w:fill="FFFFFF"/>
        </w:rPr>
      </w:pPr>
      <w:r w:rsidRPr="009D2B51">
        <w:rPr>
          <w:shd w:val="clear" w:color="auto" w:fill="FFFFFF"/>
        </w:rPr>
        <w:t xml:space="preserve">Hanehalkı tüketim anketi verileri ile yapılan çalışmalarda karşılaşılan </w:t>
      </w:r>
      <w:r w:rsidR="0072545E">
        <w:rPr>
          <w:shd w:val="clear" w:color="auto" w:fill="FFFFFF"/>
        </w:rPr>
        <w:t xml:space="preserve">en </w:t>
      </w:r>
      <w:r w:rsidRPr="009D2B51">
        <w:rPr>
          <w:shd w:val="clear" w:color="auto" w:fill="FFFFFF"/>
        </w:rPr>
        <w:t xml:space="preserve">önemli sorun, analize konu olan bazı ürünlerin bazı haneler tarafından tüketilmiyor olmasıdır. </w:t>
      </w:r>
      <w:r w:rsidR="0072545E">
        <w:rPr>
          <w:shd w:val="clear" w:color="auto" w:fill="FFFFFF"/>
        </w:rPr>
        <w:t>Hanelerin sıfır tüketim tercihi fiyatlar, gelir gibi ekonomik nedenlerden kaynaklanabilirken aynı zamanda sağlık, inanç, alışkanlıklar gibi sosyolojik nedenlerden etkilenebilmektedir.</w:t>
      </w:r>
      <w:r w:rsidRPr="009D2B51">
        <w:rPr>
          <w:shd w:val="clear" w:color="auto" w:fill="FFFFFF"/>
        </w:rPr>
        <w:t xml:space="preserve"> Böyle durumlarda bağımlı değişken (sigara tüketimi), bazı haneler için sıfır olacaktır. Ancak bazı haneler için bağımlı değişken sıfır iken, tüm ha</w:t>
      </w:r>
      <w:r w:rsidR="0072545E">
        <w:rPr>
          <w:shd w:val="clear" w:color="auto" w:fill="FFFFFF"/>
        </w:rPr>
        <w:t xml:space="preserve">neler için açıklayıcı değişkenlere ait </w:t>
      </w:r>
      <w:r w:rsidRPr="009D2B51">
        <w:rPr>
          <w:shd w:val="clear" w:color="auto" w:fill="FFFFFF"/>
        </w:rPr>
        <w:t>değer</w:t>
      </w:r>
      <w:r w:rsidR="0072545E">
        <w:rPr>
          <w:shd w:val="clear" w:color="auto" w:fill="FFFFFF"/>
        </w:rPr>
        <w:t>ler</w:t>
      </w:r>
      <w:r w:rsidRPr="009D2B51">
        <w:rPr>
          <w:shd w:val="clear" w:color="auto" w:fill="FFFFFF"/>
        </w:rPr>
        <w:t xml:space="preserve"> mevcuttur. Bu verilerle analiz tahmini “En Küçük Kareler” tahmincisi ile yapıldığında, sıfır değere sahip değişkenler için hata teriminin ortalaması sıfır olmayacak ve bu durumda yapılan tahmin yanlı ve tutarsız sonuç</w:t>
      </w:r>
      <w:r w:rsidR="0072545E">
        <w:rPr>
          <w:shd w:val="clear" w:color="auto" w:fill="FFFFFF"/>
        </w:rPr>
        <w:t>lar</w:t>
      </w:r>
      <w:r w:rsidRPr="009D2B51">
        <w:rPr>
          <w:shd w:val="clear" w:color="auto" w:fill="FFFFFF"/>
        </w:rPr>
        <w:t xml:space="preserve"> verecektir. Bu durumda, analizlerin tutarlı sonuçlar ve</w:t>
      </w:r>
      <w:r w:rsidR="003A2A11">
        <w:rPr>
          <w:shd w:val="clear" w:color="auto" w:fill="FFFFFF"/>
        </w:rPr>
        <w:t>r</w:t>
      </w:r>
      <w:r w:rsidRPr="009D2B51">
        <w:rPr>
          <w:shd w:val="clear" w:color="auto" w:fill="FFFFFF"/>
        </w:rPr>
        <w:t xml:space="preserve">mesi için sınırlı bağımlı değişken modeli </w:t>
      </w:r>
      <w:r w:rsidR="0072545E">
        <w:rPr>
          <w:shd w:val="clear" w:color="auto" w:fill="FFFFFF"/>
        </w:rPr>
        <w:t xml:space="preserve">olan </w:t>
      </w:r>
      <w:r w:rsidRPr="009D2B51">
        <w:rPr>
          <w:shd w:val="clear" w:color="auto" w:fill="FFFFFF"/>
        </w:rPr>
        <w:t xml:space="preserve">Tobit modelinin kullanılması önerilmektedir. Tobit modelin tanımlanmasında hareket noktası sansürlenmiş (censored) bağımlı değişkenleri </w:t>
      </w:r>
      <w:r w:rsidR="0072545E">
        <w:rPr>
          <w:shd w:val="clear" w:color="auto" w:fill="FFFFFF"/>
        </w:rPr>
        <w:t>dikkate</w:t>
      </w:r>
      <w:r w:rsidRPr="009D2B51">
        <w:rPr>
          <w:shd w:val="clear" w:color="auto" w:fill="FFFFFF"/>
        </w:rPr>
        <w:t xml:space="preserve"> almaktır. Bu modelde, ürünün mevcut tüketimi için, pozitif sigara harcama verilerinin gizli talep değişkeni için veri sağladığı kabul edilir. Görünmeyen değişken, belirli gelir düzeylerinde negatiftir ve gözlenemez. Eğer </w:t>
      </w:r>
      <w:r w:rsidR="0072545E">
        <w:rPr>
          <w:shd w:val="clear" w:color="auto" w:fill="FFFFFF"/>
        </w:rPr>
        <w:t>y hanehalkı harcaması ve y</w:t>
      </w:r>
      <w:r w:rsidRPr="009D2B51">
        <w:rPr>
          <w:shd w:val="clear" w:color="auto" w:fill="FFFFFF"/>
        </w:rPr>
        <w:t>* ürüne karşılık gelen gizli tüketim olarak tanımlanır ise, Tobit mode</w:t>
      </w:r>
      <w:r w:rsidR="006C43CF">
        <w:rPr>
          <w:shd w:val="clear" w:color="auto" w:fill="FFFFFF"/>
        </w:rPr>
        <w:t>li aşağıdaki gibi yazılabilir (</w:t>
      </w:r>
      <w:r w:rsidR="006C43CF" w:rsidRPr="00115FA3">
        <w:t>Tobin, 1958).</w:t>
      </w:r>
    </w:p>
    <w:p w:rsidR="006C43CF" w:rsidRPr="00115FA3" w:rsidRDefault="009D61A3" w:rsidP="006C43CF">
      <w:pPr>
        <w:spacing w:before="120" w:after="120"/>
        <w:ind w:firstLine="567"/>
        <w:rPr>
          <w:rFonts w:eastAsiaTheme="minorEastAsia"/>
        </w:rPr>
      </w:pPr>
      <m:oMath>
        <m:sSubSup>
          <m:sSubSupPr>
            <m:ctrlPr>
              <w:rPr>
                <w:rFonts w:ascii="Cambria Math" w:hAnsi="Cambria Math"/>
                <w:i/>
              </w:rPr>
            </m:ctrlPr>
          </m:sSubSupPr>
          <m:e>
            <m:r>
              <w:rPr>
                <w:rFonts w:ascii="Cambria Math" w:hAnsi="Cambria Math"/>
              </w:rPr>
              <m:t>y</m:t>
            </m:r>
          </m:e>
          <m:sub>
            <m:r>
              <w:rPr>
                <w:rFonts w:ascii="Cambria Math" w:hAnsi="Cambria Math"/>
              </w:rPr>
              <m:t>i</m:t>
            </m:r>
          </m:sub>
          <m:sup>
            <m:r>
              <w:rPr>
                <w:rFonts w:ascii="Cambria Math" w:hAnsi="Cambria Math"/>
              </w:rPr>
              <m:t>*</m:t>
            </m:r>
          </m:sup>
        </m:sSubSup>
      </m:oMath>
      <w:r w:rsidR="006C43CF" w:rsidRPr="00115FA3">
        <w:rPr>
          <w:rFonts w:eastAsiaTheme="minorEastAsia"/>
        </w:rPr>
        <w:t xml:space="preserve"> = </w:t>
      </w:r>
      <m:oMath>
        <m:sSubSup>
          <m:sSubSupPr>
            <m:ctrlPr>
              <w:rPr>
                <w:rFonts w:ascii="Cambria Math" w:eastAsiaTheme="minorEastAsia" w:hAnsi="Cambria Math"/>
                <w:i/>
              </w:rPr>
            </m:ctrlPr>
          </m:sSubSupPr>
          <m:e>
            <m:r>
              <w:rPr>
                <w:rFonts w:ascii="Cambria Math" w:eastAsiaTheme="minorEastAsia" w:hAnsi="Cambria Math"/>
              </w:rPr>
              <m:t>X</m:t>
            </m:r>
          </m:e>
          <m:sub>
            <m:r>
              <w:rPr>
                <w:rFonts w:ascii="Cambria Math" w:eastAsiaTheme="minorEastAsia" w:hAnsi="Cambria Math"/>
              </w:rPr>
              <m:t>i</m:t>
            </m:r>
          </m:sub>
          <m:sup>
            <m:r>
              <w:rPr>
                <w:rFonts w:ascii="Cambria Math" w:eastAsiaTheme="minorEastAsia" w:hAnsi="Cambria Math"/>
              </w:rPr>
              <m:t>'</m:t>
            </m:r>
          </m:sup>
        </m:sSubSup>
      </m:oMath>
      <w:r w:rsidR="006C43CF" w:rsidRPr="00115FA3">
        <w:rPr>
          <w:rFonts w:eastAsiaTheme="minorEastAsia"/>
        </w:rPr>
        <w:t xml:space="preserve">β + </w:t>
      </w:r>
      <m:oMath>
        <m:sSub>
          <m:sSubPr>
            <m:ctrlPr>
              <w:rPr>
                <w:rFonts w:ascii="Cambria Math" w:eastAsiaTheme="minorEastAsia" w:hAnsi="Cambria Math"/>
                <w:i/>
              </w:rPr>
            </m:ctrlPr>
          </m:sSubPr>
          <m:e>
            <m:r>
              <w:rPr>
                <w:rFonts w:ascii="Cambria Math" w:eastAsiaTheme="minorEastAsia" w:hAnsi="Cambria Math"/>
              </w:rPr>
              <m:t>ε</m:t>
            </m:r>
          </m:e>
          <m:sub>
            <m:r>
              <w:rPr>
                <w:rFonts w:ascii="Cambria Math" w:eastAsiaTheme="minorEastAsia" w:hAnsi="Cambria Math"/>
              </w:rPr>
              <m:t>i</m:t>
            </m:r>
          </m:sub>
        </m:sSub>
        <m:sSub>
          <m:sSubPr>
            <m:ctrlPr>
              <w:rPr>
                <w:rFonts w:ascii="Cambria Math" w:eastAsiaTheme="minorEastAsia" w:hAnsi="Cambria Math"/>
                <w:i/>
              </w:rPr>
            </m:ctrlPr>
          </m:sSubPr>
          <m:e>
            <m:r>
              <w:rPr>
                <w:rFonts w:ascii="Cambria Math" w:eastAsiaTheme="minorEastAsia" w:hAnsi="Cambria Math"/>
              </w:rPr>
              <m:t>ε</m:t>
            </m:r>
          </m:e>
          <m:sub>
            <m:r>
              <w:rPr>
                <w:rFonts w:ascii="Cambria Math" w:eastAsiaTheme="minorEastAsia" w:hAnsi="Cambria Math"/>
              </w:rPr>
              <m:t>i</m:t>
            </m:r>
          </m:sub>
        </m:sSub>
        <m:r>
          <w:rPr>
            <w:rFonts w:ascii="Cambria Math" w:eastAsiaTheme="minorEastAsia" w:hAnsi="Cambria Math"/>
          </w:rPr>
          <m:t>~N(0,</m:t>
        </m:r>
        <m:sSup>
          <m:sSupPr>
            <m:ctrlPr>
              <w:rPr>
                <w:rFonts w:ascii="Cambria Math" w:eastAsiaTheme="minorEastAsia" w:hAnsi="Cambria Math"/>
                <w:i/>
              </w:rPr>
            </m:ctrlPr>
          </m:sSupPr>
          <m:e>
            <m:r>
              <w:rPr>
                <w:rFonts w:ascii="Cambria Math" w:eastAsiaTheme="minorEastAsia" w:hAnsi="Cambria Math"/>
              </w:rPr>
              <m:t>σ</m:t>
            </m:r>
          </m:e>
          <m:sup>
            <m:r>
              <w:rPr>
                <w:rFonts w:ascii="Cambria Math" w:eastAsiaTheme="minorEastAsia" w:hAnsi="Cambria Math"/>
              </w:rPr>
              <m:t>2</m:t>
            </m:r>
          </m:sup>
        </m:sSup>
      </m:oMath>
      <w:r w:rsidR="006C43CF" w:rsidRPr="00115FA3">
        <w:rPr>
          <w:rFonts w:eastAsiaTheme="minorEastAsia"/>
        </w:rPr>
        <w:t xml:space="preserve">) ve  </w:t>
      </w:r>
      <m:oMath>
        <m:r>
          <w:rPr>
            <w:rFonts w:ascii="Cambria Math" w:eastAsiaTheme="minorEastAsia" w:hAnsi="Cambria Math"/>
          </w:rPr>
          <m:t xml:space="preserve">i </m:t>
        </m:r>
      </m:oMath>
      <w:r w:rsidR="006C43CF" w:rsidRPr="00115FA3">
        <w:rPr>
          <w:rFonts w:eastAsiaTheme="minorEastAsia"/>
        </w:rPr>
        <w:t>= 1,…,</w:t>
      </w:r>
      <w:r w:rsidR="006C43CF">
        <w:rPr>
          <w:rFonts w:eastAsiaTheme="minorEastAsia"/>
        </w:rPr>
        <w:t xml:space="preserve">N </w:t>
      </w:r>
      <w:r w:rsidR="006C43CF">
        <w:rPr>
          <w:rFonts w:eastAsiaTheme="minorEastAsia"/>
        </w:rPr>
        <w:tab/>
      </w:r>
      <w:r w:rsidR="006C43CF">
        <w:rPr>
          <w:rFonts w:eastAsiaTheme="minorEastAsia"/>
        </w:rPr>
        <w:tab/>
      </w:r>
      <w:r w:rsidR="006C43CF">
        <w:rPr>
          <w:rFonts w:eastAsiaTheme="minorEastAsia"/>
        </w:rPr>
        <w:tab/>
      </w:r>
      <w:r w:rsidR="006C43CF">
        <w:rPr>
          <w:rFonts w:eastAsiaTheme="minorEastAsia"/>
        </w:rPr>
        <w:tab/>
        <w:t xml:space="preserve"> </w:t>
      </w:r>
      <w:r w:rsidR="006C43CF" w:rsidRPr="00115FA3">
        <w:rPr>
          <w:rFonts w:eastAsiaTheme="minorEastAsia"/>
        </w:rPr>
        <w:t>(1a)</w:t>
      </w:r>
    </w:p>
    <w:p w:rsidR="006C43CF" w:rsidRPr="00115FA3" w:rsidRDefault="009D61A3" w:rsidP="006C43CF">
      <w:pPr>
        <w:widowControl w:val="0"/>
        <w:autoSpaceDE w:val="0"/>
        <w:autoSpaceDN w:val="0"/>
        <w:adjustRightInd w:val="0"/>
        <w:spacing w:before="120" w:after="120"/>
        <w:ind w:firstLine="567"/>
      </w:pPr>
      <m:oMath>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i</m:t>
            </m:r>
          </m:sub>
        </m:sSub>
      </m:oMath>
      <w:r w:rsidR="006C43CF" w:rsidRPr="00115FA3">
        <w:rPr>
          <w:rFonts w:eastAsiaTheme="minorEastAsia"/>
        </w:rPr>
        <w:t xml:space="preserve"> = </w:t>
      </w:r>
      <m:oMath>
        <m:d>
          <m:dPr>
            <m:begChr m:val="{"/>
            <m:endChr m:val=""/>
            <m:ctrlPr>
              <w:rPr>
                <w:rFonts w:ascii="Cambria Math" w:eastAsiaTheme="minorEastAsia" w:hAnsi="Cambria Math"/>
                <w:i/>
              </w:rPr>
            </m:ctrlPr>
          </m:dPr>
          <m:e>
            <m:eqArr>
              <m:eqArrPr>
                <m:ctrlPr>
                  <w:rPr>
                    <w:rFonts w:ascii="Cambria Math" w:eastAsiaTheme="minorEastAsia" w:hAnsi="Cambria Math"/>
                    <w:i/>
                  </w:rPr>
                </m:ctrlPr>
              </m:eqArrPr>
              <m:e>
                <m:sSubSup>
                  <m:sSubSupPr>
                    <m:ctrlPr>
                      <w:rPr>
                        <w:rFonts w:ascii="Cambria Math" w:eastAsiaTheme="minorEastAsia" w:hAnsi="Cambria Math"/>
                        <w:i/>
                      </w:rPr>
                    </m:ctrlPr>
                  </m:sSubSupPr>
                  <m:e>
                    <m:r>
                      <w:rPr>
                        <w:rFonts w:ascii="Cambria Math" w:eastAsiaTheme="minorEastAsia" w:hAnsi="Cambria Math"/>
                      </w:rPr>
                      <m:t>y</m:t>
                    </m:r>
                  </m:e>
                  <m:sub>
                    <m:r>
                      <w:rPr>
                        <w:rFonts w:ascii="Cambria Math" w:eastAsiaTheme="minorEastAsia" w:hAnsi="Cambria Math"/>
                      </w:rPr>
                      <m:t>i</m:t>
                    </m:r>
                  </m:sub>
                  <m:sup>
                    <m:r>
                      <w:rPr>
                        <w:rFonts w:ascii="Cambria Math" w:eastAsiaTheme="minorEastAsia" w:hAnsi="Cambria Math"/>
                      </w:rPr>
                      <m:t>*</m:t>
                    </m:r>
                  </m:sup>
                </m:sSubSup>
              </m:e>
              <m:e>
                <m:r>
                  <w:rPr>
                    <w:rFonts w:ascii="Cambria Math" w:eastAsiaTheme="minorEastAsia" w:hAnsi="Cambria Math"/>
                  </w:rPr>
                  <m:t>0</m:t>
                </m:r>
              </m:e>
            </m:eqArr>
          </m:e>
        </m:d>
      </m:oMath>
      <w:r w:rsidR="006C43CF" w:rsidRPr="00115FA3">
        <w:rPr>
          <w:rFonts w:eastAsiaTheme="minorEastAsia"/>
        </w:rPr>
        <w:t xml:space="preserve">  </w:t>
      </w:r>
      <m:oMath>
        <m:f>
          <m:fPr>
            <m:type m:val="noBar"/>
            <m:ctrlPr>
              <w:rPr>
                <w:rFonts w:ascii="Cambria Math" w:eastAsiaTheme="minorEastAsia" w:hAnsi="Cambria Math"/>
                <w:i/>
              </w:rPr>
            </m:ctrlPr>
          </m:fPr>
          <m:num>
            <m:r>
              <w:rPr>
                <w:rFonts w:ascii="Cambria Math" w:eastAsiaTheme="minorEastAsia" w:hAnsi="Cambria Math"/>
              </w:rPr>
              <m:t>eğer</m:t>
            </m:r>
          </m:num>
          <m:den>
            <m:r>
              <w:rPr>
                <w:rFonts w:ascii="Cambria Math" w:eastAsiaTheme="minorEastAsia" w:hAnsi="Cambria Math"/>
              </w:rPr>
              <m:t>eğer</m:t>
            </m:r>
          </m:den>
        </m:f>
      </m:oMath>
      <w:r w:rsidR="006C43CF" w:rsidRPr="00115FA3">
        <w:rPr>
          <w:rFonts w:eastAsiaTheme="minorEastAsia"/>
        </w:rPr>
        <w:t xml:space="preserve"> </w:t>
      </w:r>
      <m:oMath>
        <m:m>
          <m:mPr>
            <m:mcs>
              <m:mc>
                <m:mcPr>
                  <m:count m:val="1"/>
                  <m:mcJc m:val="center"/>
                </m:mcPr>
              </m:mc>
            </m:mcs>
            <m:ctrlPr>
              <w:rPr>
                <w:rFonts w:ascii="Cambria Math" w:eastAsiaTheme="minorEastAsia" w:hAnsi="Cambria Math"/>
                <w:i/>
              </w:rPr>
            </m:ctrlPr>
          </m:mPr>
          <m:mr>
            <m:e>
              <m:sSubSup>
                <m:sSubSupPr>
                  <m:ctrlPr>
                    <w:rPr>
                      <w:rFonts w:ascii="Cambria Math" w:eastAsiaTheme="minorEastAsia" w:hAnsi="Cambria Math"/>
                      <w:i/>
                    </w:rPr>
                  </m:ctrlPr>
                </m:sSubSupPr>
                <m:e>
                  <m:r>
                    <w:rPr>
                      <w:rFonts w:ascii="Cambria Math" w:eastAsiaTheme="minorEastAsia" w:hAnsi="Cambria Math"/>
                    </w:rPr>
                    <m:t>y</m:t>
                  </m:r>
                </m:e>
                <m:sub>
                  <m:r>
                    <w:rPr>
                      <w:rFonts w:ascii="Cambria Math" w:eastAsiaTheme="minorEastAsia" w:hAnsi="Cambria Math"/>
                    </w:rPr>
                    <m:t>i</m:t>
                  </m:r>
                </m:sub>
                <m:sup>
                  <m:r>
                    <w:rPr>
                      <w:rFonts w:ascii="Cambria Math" w:eastAsiaTheme="minorEastAsia" w:hAnsi="Cambria Math"/>
                    </w:rPr>
                    <m:t>*</m:t>
                  </m:r>
                </m:sup>
              </m:sSubSup>
            </m:e>
          </m:mr>
          <m:mr>
            <m:e>
              <m:sSubSup>
                <m:sSubSupPr>
                  <m:ctrlPr>
                    <w:rPr>
                      <w:rFonts w:ascii="Cambria Math" w:eastAsiaTheme="minorEastAsia" w:hAnsi="Cambria Math"/>
                      <w:i/>
                    </w:rPr>
                  </m:ctrlPr>
                </m:sSubSupPr>
                <m:e>
                  <m:r>
                    <w:rPr>
                      <w:rFonts w:ascii="Cambria Math" w:eastAsiaTheme="minorEastAsia" w:hAnsi="Cambria Math"/>
                    </w:rPr>
                    <m:t>y</m:t>
                  </m:r>
                </m:e>
                <m:sub>
                  <m:r>
                    <w:rPr>
                      <w:rFonts w:ascii="Cambria Math" w:eastAsiaTheme="minorEastAsia" w:hAnsi="Cambria Math"/>
                    </w:rPr>
                    <m:t>i</m:t>
                  </m:r>
                </m:sub>
                <m:sup>
                  <m:r>
                    <w:rPr>
                      <w:rFonts w:ascii="Cambria Math" w:eastAsiaTheme="minorEastAsia" w:hAnsi="Cambria Math"/>
                    </w:rPr>
                    <m:t>*</m:t>
                  </m:r>
                </m:sup>
              </m:sSubSup>
            </m:e>
          </m:mr>
        </m:m>
        <m:m>
          <m:mPr>
            <m:mcs>
              <m:mc>
                <m:mcPr>
                  <m:count m:val="1"/>
                  <m:mcJc m:val="center"/>
                </m:mcPr>
              </m:mc>
            </m:mcs>
            <m:ctrlPr>
              <w:rPr>
                <w:rFonts w:ascii="Cambria Math" w:eastAsiaTheme="minorEastAsia" w:hAnsi="Cambria Math"/>
                <w:i/>
              </w:rPr>
            </m:ctrlPr>
          </m:mPr>
          <m:mr>
            <m:e>
              <m:r>
                <w:rPr>
                  <w:rFonts w:ascii="Cambria Math" w:eastAsiaTheme="minorEastAsia" w:hAnsi="Cambria Math"/>
                </w:rPr>
                <m:t>&gt;</m:t>
              </m:r>
            </m:e>
          </m:mr>
          <m:mr>
            <m:e>
              <m:r>
                <w:rPr>
                  <w:rFonts w:ascii="Cambria Math" w:eastAsiaTheme="minorEastAsia" w:hAnsi="Cambria Math"/>
                </w:rPr>
                <m:t>≤</m:t>
              </m:r>
            </m:e>
          </m:mr>
        </m:m>
        <m:m>
          <m:mPr>
            <m:mcs>
              <m:mc>
                <m:mcPr>
                  <m:count m:val="1"/>
                  <m:mcJc m:val="center"/>
                </m:mcPr>
              </m:mc>
            </m:mcs>
            <m:ctrlPr>
              <w:rPr>
                <w:rFonts w:ascii="Cambria Math" w:eastAsiaTheme="minorEastAsia" w:hAnsi="Cambria Math"/>
                <w:i/>
              </w:rPr>
            </m:ctrlPr>
          </m:mPr>
          <m:mr>
            <m:e>
              <m:r>
                <w:rPr>
                  <w:rFonts w:ascii="Cambria Math" w:eastAsiaTheme="minorEastAsia" w:hAnsi="Cambria Math"/>
                </w:rPr>
                <m:t>0</m:t>
              </m:r>
            </m:e>
          </m:mr>
          <m:mr>
            <m:e>
              <m:r>
                <w:rPr>
                  <w:rFonts w:ascii="Cambria Math" w:eastAsiaTheme="minorEastAsia" w:hAnsi="Cambria Math"/>
                </w:rPr>
                <m:t>0</m:t>
              </m:r>
            </m:e>
          </m:mr>
        </m:m>
      </m:oMath>
      <w:r w:rsidR="006C43CF">
        <w:rPr>
          <w:rFonts w:eastAsiaTheme="minorEastAsia"/>
        </w:rPr>
        <w:t xml:space="preserve">  </w:t>
      </w:r>
      <w:r w:rsidR="006C43CF">
        <w:rPr>
          <w:rFonts w:eastAsiaTheme="minorEastAsia"/>
        </w:rPr>
        <w:tab/>
      </w:r>
      <w:r w:rsidR="006C43CF">
        <w:rPr>
          <w:rFonts w:eastAsiaTheme="minorEastAsia"/>
        </w:rPr>
        <w:tab/>
      </w:r>
      <w:r w:rsidR="006C43CF">
        <w:rPr>
          <w:rFonts w:eastAsiaTheme="minorEastAsia"/>
        </w:rPr>
        <w:tab/>
      </w:r>
      <w:r w:rsidR="006C43CF">
        <w:rPr>
          <w:rFonts w:eastAsiaTheme="minorEastAsia"/>
        </w:rPr>
        <w:tab/>
      </w:r>
      <w:r w:rsidR="006C43CF">
        <w:rPr>
          <w:rFonts w:eastAsiaTheme="minorEastAsia"/>
        </w:rPr>
        <w:tab/>
      </w:r>
      <w:r w:rsidR="006C43CF">
        <w:rPr>
          <w:rFonts w:eastAsiaTheme="minorEastAsia"/>
        </w:rPr>
        <w:tab/>
      </w:r>
      <w:r w:rsidR="006C43CF">
        <w:rPr>
          <w:rFonts w:eastAsiaTheme="minorEastAsia"/>
        </w:rPr>
        <w:tab/>
      </w:r>
      <w:r w:rsidR="006C43CF">
        <w:rPr>
          <w:rFonts w:eastAsiaTheme="minorEastAsia"/>
        </w:rPr>
        <w:tab/>
      </w:r>
      <w:r w:rsidR="006C43CF" w:rsidRPr="00115FA3">
        <w:rPr>
          <w:rFonts w:eastAsiaTheme="minorEastAsia"/>
        </w:rPr>
        <w:t xml:space="preserve"> (1b)</w:t>
      </w:r>
    </w:p>
    <w:p w:rsidR="009D2B51" w:rsidRPr="009D2B51" w:rsidRDefault="009D2B51" w:rsidP="006C43CF">
      <w:pPr>
        <w:ind w:firstLine="0"/>
        <w:rPr>
          <w:shd w:val="clear" w:color="auto" w:fill="FFFFFF"/>
        </w:rPr>
      </w:pPr>
    </w:p>
    <w:p w:rsidR="006C43CF" w:rsidRDefault="006C43CF" w:rsidP="006C43CF">
      <w:pPr>
        <w:rPr>
          <w:rFonts w:eastAsiaTheme="minorEastAsia"/>
        </w:rPr>
      </w:pPr>
      <w:r w:rsidRPr="00115FA3">
        <w:t xml:space="preserve">Yukarıdaki denklemlerde </w:t>
      </w:r>
      <m:oMath>
        <m:sSubSup>
          <m:sSubSupPr>
            <m:ctrlPr>
              <w:rPr>
                <w:rFonts w:ascii="Cambria Math" w:hAnsi="Cambria Math"/>
                <w:i/>
              </w:rPr>
            </m:ctrlPr>
          </m:sSubSupPr>
          <m:e>
            <m:r>
              <w:rPr>
                <w:rFonts w:ascii="Cambria Math" w:hAnsi="Cambria Math"/>
              </w:rPr>
              <m:t>y</m:t>
            </m:r>
          </m:e>
          <m:sub>
            <m:r>
              <w:rPr>
                <w:rFonts w:ascii="Cambria Math" w:hAnsi="Cambria Math"/>
              </w:rPr>
              <m:t>i</m:t>
            </m:r>
          </m:sub>
          <m:sup>
            <m:r>
              <w:rPr>
                <w:rFonts w:ascii="Cambria Math" w:hAnsi="Cambria Math"/>
              </w:rPr>
              <m:t>*</m:t>
            </m:r>
          </m:sup>
        </m:sSubSup>
      </m:oMath>
      <w:r w:rsidRPr="00115FA3">
        <w:rPr>
          <w:rFonts w:eastAsiaTheme="minorEastAsia"/>
        </w:rPr>
        <w:t xml:space="preserve"> : latent (gizli) içsel değişken yani i. hanehalkının gizli katılım ve tüketim kararını,</w:t>
      </w:r>
      <w:r w:rsidR="00777E3A">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m:t>
            </m:r>
          </m:sub>
        </m:sSub>
      </m:oMath>
      <w:r w:rsidRPr="00115FA3">
        <w:t xml:space="preserve">: </w:t>
      </w:r>
      <w:r>
        <w:t>h</w:t>
      </w:r>
      <w:r w:rsidRPr="00115FA3">
        <w:t xml:space="preserve">anehalkını oluşturan sosyoekonomik ve demografik değişkenler matrisini, β: </w:t>
      </w:r>
      <w:r>
        <w:t>p</w:t>
      </w:r>
      <w:r w:rsidRPr="00115FA3">
        <w:t>arametreler vektörünü ve son olarak</w:t>
      </w:r>
      <w:r>
        <w:t xml:space="preserve"> d</w:t>
      </w:r>
      <w:r w:rsidRPr="00115FA3">
        <w:t>a</w:t>
      </w:r>
      <w:r w:rsidR="00777E3A">
        <w:t xml:space="preserve"> </w:t>
      </w:r>
      <m:oMath>
        <m:sSub>
          <m:sSubPr>
            <m:ctrlPr>
              <w:rPr>
                <w:rFonts w:ascii="Cambria Math" w:hAnsi="Cambria Math"/>
                <w:i/>
              </w:rPr>
            </m:ctrlPr>
          </m:sSubPr>
          <m:e>
            <m:r>
              <w:rPr>
                <w:rFonts w:ascii="Cambria Math" w:hAnsi="Cambria Math"/>
              </w:rPr>
              <m:t>ε</m:t>
            </m:r>
          </m:e>
          <m:sub>
            <m:r>
              <w:rPr>
                <w:rFonts w:ascii="Cambria Math" w:hAnsi="Cambria Math"/>
              </w:rPr>
              <m:t>i</m:t>
            </m:r>
          </m:sub>
        </m:sSub>
      </m:oMath>
      <w:r w:rsidRPr="00115FA3">
        <w:t xml:space="preserve"> sabit</w:t>
      </w:r>
      <w:r>
        <w:t xml:space="preserve"> varyans</w:t>
      </w:r>
      <w:r w:rsidRPr="00115FA3">
        <w:t xml:space="preserve"> ve normal dağılıma sahip olduğu kabul edilen hata terimi</w:t>
      </w:r>
      <w:r>
        <w:t>ni temsil etmektedir.</w:t>
      </w:r>
      <w:r w:rsidRPr="00115FA3">
        <w:t xml:space="preserve"> </w:t>
      </w:r>
      <w:r>
        <w:t xml:space="preserve">Denklem </w:t>
      </w:r>
      <w:r w:rsidRPr="00115FA3">
        <w:rPr>
          <w:rFonts w:eastAsiaTheme="minorEastAsia"/>
        </w:rPr>
        <w:t>(1b)</w:t>
      </w:r>
      <w:r>
        <w:rPr>
          <w:rFonts w:eastAsiaTheme="minorEastAsia"/>
        </w:rPr>
        <w:t xml:space="preserve">, </w:t>
      </w:r>
      <w:r w:rsidRPr="00115FA3">
        <w:rPr>
          <w:rFonts w:eastAsiaTheme="minorEastAsia"/>
        </w:rPr>
        <w:t xml:space="preserve">tüketimin pozitif olduğu durumda </w:t>
      </w:r>
      <m:oMath>
        <m:sSubSup>
          <m:sSubSupPr>
            <m:ctrlPr>
              <w:rPr>
                <w:rFonts w:ascii="Cambria Math" w:eastAsiaTheme="minorEastAsia" w:hAnsi="Cambria Math"/>
                <w:i/>
              </w:rPr>
            </m:ctrlPr>
          </m:sSubSupPr>
          <m:e>
            <m:r>
              <w:rPr>
                <w:rFonts w:ascii="Cambria Math" w:eastAsiaTheme="minorEastAsia" w:hAnsi="Cambria Math"/>
              </w:rPr>
              <m:t>y</m:t>
            </m:r>
          </m:e>
          <m:sub>
            <m:r>
              <w:rPr>
                <w:rFonts w:ascii="Cambria Math" w:eastAsiaTheme="minorEastAsia" w:hAnsi="Cambria Math"/>
              </w:rPr>
              <m:t>i</m:t>
            </m:r>
          </m:sub>
          <m:sup>
            <m:r>
              <w:rPr>
                <w:rFonts w:ascii="Cambria Math" w:eastAsiaTheme="minorEastAsia" w:hAnsi="Cambria Math"/>
              </w:rPr>
              <m:t>*</m:t>
            </m:r>
          </m:sup>
        </m:sSubSup>
      </m:oMath>
      <w:r w:rsidRPr="00115FA3">
        <w:rPr>
          <w:rFonts w:eastAsiaTheme="minorEastAsia"/>
        </w:rPr>
        <w:t xml:space="preserve"> değişkeninin pozitif ve sürekli bir değer elde ettiğini ancak tersi durumda sıfır değerini aldığını göstermektedir. </w:t>
      </w:r>
    </w:p>
    <w:p w:rsidR="006C43CF" w:rsidRDefault="006C43CF" w:rsidP="006C43CF">
      <w:pPr>
        <w:rPr>
          <w:shd w:val="clear" w:color="auto" w:fill="FFFFFF"/>
        </w:rPr>
      </w:pPr>
      <w:r w:rsidRPr="00115FA3">
        <w:rPr>
          <w:rFonts w:eastAsiaTheme="minorEastAsia"/>
        </w:rPr>
        <w:t>Buradaki önemli nokta, negatif bir sigara tü</w:t>
      </w:r>
      <w:r w:rsidR="003A2A11">
        <w:rPr>
          <w:rFonts w:eastAsiaTheme="minorEastAsia"/>
        </w:rPr>
        <w:t>ketiminin varlığı söz konusu ol</w:t>
      </w:r>
      <w:r w:rsidRPr="00115FA3">
        <w:rPr>
          <w:rFonts w:eastAsiaTheme="minorEastAsia"/>
        </w:rPr>
        <w:t xml:space="preserve">mayacağı için genelleme kaybına sebebiyet vermeden sıfır gözlem değerlerinde </w:t>
      </w:r>
      <w:r w:rsidRPr="00115FA3">
        <w:rPr>
          <w:rFonts w:eastAsiaTheme="minorEastAsia"/>
        </w:rPr>
        <w:lastRenderedPageBreak/>
        <w:t xml:space="preserve">sansürleme yapılması söz konusu olabilir. Burada elde edilen sıfır değeri i. tüketicinin bir yandan </w:t>
      </w:r>
      <w:r w:rsidRPr="00115FA3">
        <w:t xml:space="preserve">kasıtlı tüketim miktarını bir yandan da verileri elde etmede </w:t>
      </w:r>
    </w:p>
    <w:p w:rsidR="006C43CF" w:rsidRDefault="006C43CF" w:rsidP="006C43CF">
      <w:r w:rsidRPr="00115FA3">
        <w:t xml:space="preserve">meydana gelen sansür durumunu temsil etmektedir. </w:t>
      </w:r>
      <w:r w:rsidR="00777E3A">
        <w:t xml:space="preserve">Denklem (2) </w:t>
      </w:r>
      <w:r w:rsidRPr="00115FA3">
        <w:t>, Tobit yöntemi en çok olabilirlik tahmin edicilerine yer verir ve Tobit yöntemi için oluşturulan log olabilirlik denklemi</w:t>
      </w:r>
      <w:r w:rsidR="00777E3A">
        <w:t>ni temsil eder.</w:t>
      </w:r>
    </w:p>
    <w:p w:rsidR="006C43CF" w:rsidRPr="00115FA3" w:rsidRDefault="009D61A3" w:rsidP="006C43CF">
      <w:pPr>
        <w:spacing w:before="120" w:after="120"/>
        <w:ind w:firstLine="567"/>
        <w:rPr>
          <w:rFonts w:eastAsiaTheme="minorEastAsia"/>
        </w:rPr>
      </w:pPr>
      <m:oMath>
        <m:sSub>
          <m:sSubPr>
            <m:ctrlPr>
              <w:rPr>
                <w:rFonts w:ascii="Cambria Math" w:eastAsiaTheme="minorEastAsia" w:hAnsi="Cambria Math"/>
                <w:i/>
              </w:rPr>
            </m:ctrlPr>
          </m:sSubPr>
          <m:e>
            <m:r>
              <w:rPr>
                <w:rFonts w:ascii="Cambria Math" w:eastAsiaTheme="minorEastAsia" w:hAnsi="Cambria Math"/>
              </w:rPr>
              <m:t>LL</m:t>
            </m:r>
          </m:e>
          <m:sub>
            <m:r>
              <w:rPr>
                <w:rFonts w:ascii="Cambria Math" w:eastAsiaTheme="minorEastAsia" w:hAnsi="Cambria Math"/>
              </w:rPr>
              <m:t>Tobit</m:t>
            </m:r>
          </m:sub>
        </m:sSub>
      </m:oMath>
      <w:r w:rsidR="006C43CF">
        <w:rPr>
          <w:rFonts w:eastAsiaTheme="minorEastAsia"/>
        </w:rPr>
        <w:t>=</w:t>
      </w:r>
      <m:oMath>
        <m:nary>
          <m:naryPr>
            <m:chr m:val="∑"/>
            <m:limLoc m:val="subSup"/>
            <m:supHide m:val="1"/>
            <m:ctrlPr>
              <w:rPr>
                <w:rFonts w:ascii="Cambria Math" w:eastAsiaTheme="minorEastAsia" w:hAnsi="Cambria Math"/>
                <w:i/>
              </w:rPr>
            </m:ctrlPr>
          </m:naryPr>
          <m:sub>
            <m:r>
              <w:rPr>
                <w:rFonts w:ascii="Cambria Math" w:eastAsiaTheme="minorEastAsia" w:hAnsi="Cambria Math"/>
              </w:rPr>
              <m:t>0</m:t>
            </m:r>
          </m:sub>
          <m:sup/>
          <m:e>
            <m:r>
              <w:rPr>
                <w:rFonts w:ascii="Cambria Math" w:eastAsiaTheme="minorEastAsia" w:hAnsi="Cambria Math"/>
              </w:rPr>
              <m:t>ln</m:t>
            </m:r>
          </m:e>
        </m:nary>
        <m:d>
          <m:dPr>
            <m:begChr m:val="["/>
            <m:endChr m:val="]"/>
            <m:ctrlPr>
              <w:rPr>
                <w:rFonts w:ascii="Cambria Math" w:eastAsiaTheme="minorEastAsia" w:hAnsi="Cambria Math"/>
                <w:i/>
              </w:rPr>
            </m:ctrlPr>
          </m:dPr>
          <m:e>
            <m:r>
              <w:rPr>
                <w:rFonts w:ascii="Cambria Math" w:eastAsiaTheme="minorEastAsia" w:hAnsi="Cambria Math"/>
              </w:rPr>
              <m:t>1-ϕ</m:t>
            </m:r>
            <m:d>
              <m:dPr>
                <m:ctrlPr>
                  <w:rPr>
                    <w:rFonts w:ascii="Cambria Math" w:eastAsiaTheme="minorEastAsia" w:hAnsi="Cambria Math"/>
                    <w:i/>
                  </w:rPr>
                </m:ctrlPr>
              </m:dPr>
              <m:e>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Ansi="Cambria Math"/>
                          </w:rPr>
                          <m:t>x</m:t>
                        </m:r>
                      </m:e>
                      <m:sub>
                        <m:r>
                          <w:rPr>
                            <w:rFonts w:ascii="Cambria Math" w:eastAsiaTheme="minorEastAsia" w:hAnsi="Cambria Math"/>
                          </w:rPr>
                          <m:t>i</m:t>
                        </m:r>
                      </m:sub>
                      <m:sup>
                        <m:r>
                          <w:rPr>
                            <w:rFonts w:ascii="Cambria Math" w:eastAsiaTheme="minorEastAsia" w:hAnsi="Cambria Math"/>
                          </w:rPr>
                          <m:t>'</m:t>
                        </m:r>
                      </m:sup>
                    </m:sSubSup>
                    <m:r>
                      <w:rPr>
                        <w:rFonts w:ascii="Cambria Math" w:eastAsiaTheme="minorEastAsia" w:hAnsi="Cambria Math"/>
                      </w:rPr>
                      <m:t>β</m:t>
                    </m:r>
                  </m:num>
                  <m:den>
                    <m:r>
                      <w:rPr>
                        <w:rFonts w:ascii="Cambria Math" w:eastAsiaTheme="minorEastAsia" w:hAnsi="Cambria Math"/>
                      </w:rPr>
                      <m:t>σ</m:t>
                    </m:r>
                  </m:den>
                </m:f>
              </m:e>
            </m:d>
          </m:e>
        </m:d>
        <m:r>
          <w:rPr>
            <w:rFonts w:ascii="Cambria Math" w:eastAsiaTheme="minorEastAsia" w:hAnsi="Cambria Math"/>
          </w:rPr>
          <m:t>+</m:t>
        </m:r>
        <m:nary>
          <m:naryPr>
            <m:chr m:val="∑"/>
            <m:limLoc m:val="subSup"/>
            <m:supHide m:val="1"/>
            <m:ctrlPr>
              <w:rPr>
                <w:rFonts w:ascii="Cambria Math" w:eastAsiaTheme="minorEastAsia" w:hAnsi="Cambria Math"/>
                <w:i/>
              </w:rPr>
            </m:ctrlPr>
          </m:naryPr>
          <m:sub>
            <m:r>
              <w:rPr>
                <w:rFonts w:ascii="Cambria Math" w:eastAsiaTheme="minorEastAsia" w:hAnsi="Cambria Math"/>
              </w:rPr>
              <m:t>+</m:t>
            </m:r>
          </m:sub>
          <m:sup/>
          <m:e>
            <m:r>
              <w:rPr>
                <w:rFonts w:ascii="Cambria Math" w:eastAsiaTheme="minorEastAsia" w:hAnsi="Cambria Math"/>
              </w:rPr>
              <m:t>ln</m:t>
            </m:r>
          </m:e>
        </m:nary>
        <m:d>
          <m:dPr>
            <m:begChr m:val="["/>
            <m:endChr m:val="]"/>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σ</m:t>
                      </m:r>
                    </m:den>
                  </m:f>
                  <m:r>
                    <w:rPr>
                      <w:rFonts w:ascii="Cambria Math" w:eastAsiaTheme="minorEastAsia" w:hAnsi="Cambria Math"/>
                    </w:rPr>
                    <m:t>φ</m:t>
                  </m:r>
                  <m:d>
                    <m:dPr>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i</m:t>
                              </m:r>
                            </m:sub>
                          </m:sSub>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X</m:t>
                              </m:r>
                            </m:e>
                            <m:sub>
                              <m:r>
                                <w:rPr>
                                  <w:rFonts w:ascii="Cambria Math" w:eastAsiaTheme="minorEastAsia" w:hAnsi="Cambria Math"/>
                                </w:rPr>
                                <m:t>i</m:t>
                              </m:r>
                            </m:sub>
                            <m:sup>
                              <m:r>
                                <w:rPr>
                                  <w:rFonts w:ascii="Cambria Math" w:eastAsiaTheme="minorEastAsia" w:hAnsi="Cambria Math"/>
                                </w:rPr>
                                <m:t>'</m:t>
                              </m:r>
                            </m:sup>
                          </m:sSubSup>
                          <m:r>
                            <w:rPr>
                              <w:rFonts w:ascii="Cambria Math" w:eastAsiaTheme="minorEastAsia" w:hAnsi="Cambria Math"/>
                            </w:rPr>
                            <m:t>β</m:t>
                          </m:r>
                        </m:num>
                        <m:den>
                          <m:r>
                            <w:rPr>
                              <w:rFonts w:ascii="Cambria Math" w:eastAsiaTheme="minorEastAsia" w:hAnsi="Cambria Math"/>
                            </w:rPr>
                            <m:t>σ</m:t>
                          </m:r>
                        </m:den>
                      </m:f>
                    </m:e>
                  </m:d>
                </m:e>
              </m:mr>
            </m:m>
          </m:e>
        </m:d>
      </m:oMath>
      <w:r w:rsidR="006C43CF" w:rsidRPr="00115FA3">
        <w:rPr>
          <w:rFonts w:eastAsiaTheme="minorEastAsia"/>
        </w:rPr>
        <w:t xml:space="preserve">       </w:t>
      </w:r>
      <w:r w:rsidR="006C43CF">
        <w:rPr>
          <w:rFonts w:eastAsiaTheme="minorEastAsia"/>
        </w:rPr>
        <w:tab/>
        <w:t xml:space="preserve">  </w:t>
      </w:r>
      <w:r w:rsidR="006C43CF" w:rsidRPr="00115FA3">
        <w:rPr>
          <w:rFonts w:eastAsiaTheme="minorEastAsia"/>
        </w:rPr>
        <w:t xml:space="preserve">                       (2)</w:t>
      </w:r>
    </w:p>
    <w:p w:rsidR="006C43CF" w:rsidRDefault="006C43CF" w:rsidP="006C43CF">
      <w:pPr>
        <w:spacing w:before="120" w:after="120"/>
        <w:ind w:firstLine="567"/>
      </w:pPr>
    </w:p>
    <w:p w:rsidR="006C43CF" w:rsidRPr="009D2B51" w:rsidRDefault="00777E3A" w:rsidP="004010AA">
      <w:pPr>
        <w:rPr>
          <w:shd w:val="clear" w:color="auto" w:fill="FFFFFF"/>
        </w:rPr>
      </w:pPr>
      <w:r>
        <w:t>Denklem (2)’de</w:t>
      </w:r>
      <w:r w:rsidR="006C43CF" w:rsidRPr="00115FA3">
        <w:t xml:space="preserve"> 0: Verilen örneklem</w:t>
      </w:r>
      <w:r>
        <w:t xml:space="preserve">deki sıfır gözlem değerlerinin </w:t>
      </w:r>
      <w:r w:rsidR="006C43CF" w:rsidRPr="00115FA3">
        <w:t xml:space="preserve"> (</w:t>
      </w:r>
      <m:oMath>
        <m:sSub>
          <m:sSubPr>
            <m:ctrlPr>
              <w:rPr>
                <w:rFonts w:ascii="Cambria Math" w:hAnsi="Cambria Math"/>
                <w:i/>
              </w:rPr>
            </m:ctrlPr>
          </m:sSubPr>
          <m:e>
            <m:r>
              <w:rPr>
                <w:rFonts w:ascii="Cambria Math" w:hAnsi="Cambria Math"/>
              </w:rPr>
              <m:t>y</m:t>
            </m:r>
          </m:e>
          <m:sub>
            <m:r>
              <w:rPr>
                <w:rFonts w:ascii="Cambria Math" w:hAnsi="Cambria Math"/>
              </w:rPr>
              <m:t>i</m:t>
            </m:r>
          </m:sub>
        </m:sSub>
      </m:oMath>
      <w:r w:rsidR="006C43CF" w:rsidRPr="00115FA3">
        <w:t>= 0) toplamını, +: Denklemde</w:t>
      </w:r>
      <w:r>
        <w:t xml:space="preserve">ki pozitif gözlem değerlerinin </w:t>
      </w:r>
      <m:oMath>
        <m:sSub>
          <m:sSubPr>
            <m:ctrlPr>
              <w:rPr>
                <w:rFonts w:ascii="Cambria Math" w:hAnsi="Cambria Math"/>
                <w:i/>
              </w:rPr>
            </m:ctrlPr>
          </m:sSubPr>
          <m:e>
            <m:r>
              <w:rPr>
                <w:rFonts w:ascii="Cambria Math" w:hAnsi="Cambria Math"/>
              </w:rPr>
              <m:t>y</m:t>
            </m:r>
          </m:e>
          <m:sub>
            <m:r>
              <w:rPr>
                <w:rFonts w:ascii="Cambria Math" w:hAnsi="Cambria Math"/>
              </w:rPr>
              <m:t>i</m:t>
            </m:r>
          </m:sub>
        </m:sSub>
      </m:oMath>
      <w:r w:rsidR="006C43CF" w:rsidRPr="00115FA3">
        <w:t>&gt; 0) toplamını ifade ederken ϕ(.): Dağılımın standart normal dağılıma gö</w:t>
      </w:r>
      <w:r>
        <w:t>re dağıldığı fonksiyonu, φ(.): i</w:t>
      </w:r>
      <w:r w:rsidR="006C43CF" w:rsidRPr="00115FA3">
        <w:t xml:space="preserve">fadesi </w:t>
      </w:r>
      <w:r>
        <w:t>ise</w:t>
      </w:r>
      <w:r w:rsidR="006C43CF" w:rsidRPr="00115FA3">
        <w:t xml:space="preserve"> yoğunluk fonksiyonunu oluşturan gözlemleri ifade etmektedir.</w:t>
      </w:r>
    </w:p>
    <w:p w:rsidR="009D2B51" w:rsidRPr="009D2B51" w:rsidRDefault="009D2B51" w:rsidP="004010AA">
      <w:pPr>
        <w:pStyle w:val="AAAA"/>
        <w:rPr>
          <w:shd w:val="clear" w:color="auto" w:fill="FFFFFF"/>
        </w:rPr>
      </w:pPr>
      <w:bookmarkStart w:id="19" w:name="_Toc34134591"/>
      <w:r w:rsidRPr="009D2B51">
        <w:rPr>
          <w:shd w:val="clear" w:color="auto" w:fill="FFFFFF"/>
        </w:rPr>
        <w:t>2.1.2. Çift Eşik Yöntemi</w:t>
      </w:r>
      <w:bookmarkEnd w:id="19"/>
    </w:p>
    <w:p w:rsidR="009D2B51" w:rsidRPr="009D2B51" w:rsidRDefault="009D2B51" w:rsidP="004010AA">
      <w:pPr>
        <w:rPr>
          <w:shd w:val="clear" w:color="auto" w:fill="FFFFFF"/>
        </w:rPr>
      </w:pPr>
      <w:r w:rsidRPr="009D2B51">
        <w:rPr>
          <w:shd w:val="clear" w:color="auto" w:fill="FFFFFF"/>
        </w:rPr>
        <w:t xml:space="preserve">Ekonometride bilindiği üzere yapılan ampirik analizlerde toplanan verilerin çoğunun sıfır gözlemler aldığı ve bu gözlem değerlerinin dikkate alınmaması sonucunda yapılan çalışmalar da etkinlik kayıplarının olduğu gözlemlenmektedir. Herhangi bir tüketim ürününü daima satın alan bireyler ile nadiren satın alan bireyler veyahut hiç satın almayan bireyler arasındaki farklılığı Tobit modeli ayrıştıramamaktadır. </w:t>
      </w:r>
    </w:p>
    <w:p w:rsidR="009D2B51" w:rsidRPr="009D2B51" w:rsidRDefault="009D2B51" w:rsidP="004010AA">
      <w:pPr>
        <w:rPr>
          <w:shd w:val="clear" w:color="auto" w:fill="FFFFFF"/>
        </w:rPr>
      </w:pPr>
      <w:r w:rsidRPr="009D2B51">
        <w:rPr>
          <w:shd w:val="clear" w:color="auto" w:fill="FFFFFF"/>
        </w:rPr>
        <w:t>Güncel literatürde, çalışmalardaki sıfır gözlem değerlerinin tüketicinin ferdi tüketim tercihlerinin bir neticesi olarak gözlemlenebileceğini göz önünde bulunduran modeller sıklıkla tercih edilmektedir. Nitekim bu tezde tercih edilen Çift Eşik Modeli de bunlardan biridir. Bu model, çalışmaya konu olan değişkenlere ilişkin sıfır gözlem değerlerinin elde edilmesinin gelir düzeyi veya mal ve hizmet fiyatları gibi ekonomik sebeplerden ya da eğitim, örf ve adet, inanç, sağlık durumu, medeni durum ve meslek gibi bireylere ilişkin sosyokültürel faktörlerden kaynaklı olup olmadığının tespitinde avantaj sağlamaktadır (Yen ve Su, 1995; Şengül, 2002).</w:t>
      </w:r>
    </w:p>
    <w:p w:rsidR="009D2B51" w:rsidRPr="009D2B51" w:rsidRDefault="009D2B51" w:rsidP="004010AA">
      <w:pPr>
        <w:rPr>
          <w:shd w:val="clear" w:color="auto" w:fill="FFFFFF"/>
        </w:rPr>
      </w:pPr>
    </w:p>
    <w:p w:rsidR="009D2B51" w:rsidRPr="009D2B51" w:rsidRDefault="009D2B51" w:rsidP="004010AA">
      <w:pPr>
        <w:rPr>
          <w:shd w:val="clear" w:color="auto" w:fill="FFFFFF"/>
        </w:rPr>
      </w:pPr>
      <w:r w:rsidRPr="009D2B51">
        <w:rPr>
          <w:rFonts w:hint="eastAsia"/>
          <w:shd w:val="clear" w:color="auto" w:fill="FFFFFF"/>
        </w:rPr>
        <w:t>Ç</w:t>
      </w:r>
      <w:r w:rsidRPr="009D2B51">
        <w:rPr>
          <w:shd w:val="clear" w:color="auto" w:fill="FFFFFF"/>
        </w:rPr>
        <w:t xml:space="preserve">ift eşik yönteminde tüketim kararı (sigarayı tüketip tüketmeme kararı) alınırken bu kararın tüketim miktarı kararından ( ne kadar sigara tüketileceğini kararı) ayrı olarak alınması gerekmektedir. Bu kararların etkilerinin ayrı düşünülmemesi, gerek tüketicinin </w:t>
      </w:r>
      <w:r w:rsidRPr="009D2B51">
        <w:rPr>
          <w:shd w:val="clear" w:color="auto" w:fill="FFFFFF"/>
        </w:rPr>
        <w:lastRenderedPageBreak/>
        <w:t xml:space="preserve">tercihleri gerekse bu tercihlere uygun politika yapıcılar tarafından uygulanabilecek politikaların tutarsız sonuçlar vermesine sebebiyet </w:t>
      </w:r>
      <w:r w:rsidR="005B5FBD">
        <w:rPr>
          <w:shd w:val="clear" w:color="auto" w:fill="FFFFFF"/>
        </w:rPr>
        <w:t>verebilecektir</w:t>
      </w:r>
      <w:r w:rsidRPr="009D2B51">
        <w:rPr>
          <w:shd w:val="clear" w:color="auto" w:fill="FFFFFF"/>
        </w:rPr>
        <w:t xml:space="preserve">. Bundan dolayı bu modelde, tüketim tercihi yapılmadan önce iki aşamada karar alınması gerektiği ve tüketicinin satın alacağı ürünü bu </w:t>
      </w:r>
      <w:r w:rsidR="007E3863">
        <w:rPr>
          <w:shd w:val="clear" w:color="auto" w:fill="FFFFFF"/>
        </w:rPr>
        <w:t>ilk aşama</w:t>
      </w:r>
      <w:r w:rsidRPr="009D2B51">
        <w:rPr>
          <w:shd w:val="clear" w:color="auto" w:fill="FFFFFF"/>
        </w:rPr>
        <w:t xml:space="preserve"> geçildikten sonra tüketeceği varsayılmaktadır (Haines vd., 1988).</w:t>
      </w:r>
    </w:p>
    <w:p w:rsidR="009D2B51" w:rsidRDefault="009D2B51" w:rsidP="00EC06FA">
      <w:pPr>
        <w:rPr>
          <w:shd w:val="clear" w:color="auto" w:fill="FFFFFF"/>
        </w:rPr>
      </w:pPr>
      <w:r w:rsidRPr="009D2B51">
        <w:rPr>
          <w:rFonts w:hint="eastAsia"/>
          <w:shd w:val="clear" w:color="auto" w:fill="FFFFFF"/>
        </w:rPr>
        <w:t>Ç</w:t>
      </w:r>
      <w:r w:rsidRPr="009D2B51">
        <w:rPr>
          <w:shd w:val="clear" w:color="auto" w:fill="FFFFFF"/>
        </w:rPr>
        <w:t>ift eşik modelinde tüketicinin karar yapısı iki aşamadan oluşmaktadır. Birinci aşama olan katılım kararında bireyin pozitif miktarda sigara tüketimi yaptığı bilinmektedir. Bu aşamada saptanan sıfır gözlem değerlerinin, tüketicinin sigarayı dini inanç, zevk ve tercihler, sağlık, deneyim gibi demografik faktörlerden dolayı tüketmek istememesinden kaynakladığını ileri sürmektedir. İkinci aşama olan tüketim kararında ise sigara tüketmeye karar veren bireylerin sigaradan ne kadar tüketecekleri saptanmaktadır. Bu aşamada sıfır gözlem değerleri, sigarayı tüketen bireyin geliri veya sigaranın fiyatı gibi ekonomik faktörlerden dolayı sigaranın satın alınmak istenmemesinden kaynaklanmaktadır.</w:t>
      </w:r>
    </w:p>
    <w:p w:rsidR="006C43CF" w:rsidRDefault="006C43CF" w:rsidP="006C43CF">
      <w:r w:rsidRPr="00115FA3">
        <w:t xml:space="preserve">Tobit yönteminin </w:t>
      </w:r>
      <w:r>
        <w:t xml:space="preserve">eksikliklerine alternatif üreten </w:t>
      </w:r>
      <w:r w:rsidRPr="00115FA3">
        <w:t>çift eşik modelinde; birinci ve ikinci aşamadaki kararların her ikisi de birbirinden bağımsız bir şekilde belirlenen iki stokastik süreci oluştur</w:t>
      </w:r>
      <w:r>
        <w:t>maktadır.</w:t>
      </w:r>
      <w:r w:rsidRPr="00115FA3">
        <w:t xml:space="preserve"> Modelde T: Bireyin birinci aşamadaki katılım kararını, X: Bireyin ikinci aşamadaki tüketim kararını</w:t>
      </w:r>
      <w:r>
        <w:t xml:space="preserve"> temsil etmektedir</w:t>
      </w:r>
      <w:r w:rsidRPr="00115FA3">
        <w:t xml:space="preserve">. β ve α doğrusal yönde olup T ve X kararlarına etki eden parametreleri </w:t>
      </w:r>
      <w:r>
        <w:t xml:space="preserve">temsil etmektedir. </w:t>
      </w:r>
      <w:r w:rsidRPr="00115FA3">
        <w:t xml:space="preserve">Çift eşik yöntemini Pudney (1989) ve Jones (1989) </w:t>
      </w:r>
      <w:r w:rsidR="007E3863">
        <w:t>tarfından tanımlanmış olup  d</w:t>
      </w:r>
      <w:r>
        <w:t xml:space="preserve">enklem (3) bireyin gözlenen tüketimini ve Denklem (4a) ve (4b) bireyin katılım kararını, Denklem (5a) ve (5b) ise bireyin tüketim kararını formel olarak ifade etmektedir. </w:t>
      </w:r>
    </w:p>
    <w:p w:rsidR="006C43CF" w:rsidRPr="00115FA3" w:rsidRDefault="006C43CF" w:rsidP="006C43CF"/>
    <w:p w:rsidR="006C43CF" w:rsidRPr="00115FA3" w:rsidRDefault="006C43CF" w:rsidP="006C43CF">
      <w:pPr>
        <w:pStyle w:val="ListeParagraf"/>
        <w:numPr>
          <w:ilvl w:val="0"/>
          <w:numId w:val="4"/>
        </w:numPr>
        <w:spacing w:before="120" w:after="120" w:line="360" w:lineRule="auto"/>
        <w:ind w:left="0" w:firstLine="567"/>
        <w:rPr>
          <w:rFonts w:ascii="Times New Roman" w:hAnsi="Times New Roman" w:cs="Times New Roman"/>
          <w:sz w:val="24"/>
          <w:szCs w:val="24"/>
        </w:rPr>
      </w:pPr>
      <w:r w:rsidRPr="00115FA3">
        <w:rPr>
          <w:rFonts w:ascii="Times New Roman" w:hAnsi="Times New Roman" w:cs="Times New Roman"/>
          <w:sz w:val="24"/>
          <w:szCs w:val="24"/>
        </w:rPr>
        <w:t xml:space="preserve">Bireyin Gözlemlenen Tüketimi: </w:t>
      </w:r>
    </w:p>
    <w:p w:rsidR="006C43CF" w:rsidRPr="00115FA3" w:rsidRDefault="006C43CF" w:rsidP="006C43CF">
      <w:pPr>
        <w:spacing w:before="120" w:after="120"/>
        <w:ind w:firstLine="567"/>
        <w:rPr>
          <w:rFonts w:eastAsiaTheme="minorEastAsia"/>
        </w:rPr>
      </w:pPr>
      <m:oMath>
        <m:r>
          <w:rPr>
            <w:rFonts w:ascii="Cambria Math" w:eastAsiaTheme="minorEastAsia" w:hAnsi="Cambria Math"/>
          </w:rPr>
          <m:t xml:space="preserve"> y</m:t>
        </m:r>
      </m:oMath>
      <w:r w:rsidRPr="00115FA3">
        <w:rPr>
          <w:rFonts w:eastAsiaTheme="minorEastAsia"/>
        </w:rPr>
        <w:t>=</w:t>
      </w:r>
      <m:oMath>
        <m:r>
          <w:rPr>
            <w:rFonts w:ascii="Cambria Math" w:eastAsiaTheme="minorEastAsia" w:hAnsi="Cambria Math"/>
          </w:rPr>
          <m:t>d.</m:t>
        </m:r>
        <m:sSup>
          <m:sSupPr>
            <m:ctrlPr>
              <w:rPr>
                <w:rFonts w:ascii="Cambria Math" w:eastAsiaTheme="minorEastAsia" w:hAnsi="Cambria Math"/>
                <w:i/>
              </w:rPr>
            </m:ctrlPr>
          </m:sSupPr>
          <m:e>
            <m:r>
              <w:rPr>
                <w:rFonts w:ascii="Cambria Math" w:eastAsiaTheme="minorEastAsia" w:hAnsi="Cambria Math"/>
              </w:rPr>
              <m:t>y</m:t>
            </m:r>
          </m:e>
          <m:sup>
            <m:r>
              <w:rPr>
                <w:rFonts w:ascii="Cambria Math" w:eastAsiaTheme="minorEastAsia" w:hAnsi="Cambria Math"/>
              </w:rPr>
              <m:t>**</m:t>
            </m:r>
          </m:sup>
        </m:sSup>
      </m:oMath>
      <w:r>
        <w:rPr>
          <w:rFonts w:eastAsiaTheme="minorEastAsia"/>
        </w:rPr>
        <w:t xml:space="preserve"> </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 xml:space="preserve">  </w:t>
      </w:r>
      <w:r w:rsidRPr="00115FA3">
        <w:rPr>
          <w:rFonts w:eastAsiaTheme="minorEastAsia"/>
        </w:rPr>
        <w:t>(3)</w:t>
      </w:r>
    </w:p>
    <w:p w:rsidR="006C43CF" w:rsidRPr="00115FA3" w:rsidRDefault="006C43CF" w:rsidP="006C43CF">
      <w:pPr>
        <w:pStyle w:val="ListeParagraf"/>
        <w:numPr>
          <w:ilvl w:val="0"/>
          <w:numId w:val="4"/>
        </w:numPr>
        <w:spacing w:before="120" w:after="120" w:line="360" w:lineRule="auto"/>
        <w:ind w:left="0" w:firstLine="567"/>
        <w:rPr>
          <w:rFonts w:ascii="Times New Roman" w:hAnsi="Times New Roman" w:cs="Times New Roman"/>
          <w:sz w:val="24"/>
          <w:szCs w:val="24"/>
        </w:rPr>
      </w:pPr>
      <w:r w:rsidRPr="00115FA3">
        <w:rPr>
          <w:rFonts w:ascii="Times New Roman" w:hAnsi="Times New Roman" w:cs="Times New Roman"/>
          <w:sz w:val="24"/>
          <w:szCs w:val="24"/>
        </w:rPr>
        <w:t xml:space="preserve"> Birinci Aşama: Bireyin Katılım Kararı:</w:t>
      </w:r>
    </w:p>
    <w:p w:rsidR="006C43CF" w:rsidRPr="00115FA3" w:rsidRDefault="009D61A3" w:rsidP="006C43CF">
      <w:pPr>
        <w:pStyle w:val="ListeParagraf"/>
        <w:spacing w:before="120" w:after="120" w:line="360" w:lineRule="auto"/>
        <w:ind w:left="0" w:firstLine="567"/>
        <w:rPr>
          <w:rFonts w:ascii="Times New Roman" w:eastAsiaTheme="minorEastAsia" w:hAnsi="Times New Roman" w:cs="Times New Roman"/>
          <w:sz w:val="24"/>
          <w:szCs w:val="24"/>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y</m:t>
            </m:r>
          </m:e>
          <m:sub>
            <m:r>
              <w:rPr>
                <w:rFonts w:ascii="Cambria Math" w:eastAsiaTheme="minorEastAsia" w:hAnsi="Cambria Math" w:cs="Times New Roman"/>
                <w:sz w:val="24"/>
                <w:szCs w:val="24"/>
              </w:rPr>
              <m:t>i</m:t>
            </m:r>
          </m:sub>
          <m:sup>
            <m:r>
              <w:rPr>
                <w:rFonts w:ascii="Cambria Math" w:eastAsiaTheme="minorEastAsia" w:hAnsi="Cambria Math" w:cs="Times New Roman"/>
                <w:sz w:val="24"/>
                <w:szCs w:val="24"/>
              </w:rPr>
              <m:t>*</m:t>
            </m:r>
          </m:sup>
        </m:sSubSup>
      </m:oMath>
      <w:r w:rsidR="006C43CF" w:rsidRPr="00115FA3">
        <w:rPr>
          <w:rFonts w:ascii="Times New Roman" w:eastAsiaTheme="minorEastAsia" w:hAnsi="Times New Roman" w:cs="Times New Roman"/>
          <w:sz w:val="24"/>
          <w:szCs w:val="24"/>
        </w:rPr>
        <w:t>=</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i</m:t>
            </m:r>
          </m:sub>
        </m:sSub>
        <m:r>
          <w:rPr>
            <w:rFonts w:ascii="Cambria Math" w:eastAsiaTheme="minorEastAsia" w:hAnsi="Cambria Math" w:cs="Times New Roman"/>
            <w:sz w:val="24"/>
            <w:szCs w:val="24"/>
          </w:rPr>
          <m:t>a</m:t>
        </m:r>
      </m:oMath>
      <w:r w:rsidR="006C43CF" w:rsidRPr="00115FA3">
        <w:rPr>
          <w:rFonts w:ascii="Times New Roman" w:eastAsiaTheme="minorEastAsia" w:hAnsi="Times New Roman" w:cs="Times New Roman"/>
          <w:sz w:val="24"/>
          <w:szCs w:val="24"/>
        </w:rPr>
        <w:t xml:space="preserve"> +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u</m:t>
            </m:r>
          </m:e>
          <m:sub>
            <m:r>
              <w:rPr>
                <w:rFonts w:ascii="Cambria Math" w:eastAsiaTheme="minorEastAsia" w:hAnsi="Cambria Math" w:cs="Times New Roman"/>
                <w:sz w:val="24"/>
                <w:szCs w:val="24"/>
              </w:rPr>
              <m:t>i</m:t>
            </m:r>
          </m:sub>
        </m:sSub>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u</m:t>
            </m:r>
          </m:e>
          <m:sub>
            <m:r>
              <w:rPr>
                <w:rFonts w:ascii="Cambria Math" w:eastAsiaTheme="minorEastAsia" w:hAnsi="Cambria Math" w:cs="Times New Roman"/>
                <w:sz w:val="24"/>
                <w:szCs w:val="24"/>
              </w:rPr>
              <m:t xml:space="preserve">i </m:t>
            </m:r>
          </m:sub>
        </m:sSub>
        <m:r>
          <w:rPr>
            <w:rFonts w:ascii="Cambria Math" w:eastAsiaTheme="minorEastAsia" w:hAnsi="Cambria Math" w:cs="Times New Roman"/>
            <w:sz w:val="24"/>
            <w:szCs w:val="24"/>
          </w:rPr>
          <m:t>~</m:t>
        </m:r>
      </m:oMath>
      <w:r w:rsidR="006C43CF" w:rsidRPr="00115FA3">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N(0,1)</m:t>
        </m:r>
      </m:oMath>
      <w:r w:rsidR="006C43CF" w:rsidRPr="00115FA3">
        <w:rPr>
          <w:rFonts w:ascii="Times New Roman" w:eastAsiaTheme="minorEastAsia" w:hAnsi="Times New Roman" w:cs="Times New Roman"/>
          <w:sz w:val="24"/>
          <w:szCs w:val="24"/>
        </w:rPr>
        <w:t xml:space="preserve"> </w:t>
      </w:r>
      <w:r w:rsidR="006C43CF" w:rsidRPr="00115FA3">
        <w:rPr>
          <w:rFonts w:ascii="Times New Roman" w:eastAsiaTheme="minorEastAsia" w:hAnsi="Times New Roman" w:cs="Times New Roman"/>
          <w:sz w:val="24"/>
          <w:szCs w:val="24"/>
        </w:rPr>
        <w:tab/>
      </w:r>
      <w:r w:rsidR="006C43CF" w:rsidRPr="00115FA3">
        <w:rPr>
          <w:rFonts w:ascii="Times New Roman" w:eastAsiaTheme="minorEastAsia" w:hAnsi="Times New Roman" w:cs="Times New Roman"/>
          <w:sz w:val="24"/>
          <w:szCs w:val="24"/>
        </w:rPr>
        <w:tab/>
      </w:r>
      <w:r w:rsidR="006C43CF" w:rsidRPr="00115FA3">
        <w:rPr>
          <w:rFonts w:ascii="Times New Roman" w:eastAsiaTheme="minorEastAsia" w:hAnsi="Times New Roman" w:cs="Times New Roman"/>
          <w:sz w:val="24"/>
          <w:szCs w:val="24"/>
        </w:rPr>
        <w:tab/>
      </w:r>
      <w:r w:rsidR="006C43CF" w:rsidRPr="00115FA3">
        <w:rPr>
          <w:rFonts w:ascii="Times New Roman" w:eastAsiaTheme="minorEastAsia" w:hAnsi="Times New Roman" w:cs="Times New Roman"/>
          <w:sz w:val="24"/>
          <w:szCs w:val="24"/>
        </w:rPr>
        <w:tab/>
      </w:r>
      <w:r w:rsidR="006C43CF" w:rsidRPr="00115FA3">
        <w:rPr>
          <w:rFonts w:ascii="Times New Roman" w:eastAsiaTheme="minorEastAsia" w:hAnsi="Times New Roman" w:cs="Times New Roman"/>
          <w:sz w:val="24"/>
          <w:szCs w:val="24"/>
        </w:rPr>
        <w:tab/>
      </w:r>
      <w:r w:rsidR="006C43CF" w:rsidRPr="00115FA3">
        <w:rPr>
          <w:rFonts w:ascii="Times New Roman" w:eastAsiaTheme="minorEastAsia" w:hAnsi="Times New Roman" w:cs="Times New Roman"/>
          <w:sz w:val="24"/>
          <w:szCs w:val="24"/>
        </w:rPr>
        <w:tab/>
      </w:r>
      <w:r w:rsidR="006C43CF">
        <w:rPr>
          <w:rFonts w:ascii="Times New Roman" w:eastAsiaTheme="minorEastAsia" w:hAnsi="Times New Roman" w:cs="Times New Roman"/>
          <w:sz w:val="24"/>
          <w:szCs w:val="24"/>
        </w:rPr>
        <w:tab/>
      </w:r>
      <w:r w:rsidR="006C43CF" w:rsidRPr="00115FA3">
        <w:rPr>
          <w:rFonts w:ascii="Times New Roman" w:eastAsiaTheme="minorEastAsia" w:hAnsi="Times New Roman" w:cs="Times New Roman"/>
          <w:sz w:val="24"/>
          <w:szCs w:val="24"/>
        </w:rPr>
        <w:t xml:space="preserve"> (4a)</w:t>
      </w:r>
    </w:p>
    <w:p w:rsidR="006C43CF" w:rsidRPr="00115FA3" w:rsidRDefault="009D61A3" w:rsidP="006C43CF">
      <w:pPr>
        <w:pStyle w:val="ListeParagraf"/>
        <w:spacing w:before="120" w:after="120" w:line="360" w:lineRule="auto"/>
        <w:ind w:left="0" w:firstLine="567"/>
        <w:rPr>
          <w:rFonts w:ascii="Times New Roman" w:eastAsiaTheme="minorEastAsia" w:hAnsi="Times New Roman" w:cs="Times New Roman"/>
          <w:sz w:val="24"/>
          <w:szCs w:val="24"/>
        </w:rPr>
      </w:pP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y</m:t>
            </m:r>
          </m:e>
          <m:sub>
            <m:r>
              <w:rPr>
                <w:rFonts w:ascii="Cambria Math" w:eastAsiaTheme="minorEastAsia" w:hAnsi="Cambria Math" w:cs="Times New Roman"/>
                <w:sz w:val="24"/>
                <w:szCs w:val="24"/>
              </w:rPr>
              <m:t>i</m:t>
            </m:r>
          </m:sub>
        </m:sSub>
      </m:oMath>
      <w:r w:rsidR="006C43CF" w:rsidRPr="00115FA3">
        <w:rPr>
          <w:rFonts w:ascii="Times New Roman" w:eastAsiaTheme="minorEastAsia" w:hAnsi="Times New Roman" w:cs="Times New Roman"/>
          <w:sz w:val="24"/>
          <w:szCs w:val="24"/>
        </w:rPr>
        <w:t xml:space="preserve"> = </w:t>
      </w:r>
      <m:oMath>
        <m:r>
          <w:rPr>
            <w:rFonts w:ascii="Cambria Math" w:eastAsiaTheme="minorEastAsia" w:hAnsi="Cambria Math" w:cs="Times New Roman"/>
            <w:sz w:val="24"/>
            <w:szCs w:val="24"/>
          </w:rPr>
          <m:t xml:space="preserve"> </m:t>
        </m:r>
        <m:d>
          <m:dPr>
            <m:begChr m:val="{"/>
            <m:endChr m:val=""/>
            <m:ctrlPr>
              <w:rPr>
                <w:rFonts w:ascii="Cambria Math" w:eastAsiaTheme="minorEastAsia" w:hAnsi="Cambria Math" w:cs="Times New Roman"/>
                <w:i/>
                <w:sz w:val="24"/>
                <w:szCs w:val="24"/>
              </w:rPr>
            </m:ctrlPr>
          </m:dPr>
          <m:e>
            <m:eqArr>
              <m:eqArrPr>
                <m:ctrlPr>
                  <w:rPr>
                    <w:rFonts w:ascii="Cambria Math" w:eastAsiaTheme="minorEastAsia" w:hAnsi="Cambria Math" w:cs="Times New Roman"/>
                    <w:i/>
                    <w:sz w:val="24"/>
                    <w:szCs w:val="24"/>
                  </w:rPr>
                </m:ctrlPr>
              </m:eqArrPr>
              <m:e>
                <m:r>
                  <w:rPr>
                    <w:rFonts w:ascii="Cambria Math" w:eastAsiaTheme="minorEastAsia" w:hAnsi="Cambria Math" w:cs="Times New Roman"/>
                    <w:sz w:val="24"/>
                    <w:szCs w:val="24"/>
                  </w:rPr>
                  <m:t xml:space="preserve">k=1    eğer    </m:t>
                </m:r>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y</m:t>
                    </m:r>
                  </m:e>
                  <m:sub>
                    <m:r>
                      <w:rPr>
                        <w:rFonts w:ascii="Cambria Math" w:eastAsiaTheme="minorEastAsia" w:hAnsi="Cambria Math" w:cs="Times New Roman"/>
                        <w:sz w:val="24"/>
                        <w:szCs w:val="24"/>
                      </w:rPr>
                      <m:t>i</m:t>
                    </m:r>
                  </m:sub>
                  <m:sup>
                    <m:r>
                      <w:rPr>
                        <w:rFonts w:ascii="Cambria Math" w:eastAsiaTheme="minorEastAsia" w:hAnsi="Cambria Math" w:cs="Times New Roman"/>
                        <w:sz w:val="24"/>
                        <w:szCs w:val="24"/>
                      </w:rPr>
                      <m:t>*</m:t>
                    </m:r>
                  </m:sup>
                </m:sSubSup>
                <m:r>
                  <w:rPr>
                    <w:rFonts w:ascii="Cambria Math" w:eastAsiaTheme="minorEastAsia" w:hAnsi="Cambria Math" w:cs="Times New Roman"/>
                    <w:sz w:val="24"/>
                    <w:szCs w:val="24"/>
                  </w:rPr>
                  <m:t xml:space="preserve"> &gt;0 </m:t>
                </m:r>
              </m:e>
              <m:e>
                <m:r>
                  <w:rPr>
                    <w:rFonts w:ascii="Cambria Math" w:eastAsiaTheme="minorEastAsia" w:hAnsi="Cambria Math" w:cs="Times New Roman"/>
                    <w:sz w:val="24"/>
                    <w:szCs w:val="24"/>
                  </w:rPr>
                  <m:t xml:space="preserve">k=1    eğer   </m:t>
                </m:r>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y</m:t>
                    </m:r>
                  </m:e>
                  <m:sub>
                    <m:r>
                      <w:rPr>
                        <w:rFonts w:ascii="Cambria Math" w:eastAsiaTheme="minorEastAsia" w:hAnsi="Cambria Math" w:cs="Times New Roman"/>
                        <w:sz w:val="24"/>
                        <w:szCs w:val="24"/>
                      </w:rPr>
                      <m:t>i</m:t>
                    </m:r>
                  </m:sub>
                  <m:sup>
                    <m:r>
                      <w:rPr>
                        <w:rFonts w:ascii="Cambria Math" w:eastAsiaTheme="minorEastAsia" w:hAnsi="Cambria Math" w:cs="Times New Roman"/>
                        <w:sz w:val="24"/>
                        <w:szCs w:val="24"/>
                      </w:rPr>
                      <m:t>*</m:t>
                    </m:r>
                  </m:sup>
                </m:sSubSup>
                <m:r>
                  <w:rPr>
                    <w:rFonts w:ascii="Cambria Math" w:eastAsiaTheme="minorEastAsia" w:hAnsi="Cambria Math" w:cs="Times New Roman"/>
                    <w:sz w:val="24"/>
                    <w:szCs w:val="24"/>
                  </w:rPr>
                  <m:t>≤ 0</m:t>
                </m:r>
              </m:e>
            </m:eqArr>
          </m:e>
        </m:d>
      </m:oMath>
      <w:r w:rsidR="006C43CF" w:rsidRPr="00115FA3">
        <w:rPr>
          <w:rFonts w:ascii="Times New Roman" w:eastAsiaTheme="minorEastAsia" w:hAnsi="Times New Roman" w:cs="Times New Roman"/>
          <w:sz w:val="24"/>
          <w:szCs w:val="24"/>
        </w:rPr>
        <w:t xml:space="preserve">  </w:t>
      </w:r>
      <w:r w:rsidR="006C43CF" w:rsidRPr="00115FA3">
        <w:rPr>
          <w:rFonts w:ascii="Times New Roman" w:eastAsiaTheme="minorEastAsia" w:hAnsi="Times New Roman" w:cs="Times New Roman"/>
          <w:sz w:val="24"/>
          <w:szCs w:val="24"/>
        </w:rPr>
        <w:tab/>
      </w:r>
      <w:r w:rsidR="006C43CF" w:rsidRPr="00115FA3">
        <w:rPr>
          <w:rFonts w:ascii="Times New Roman" w:eastAsiaTheme="minorEastAsia" w:hAnsi="Times New Roman" w:cs="Times New Roman"/>
          <w:sz w:val="24"/>
          <w:szCs w:val="24"/>
        </w:rPr>
        <w:tab/>
      </w:r>
      <w:r w:rsidR="006C43CF" w:rsidRPr="00115FA3">
        <w:rPr>
          <w:rFonts w:ascii="Times New Roman" w:eastAsiaTheme="minorEastAsia" w:hAnsi="Times New Roman" w:cs="Times New Roman"/>
          <w:sz w:val="24"/>
          <w:szCs w:val="24"/>
        </w:rPr>
        <w:tab/>
      </w:r>
      <w:r w:rsidR="006C43CF" w:rsidRPr="00115FA3">
        <w:rPr>
          <w:rFonts w:ascii="Times New Roman" w:eastAsiaTheme="minorEastAsia" w:hAnsi="Times New Roman" w:cs="Times New Roman"/>
          <w:sz w:val="24"/>
          <w:szCs w:val="24"/>
        </w:rPr>
        <w:tab/>
      </w:r>
      <w:r w:rsidR="006C43CF" w:rsidRPr="00115FA3">
        <w:rPr>
          <w:rFonts w:ascii="Times New Roman" w:eastAsiaTheme="minorEastAsia" w:hAnsi="Times New Roman" w:cs="Times New Roman"/>
          <w:sz w:val="24"/>
          <w:szCs w:val="24"/>
        </w:rPr>
        <w:tab/>
      </w:r>
      <w:r w:rsidR="006C43CF">
        <w:rPr>
          <w:rFonts w:ascii="Times New Roman" w:eastAsiaTheme="minorEastAsia" w:hAnsi="Times New Roman" w:cs="Times New Roman"/>
          <w:sz w:val="24"/>
          <w:szCs w:val="24"/>
        </w:rPr>
        <w:tab/>
      </w:r>
      <w:r w:rsidR="006C43CF" w:rsidRPr="00115FA3">
        <w:rPr>
          <w:rFonts w:ascii="Times New Roman" w:eastAsiaTheme="minorEastAsia" w:hAnsi="Times New Roman" w:cs="Times New Roman"/>
          <w:sz w:val="24"/>
          <w:szCs w:val="24"/>
        </w:rPr>
        <w:t xml:space="preserve"> (4b)</w:t>
      </w:r>
    </w:p>
    <w:p w:rsidR="006C43CF" w:rsidRPr="00115FA3" w:rsidRDefault="006C43CF" w:rsidP="006C43CF">
      <w:pPr>
        <w:spacing w:before="120" w:after="120"/>
        <w:ind w:firstLine="567"/>
      </w:pPr>
    </w:p>
    <w:p w:rsidR="006C43CF" w:rsidRPr="00A42B06" w:rsidRDefault="006C43CF" w:rsidP="006C43CF">
      <w:pPr>
        <w:pStyle w:val="ListeParagraf"/>
        <w:numPr>
          <w:ilvl w:val="0"/>
          <w:numId w:val="4"/>
        </w:numPr>
        <w:spacing w:before="120" w:after="120" w:line="360" w:lineRule="auto"/>
        <w:ind w:left="0" w:firstLine="567"/>
        <w:rPr>
          <w:rFonts w:ascii="Times New Roman" w:hAnsi="Times New Roman" w:cs="Times New Roman"/>
          <w:sz w:val="24"/>
          <w:szCs w:val="24"/>
        </w:rPr>
      </w:pPr>
      <w:r w:rsidRPr="00115FA3">
        <w:rPr>
          <w:rFonts w:ascii="Times New Roman" w:hAnsi="Times New Roman" w:cs="Times New Roman"/>
          <w:sz w:val="24"/>
          <w:szCs w:val="24"/>
        </w:rPr>
        <w:t>İkinci Aşama: Bireyin Tüketim Kararı:</w:t>
      </w:r>
    </w:p>
    <w:p w:rsidR="006C43CF" w:rsidRPr="00115FA3" w:rsidRDefault="009D61A3" w:rsidP="006C43CF">
      <w:pPr>
        <w:spacing w:before="120" w:after="120"/>
        <w:ind w:firstLine="567"/>
        <w:rPr>
          <w:rFonts w:eastAsiaTheme="minorEastAsia"/>
        </w:rPr>
      </w:pPr>
      <m:oMath>
        <m:sSubSup>
          <m:sSubSupPr>
            <m:ctrlPr>
              <w:rPr>
                <w:rFonts w:ascii="Cambria Math" w:eastAsiaTheme="minorEastAsia" w:hAnsi="Cambria Math"/>
                <w:i/>
              </w:rPr>
            </m:ctrlPr>
          </m:sSubSupPr>
          <m:e>
            <m:r>
              <w:rPr>
                <w:rFonts w:ascii="Cambria Math" w:eastAsiaTheme="minorEastAsia" w:hAnsi="Cambria Math"/>
              </w:rPr>
              <m:t>y</m:t>
            </m:r>
          </m:e>
          <m:sub>
            <m:r>
              <w:rPr>
                <w:rFonts w:ascii="Cambria Math" w:eastAsiaTheme="minorEastAsia" w:hAnsi="Cambria Math"/>
              </w:rPr>
              <m:t>i</m:t>
            </m:r>
          </m:sub>
          <m:sup>
            <m:r>
              <w:rPr>
                <w:rFonts w:ascii="Cambria Math" w:eastAsiaTheme="minorEastAsia" w:hAnsi="Cambria Math"/>
              </w:rPr>
              <m:t>*</m:t>
            </m:r>
          </m:sup>
        </m:sSubSup>
      </m:oMath>
      <w:r w:rsidR="006C43CF" w:rsidRPr="00115FA3">
        <w:rPr>
          <w:rFonts w:eastAsiaTheme="minorEastAsia"/>
        </w:rPr>
        <w:t xml:space="preserve"> = </w:t>
      </w:r>
      <m:oMath>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m:t>
            </m:r>
          </m:sub>
        </m:sSub>
        <m:r>
          <w:rPr>
            <w:rFonts w:ascii="Cambria Math" w:eastAsiaTheme="minorEastAsia" w:hAnsi="Cambria Math"/>
          </w:rPr>
          <m:t xml:space="preserve">β+ </m:t>
        </m:r>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i</m:t>
            </m:r>
          </m:sub>
        </m:sSub>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i</m:t>
            </m:r>
          </m:sub>
        </m:sSub>
        <m:r>
          <w:rPr>
            <w:rFonts w:ascii="Cambria Math" w:eastAsiaTheme="minorEastAsia" w:hAnsi="Cambria Math"/>
          </w:rPr>
          <m:t xml:space="preserve"> ~ N(0,</m:t>
        </m:r>
        <m:sSup>
          <m:sSupPr>
            <m:ctrlPr>
              <w:rPr>
                <w:rFonts w:ascii="Cambria Math" w:eastAsiaTheme="minorEastAsia" w:hAnsi="Cambria Math"/>
                <w:i/>
              </w:rPr>
            </m:ctrlPr>
          </m:sSupPr>
          <m:e>
            <m:r>
              <w:rPr>
                <w:rFonts w:ascii="Cambria Math" w:eastAsiaTheme="minorEastAsia" w:hAnsi="Cambria Math"/>
              </w:rPr>
              <m:t>σ</m:t>
            </m:r>
          </m:e>
          <m:sup>
            <m:r>
              <w:rPr>
                <w:rFonts w:ascii="Cambria Math" w:eastAsiaTheme="minorEastAsia" w:hAnsi="Cambria Math"/>
              </w:rPr>
              <m:t>2</m:t>
            </m:r>
          </m:sup>
        </m:sSup>
      </m:oMath>
      <w:r w:rsidR="006C43CF" w:rsidRPr="00115FA3">
        <w:rPr>
          <w:rFonts w:eastAsiaTheme="minorEastAsia"/>
        </w:rPr>
        <w:t>)</w:t>
      </w:r>
      <w:r w:rsidR="006C43CF" w:rsidRPr="00115FA3">
        <w:rPr>
          <w:rFonts w:eastAsiaTheme="minorEastAsia"/>
        </w:rPr>
        <w:tab/>
      </w:r>
      <w:r w:rsidR="006C43CF" w:rsidRPr="00115FA3">
        <w:rPr>
          <w:rFonts w:eastAsiaTheme="minorEastAsia"/>
        </w:rPr>
        <w:tab/>
      </w:r>
      <w:r w:rsidR="006C43CF" w:rsidRPr="00115FA3">
        <w:rPr>
          <w:rFonts w:eastAsiaTheme="minorEastAsia"/>
        </w:rPr>
        <w:tab/>
      </w:r>
      <w:r w:rsidR="006C43CF" w:rsidRPr="00115FA3">
        <w:rPr>
          <w:rFonts w:eastAsiaTheme="minorEastAsia"/>
        </w:rPr>
        <w:tab/>
      </w:r>
      <w:r w:rsidR="006C43CF" w:rsidRPr="00115FA3">
        <w:rPr>
          <w:rFonts w:eastAsiaTheme="minorEastAsia"/>
        </w:rPr>
        <w:tab/>
      </w:r>
      <w:r w:rsidR="006C43CF">
        <w:rPr>
          <w:rFonts w:eastAsiaTheme="minorEastAsia"/>
        </w:rPr>
        <w:tab/>
      </w:r>
      <w:r w:rsidR="006C43CF">
        <w:rPr>
          <w:rFonts w:eastAsiaTheme="minorEastAsia"/>
        </w:rPr>
        <w:tab/>
        <w:t xml:space="preserve"> (5a)</w:t>
      </w:r>
    </w:p>
    <w:p w:rsidR="006C43CF" w:rsidRPr="00115FA3" w:rsidRDefault="009D61A3" w:rsidP="006C43CF">
      <w:pPr>
        <w:spacing w:before="120" w:after="120"/>
        <w:ind w:firstLine="567"/>
        <w:rPr>
          <w:rFonts w:eastAsiaTheme="minorEastAsia"/>
        </w:rPr>
      </w:pPr>
      <m:oMath>
        <m:sSup>
          <m:sSupPr>
            <m:ctrlPr>
              <w:rPr>
                <w:rFonts w:ascii="Cambria Math" w:eastAsiaTheme="minorEastAsia" w:hAnsi="Cambria Math"/>
                <w:i/>
              </w:rPr>
            </m:ctrlPr>
          </m:sSupPr>
          <m:e>
            <m:r>
              <w:rPr>
                <w:rFonts w:ascii="Cambria Math" w:eastAsiaTheme="minorEastAsia" w:hAnsi="Cambria Math"/>
              </w:rPr>
              <m:t>y</m:t>
            </m:r>
          </m:e>
          <m:sup>
            <m:r>
              <w:rPr>
                <w:rFonts w:ascii="Cambria Math" w:eastAsiaTheme="minorEastAsia" w:hAnsi="Cambria Math"/>
              </w:rPr>
              <m:t>**</m:t>
            </m:r>
          </m:sup>
        </m:sSup>
      </m:oMath>
      <w:r w:rsidR="006C43CF" w:rsidRPr="00115FA3">
        <w:rPr>
          <w:rFonts w:eastAsiaTheme="minorEastAsia"/>
        </w:rPr>
        <w:t xml:space="preserve">  = </w:t>
      </w:r>
      <m:oMath>
        <m:d>
          <m:dPr>
            <m:begChr m:val="{"/>
            <m:endChr m:val=""/>
            <m:ctrlPr>
              <w:rPr>
                <w:rFonts w:ascii="Cambria Math" w:eastAsiaTheme="minorEastAsia" w:hAnsi="Cambria Math"/>
                <w:i/>
              </w:rPr>
            </m:ctrlPr>
          </m:dPr>
          <m:e>
            <m:eqArr>
              <m:eqArrPr>
                <m:ctrlPr>
                  <w:rPr>
                    <w:rFonts w:ascii="Cambria Math" w:eastAsiaTheme="minorEastAsia" w:hAnsi="Cambria Math"/>
                    <w:i/>
                  </w:rPr>
                </m:ctrlPr>
              </m:eqArrPr>
              <m:e>
                <m:sSup>
                  <m:sSupPr>
                    <m:ctrlPr>
                      <w:rPr>
                        <w:rFonts w:ascii="Cambria Math" w:eastAsiaTheme="minorEastAsia" w:hAnsi="Cambria Math"/>
                        <w:i/>
                      </w:rPr>
                    </m:ctrlPr>
                  </m:sSupPr>
                  <m:e>
                    <m:r>
                      <w:rPr>
                        <w:rFonts w:ascii="Cambria Math" w:eastAsiaTheme="minorEastAsia" w:hAnsi="Cambria Math"/>
                      </w:rPr>
                      <m:t>y</m:t>
                    </m:r>
                  </m:e>
                  <m:sup>
                    <m:r>
                      <w:rPr>
                        <w:rFonts w:ascii="Cambria Math" w:eastAsiaTheme="minorEastAsia" w:hAnsi="Cambria Math"/>
                      </w:rPr>
                      <m:t>*</m:t>
                    </m:r>
                  </m:sup>
                </m:sSup>
                <m:r>
                  <w:rPr>
                    <w:rFonts w:ascii="Cambria Math" w:eastAsiaTheme="minorEastAsia" w:hAnsi="Cambria Math"/>
                  </w:rPr>
                  <m:t xml:space="preserve">    eğer   </m:t>
                </m:r>
                <m:sSubSup>
                  <m:sSubSupPr>
                    <m:ctrlPr>
                      <w:rPr>
                        <w:rFonts w:ascii="Cambria Math" w:eastAsiaTheme="minorEastAsia" w:hAnsi="Cambria Math"/>
                        <w:i/>
                      </w:rPr>
                    </m:ctrlPr>
                  </m:sSubSupPr>
                  <m:e>
                    <m:r>
                      <w:rPr>
                        <w:rFonts w:ascii="Cambria Math" w:eastAsiaTheme="minorEastAsia" w:hAnsi="Cambria Math"/>
                      </w:rPr>
                      <m:t>y</m:t>
                    </m:r>
                  </m:e>
                  <m:sub>
                    <m:r>
                      <w:rPr>
                        <w:rFonts w:ascii="Cambria Math" w:eastAsiaTheme="minorEastAsia" w:hAnsi="Cambria Math"/>
                      </w:rPr>
                      <m:t>i</m:t>
                    </m:r>
                  </m:sub>
                  <m:sup>
                    <m:r>
                      <w:rPr>
                        <w:rFonts w:ascii="Cambria Math" w:eastAsiaTheme="minorEastAsia" w:hAnsi="Cambria Math"/>
                      </w:rPr>
                      <m:t>*</m:t>
                    </m:r>
                  </m:sup>
                </m:sSubSup>
                <m:r>
                  <w:rPr>
                    <w:rFonts w:ascii="Cambria Math" w:eastAsiaTheme="minorEastAsia" w:hAnsi="Cambria Math"/>
                  </w:rPr>
                  <m:t xml:space="preserve">  &gt;0</m:t>
                </m:r>
              </m:e>
              <m:e>
                <m:r>
                  <w:rPr>
                    <w:rFonts w:ascii="Cambria Math" w:eastAsiaTheme="minorEastAsia" w:hAnsi="Cambria Math"/>
                  </w:rPr>
                  <m:t xml:space="preserve">0    eğer    </m:t>
                </m:r>
                <m:sSubSup>
                  <m:sSubSupPr>
                    <m:ctrlPr>
                      <w:rPr>
                        <w:rFonts w:ascii="Cambria Math" w:eastAsiaTheme="minorEastAsia" w:hAnsi="Cambria Math"/>
                        <w:i/>
                      </w:rPr>
                    </m:ctrlPr>
                  </m:sSubSupPr>
                  <m:e>
                    <m:r>
                      <w:rPr>
                        <w:rFonts w:ascii="Cambria Math" w:eastAsiaTheme="minorEastAsia" w:hAnsi="Cambria Math"/>
                      </w:rPr>
                      <m:t>y</m:t>
                    </m:r>
                  </m:e>
                  <m:sub>
                    <m:r>
                      <w:rPr>
                        <w:rFonts w:ascii="Cambria Math" w:eastAsiaTheme="minorEastAsia" w:hAnsi="Cambria Math"/>
                      </w:rPr>
                      <m:t>i</m:t>
                    </m:r>
                  </m:sub>
                  <m:sup>
                    <m:r>
                      <w:rPr>
                        <w:rFonts w:ascii="Cambria Math" w:eastAsiaTheme="minorEastAsia" w:hAnsi="Cambria Math"/>
                      </w:rPr>
                      <m:t>*</m:t>
                    </m:r>
                  </m:sup>
                </m:sSubSup>
                <m:r>
                  <w:rPr>
                    <w:rFonts w:ascii="Cambria Math" w:eastAsiaTheme="minorEastAsia" w:hAnsi="Cambria Math"/>
                  </w:rPr>
                  <m:t xml:space="preserve">   ≤0</m:t>
                </m:r>
              </m:e>
            </m:eqArr>
          </m:e>
        </m:d>
      </m:oMath>
      <w:r w:rsidR="006C43CF" w:rsidRPr="00115FA3">
        <w:rPr>
          <w:rFonts w:eastAsiaTheme="minorEastAsia"/>
        </w:rPr>
        <w:t xml:space="preserve">  </w:t>
      </w:r>
      <w:r w:rsidR="006C43CF" w:rsidRPr="00115FA3">
        <w:rPr>
          <w:rFonts w:eastAsiaTheme="minorEastAsia"/>
        </w:rPr>
        <w:tab/>
      </w:r>
      <w:r w:rsidR="006C43CF" w:rsidRPr="00115FA3">
        <w:rPr>
          <w:rFonts w:eastAsiaTheme="minorEastAsia"/>
        </w:rPr>
        <w:tab/>
      </w:r>
      <w:r w:rsidR="006C43CF" w:rsidRPr="00115FA3">
        <w:rPr>
          <w:rFonts w:eastAsiaTheme="minorEastAsia"/>
        </w:rPr>
        <w:tab/>
      </w:r>
      <w:r w:rsidR="006C43CF" w:rsidRPr="00115FA3">
        <w:rPr>
          <w:rFonts w:eastAsiaTheme="minorEastAsia"/>
        </w:rPr>
        <w:tab/>
      </w:r>
      <w:r w:rsidR="006C43CF" w:rsidRPr="00115FA3">
        <w:rPr>
          <w:rFonts w:eastAsiaTheme="minorEastAsia"/>
        </w:rPr>
        <w:tab/>
      </w:r>
      <w:r w:rsidR="006C43CF">
        <w:rPr>
          <w:rFonts w:eastAsiaTheme="minorEastAsia"/>
        </w:rPr>
        <w:tab/>
      </w:r>
      <w:r w:rsidR="006C43CF">
        <w:rPr>
          <w:rFonts w:eastAsiaTheme="minorEastAsia"/>
        </w:rPr>
        <w:tab/>
      </w:r>
      <w:r w:rsidR="006C43CF" w:rsidRPr="00115FA3">
        <w:rPr>
          <w:rFonts w:eastAsiaTheme="minorEastAsia"/>
        </w:rPr>
        <w:t xml:space="preserve"> (5b)</w:t>
      </w:r>
    </w:p>
    <w:p w:rsidR="006C43CF" w:rsidRPr="00115FA3" w:rsidRDefault="006C43CF" w:rsidP="006C43CF"/>
    <w:p w:rsidR="006C43CF" w:rsidRPr="00115FA3" w:rsidRDefault="006C43CF" w:rsidP="006C43CF">
      <w:r w:rsidRPr="00115FA3">
        <w:t xml:space="preserve">Yukarıdaki ifadelerde bireyin pozitif tüketim miktarını veren </w:t>
      </w:r>
      <w:r w:rsidRPr="008A7495">
        <w:rPr>
          <w:i/>
        </w:rPr>
        <w:t>y</w:t>
      </w:r>
      <w:r w:rsidRPr="00115FA3">
        <w:t xml:space="preserve">’nin sadece ve sadece </w:t>
      </w:r>
      <w:r w:rsidRPr="007E3863">
        <w:rPr>
          <w:i/>
        </w:rPr>
        <w:t>k=1</w:t>
      </w:r>
      <w:r w:rsidRPr="00115FA3">
        <w:t xml:space="preserve"> ve </w:t>
      </w:r>
      <m:oMath>
        <m:sSup>
          <m:sSupPr>
            <m:ctrlPr>
              <w:rPr>
                <w:rFonts w:ascii="Cambria Math" w:hAnsi="Cambria Math"/>
                <w:i/>
              </w:rPr>
            </m:ctrlPr>
          </m:sSupPr>
          <m:e>
            <m:r>
              <w:rPr>
                <w:rFonts w:ascii="Cambria Math" w:hAnsi="Cambria Math"/>
              </w:rPr>
              <m:t>y</m:t>
            </m:r>
          </m:e>
          <m:sup>
            <m:r>
              <w:rPr>
                <w:rFonts w:ascii="Cambria Math" w:hAnsi="Cambria Math"/>
              </w:rPr>
              <m:t>**</m:t>
            </m:r>
          </m:sup>
        </m:sSup>
      </m:oMath>
      <w:r w:rsidRPr="00115FA3">
        <w:t>&gt; 0 olması halinde saptanabileceği bilinmektedir.</w:t>
      </w:r>
    </w:p>
    <w:p w:rsidR="006C43CF" w:rsidRPr="00115FA3" w:rsidRDefault="006C43CF" w:rsidP="006C43CF">
      <w:pPr>
        <w:spacing w:before="120" w:after="120"/>
        <w:ind w:firstLine="567"/>
      </w:pPr>
    </w:p>
    <w:p w:rsidR="006C43CF" w:rsidRPr="00115FA3" w:rsidRDefault="009D61A3" w:rsidP="006C43CF">
      <w:pPr>
        <w:spacing w:before="120" w:after="120"/>
        <w:ind w:firstLine="567"/>
        <w:rPr>
          <w:rFonts w:eastAsiaTheme="minorEastAsia"/>
        </w:rPr>
      </w:pPr>
      <m:oMath>
        <m:d>
          <m:dPr>
            <m:ctrlPr>
              <w:rPr>
                <w:rFonts w:ascii="Cambria Math" w:eastAsiaTheme="minorEastAsia" w:hAnsi="Cambria Math"/>
                <w:i/>
              </w:rPr>
            </m:ctrlPr>
          </m:dPr>
          <m:e>
            <m:f>
              <m:fPr>
                <m:type m:val="noBa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i</m:t>
                    </m:r>
                  </m:sub>
                </m:sSub>
              </m:num>
              <m:den>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i</m:t>
                    </m:r>
                  </m:sub>
                </m:sSub>
              </m:den>
            </m:f>
          </m:e>
        </m:d>
      </m:oMath>
      <w:r w:rsidR="006C43CF" w:rsidRPr="00115FA3">
        <w:rPr>
          <w:rFonts w:eastAsiaTheme="minorEastAsia"/>
        </w:rPr>
        <w:t xml:space="preserve">  </w:t>
      </w:r>
      <m:oMath>
        <m:r>
          <w:rPr>
            <w:rFonts w:ascii="Cambria Math" w:eastAsiaTheme="minorEastAsia" w:hAnsi="Cambria Math"/>
          </w:rPr>
          <m:t>~BVN</m:t>
        </m:r>
        <m:d>
          <m:dPr>
            <m:ctrlPr>
              <w:rPr>
                <w:rFonts w:ascii="Cambria Math" w:eastAsiaTheme="minorEastAsia" w:hAnsi="Cambria Math"/>
                <w:i/>
              </w:rPr>
            </m:ctrlPr>
          </m:dPr>
          <m:e>
            <m:d>
              <m:dPr>
                <m:ctrlPr>
                  <w:rPr>
                    <w:rFonts w:ascii="Cambria Math" w:eastAsiaTheme="minorEastAsia" w:hAnsi="Cambria Math"/>
                    <w:i/>
                  </w:rPr>
                </m:ctrlPr>
              </m:dPr>
              <m:e>
                <m:f>
                  <m:fPr>
                    <m:type m:val="noBar"/>
                    <m:ctrlPr>
                      <w:rPr>
                        <w:rFonts w:ascii="Cambria Math" w:eastAsiaTheme="minorEastAsia" w:hAnsi="Cambria Math"/>
                        <w:i/>
                      </w:rPr>
                    </m:ctrlPr>
                  </m:fPr>
                  <m:num>
                    <m:r>
                      <w:rPr>
                        <w:rFonts w:ascii="Cambria Math" w:eastAsiaTheme="minorEastAsia" w:hAnsi="Cambria Math"/>
                      </w:rPr>
                      <m:t>0</m:t>
                    </m:r>
                  </m:num>
                  <m:den>
                    <m:r>
                      <w:rPr>
                        <w:rFonts w:ascii="Cambria Math" w:eastAsiaTheme="minorEastAsia" w:hAnsi="Cambria Math"/>
                      </w:rPr>
                      <m:t>0</m:t>
                    </m:r>
                  </m:den>
                </m:f>
              </m:e>
            </m:d>
            <m:r>
              <w:rPr>
                <w:rFonts w:ascii="Cambria Math" w:eastAsiaTheme="minorEastAsia" w:hAnsi="Cambria Math"/>
              </w:rPr>
              <m:t>,</m:t>
            </m:r>
            <m:d>
              <m:dPr>
                <m:ctrlPr>
                  <w:rPr>
                    <w:rFonts w:ascii="Cambria Math" w:eastAsiaTheme="minorEastAsia" w:hAnsi="Cambria Math"/>
                    <w:i/>
                  </w:rPr>
                </m:ctrlPr>
              </m:dPr>
              <m:e>
                <m:f>
                  <m:fPr>
                    <m:type m:val="noBar"/>
                    <m:ctrlPr>
                      <w:rPr>
                        <w:rFonts w:ascii="Cambria Math" w:eastAsiaTheme="minorEastAsia" w:hAnsi="Cambria Math"/>
                        <w:i/>
                      </w:rPr>
                    </m:ctrlPr>
                  </m:fPr>
                  <m:num>
                    <m:r>
                      <w:rPr>
                        <w:rFonts w:ascii="Cambria Math" w:eastAsiaTheme="minorEastAsia" w:hAnsi="Cambria Math"/>
                      </w:rPr>
                      <m:t>1     ρσ</m:t>
                    </m:r>
                  </m:num>
                  <m:den>
                    <m:r>
                      <w:rPr>
                        <w:rFonts w:ascii="Cambria Math" w:eastAsiaTheme="minorEastAsia" w:hAnsi="Cambria Math"/>
                      </w:rPr>
                      <m:t xml:space="preserve">ρσ    </m:t>
                    </m:r>
                    <m:sSup>
                      <m:sSupPr>
                        <m:ctrlPr>
                          <w:rPr>
                            <w:rFonts w:ascii="Cambria Math" w:eastAsiaTheme="minorEastAsia" w:hAnsi="Cambria Math"/>
                            <w:i/>
                          </w:rPr>
                        </m:ctrlPr>
                      </m:sSupPr>
                      <m:e>
                        <m:r>
                          <w:rPr>
                            <w:rFonts w:ascii="Cambria Math" w:eastAsiaTheme="minorEastAsia" w:hAnsi="Cambria Math"/>
                          </w:rPr>
                          <m:t>σ</m:t>
                        </m:r>
                      </m:e>
                      <m:sup>
                        <m:r>
                          <w:rPr>
                            <w:rFonts w:ascii="Cambria Math" w:eastAsiaTheme="minorEastAsia" w:hAnsi="Cambria Math"/>
                          </w:rPr>
                          <m:t>2</m:t>
                        </m:r>
                      </m:sup>
                    </m:sSup>
                  </m:den>
                </m:f>
              </m:e>
            </m:d>
          </m:e>
        </m:d>
      </m:oMath>
      <w:r w:rsidR="006C43CF" w:rsidRPr="00115FA3">
        <w:rPr>
          <w:rFonts w:eastAsiaTheme="minorEastAsia"/>
        </w:rPr>
        <w:tab/>
      </w:r>
      <w:r w:rsidR="006C43CF" w:rsidRPr="00115FA3">
        <w:rPr>
          <w:rFonts w:eastAsiaTheme="minorEastAsia"/>
        </w:rPr>
        <w:tab/>
      </w:r>
      <w:r w:rsidR="006C43CF" w:rsidRPr="00115FA3">
        <w:rPr>
          <w:rFonts w:eastAsiaTheme="minorEastAsia"/>
        </w:rPr>
        <w:tab/>
      </w:r>
      <w:r w:rsidR="006C43CF" w:rsidRPr="00115FA3">
        <w:rPr>
          <w:rFonts w:eastAsiaTheme="minorEastAsia"/>
        </w:rPr>
        <w:tab/>
      </w:r>
      <w:r w:rsidR="006C43CF" w:rsidRPr="00115FA3">
        <w:rPr>
          <w:rFonts w:eastAsiaTheme="minorEastAsia"/>
        </w:rPr>
        <w:tab/>
      </w:r>
      <w:r w:rsidR="006C43CF">
        <w:rPr>
          <w:rFonts w:eastAsiaTheme="minorEastAsia"/>
        </w:rPr>
        <w:tab/>
      </w:r>
      <w:r w:rsidR="006C43CF">
        <w:rPr>
          <w:rFonts w:eastAsiaTheme="minorEastAsia"/>
        </w:rPr>
        <w:tab/>
      </w:r>
      <w:r w:rsidR="006C43CF" w:rsidRPr="00115FA3">
        <w:rPr>
          <w:rFonts w:eastAsiaTheme="minorEastAsia"/>
        </w:rPr>
        <w:t xml:space="preserve"> (6)</w:t>
      </w:r>
    </w:p>
    <w:p w:rsidR="006C43CF" w:rsidRDefault="006C43CF" w:rsidP="006C43CF">
      <w:r>
        <w:t xml:space="preserve">Denklem (6)’ da </w:t>
      </w:r>
      <w:r w:rsidRPr="008A7495">
        <w:rPr>
          <w:i/>
        </w:rPr>
        <w:t>u</w:t>
      </w:r>
      <w:r w:rsidRPr="00115FA3">
        <w:t xml:space="preserve"> ve </w:t>
      </w:r>
      <w:r w:rsidRPr="008A7495">
        <w:rPr>
          <w:i/>
        </w:rPr>
        <w:t>v</w:t>
      </w:r>
      <w:r>
        <w:t>,</w:t>
      </w:r>
      <w:r w:rsidRPr="00115FA3">
        <w:t xml:space="preserve"> </w:t>
      </w:r>
      <w:r>
        <w:t>b</w:t>
      </w:r>
      <w:r w:rsidRPr="00115FA3">
        <w:t>ireyin katılım ve tüketim karar eşitliklerinin hata terimlerini ifade eden ve aynı zamanda iki parametreli normal dağılıma sahip olduğunu da belirten terimlerdir. Korelasyon katsayıları</w:t>
      </w:r>
      <w:r>
        <w:t xml:space="preserve"> </w:t>
      </w:r>
      <w:r w:rsidRPr="008A7495">
        <w:rPr>
          <w:i/>
        </w:rPr>
        <w:t>ρ</w:t>
      </w:r>
      <w:r w:rsidRPr="00115FA3">
        <w:t xml:space="preserve"> simgesi </w:t>
      </w:r>
      <w:r>
        <w:t>ile temsil edilmektedir.</w:t>
      </w:r>
      <w:r w:rsidRPr="00115FA3">
        <w:t xml:space="preserve"> </w:t>
      </w:r>
      <w:r>
        <w:t xml:space="preserve">Denklem (6)’da belirtilen </w:t>
      </w:r>
      <w:r w:rsidRPr="008A7495">
        <w:rPr>
          <w:i/>
        </w:rPr>
        <w:t>u</w:t>
      </w:r>
      <w:r w:rsidRPr="00115FA3">
        <w:t xml:space="preserve"> ve </w:t>
      </w:r>
      <w:r w:rsidRPr="008A7495">
        <w:rPr>
          <w:i/>
        </w:rPr>
        <w:t>v</w:t>
      </w:r>
      <w:r w:rsidRPr="00115FA3">
        <w:t xml:space="preserve"> parametreleri için bir kısıtlama</w:t>
      </w:r>
      <w:r>
        <w:t xml:space="preserve">nın olmadığı </w:t>
      </w:r>
      <w:r w:rsidRPr="00115FA3">
        <w:t>ve ara</w:t>
      </w:r>
      <w:r>
        <w:t>ların</w:t>
      </w:r>
      <w:r w:rsidRPr="00115FA3">
        <w:t>da bağımlı bir ilişkinin olduğu tespit edil</w:t>
      </w:r>
      <w:r>
        <w:t>diğinde söz konusu denklem</w:t>
      </w:r>
      <w:r w:rsidRPr="00115FA3">
        <w:t xml:space="preserve"> Jones (1992) tarafından literatüre </w:t>
      </w:r>
      <w:r>
        <w:t>kazandırılmış</w:t>
      </w:r>
      <w:r w:rsidRPr="00115FA3">
        <w:t xml:space="preserve"> olan hata terimlerinin bağımlı çift eşik modeli olarak isimlendirilme</w:t>
      </w:r>
      <w:r>
        <w:t xml:space="preserve">ktedir. </w:t>
      </w:r>
      <w:r w:rsidRPr="00115FA3">
        <w:t>Bu modelde bireyin katılım ve tüketim kararlarının eşanlı olarak belirlendiği varsayılmaktadır.</w:t>
      </w:r>
    </w:p>
    <w:p w:rsidR="006C43CF" w:rsidRPr="00115FA3" w:rsidRDefault="006C43CF" w:rsidP="006C43CF"/>
    <w:p w:rsidR="006C43CF" w:rsidRPr="00115FA3" w:rsidRDefault="006C43CF" w:rsidP="006C43CF">
      <w:pPr>
        <w:spacing w:before="120" w:after="120"/>
        <w:ind w:firstLine="567"/>
        <w:rPr>
          <w:rFonts w:eastAsiaTheme="minorEastAsia"/>
        </w:rPr>
      </w:pPr>
      <w:r w:rsidRPr="00115FA3">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LL</m:t>
            </m:r>
          </m:e>
          <m:sub>
            <m:r>
              <w:rPr>
                <w:rFonts w:ascii="Cambria Math" w:eastAsiaTheme="minorEastAsia" w:hAnsi="Cambria Math"/>
              </w:rPr>
              <m:t>jones</m:t>
            </m:r>
          </m:sub>
        </m:sSub>
        <m:r>
          <w:rPr>
            <w:rFonts w:ascii="Cambria Math" w:eastAsiaTheme="minorEastAsia" w:hAnsi="Cambria Math"/>
          </w:rPr>
          <m:t>=</m:t>
        </m:r>
        <m:nary>
          <m:naryPr>
            <m:chr m:val="∑"/>
            <m:limLoc m:val="subSup"/>
            <m:supHide m:val="1"/>
            <m:ctrlPr>
              <w:rPr>
                <w:rFonts w:ascii="Cambria Math" w:eastAsiaTheme="minorEastAsia" w:hAnsi="Cambria Math"/>
                <w:i/>
              </w:rPr>
            </m:ctrlPr>
          </m:naryPr>
          <m:sub>
            <m:r>
              <w:rPr>
                <w:rFonts w:ascii="Cambria Math" w:eastAsiaTheme="minorEastAsia" w:hAnsi="Cambria Math"/>
              </w:rPr>
              <m:t>0</m:t>
            </m:r>
          </m:sub>
          <m:sup/>
          <m:e>
            <m:r>
              <m:rPr>
                <m:sty m:val="p"/>
              </m:rPr>
              <w:rPr>
                <w:rFonts w:ascii="Cambria Math" w:eastAsiaTheme="minorEastAsia" w:hAnsi="Cambria Math"/>
              </w:rPr>
              <m:t>ln</m:t>
            </m:r>
          </m:e>
        </m:nary>
        <m:d>
          <m:dPr>
            <m:begChr m:val="["/>
            <m:endChr m:val="]"/>
            <m:ctrlPr>
              <w:rPr>
                <w:rFonts w:ascii="Cambria Math" w:eastAsiaTheme="minorEastAsia" w:hAnsi="Cambria Math"/>
                <w:i/>
              </w:rPr>
            </m:ctrlPr>
          </m:dPr>
          <m:e>
            <m:r>
              <w:rPr>
                <w:rFonts w:ascii="Cambria Math" w:eastAsiaTheme="minorEastAsia" w:hAnsi="Cambria Math"/>
              </w:rPr>
              <m:t>1- ϕ</m:t>
            </m:r>
            <m:d>
              <m:dPr>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i</m:t>
                        </m:r>
                      </m:sub>
                    </m:sSub>
                    <m:r>
                      <w:rPr>
                        <w:rFonts w:ascii="Cambria Math" w:eastAsiaTheme="minorEastAsia" w:hAnsi="Cambria Math"/>
                      </w:rPr>
                      <m:t>a</m:t>
                    </m:r>
                  </m:num>
                  <m:den>
                    <m:r>
                      <w:rPr>
                        <w:rFonts w:ascii="Cambria Math" w:eastAsiaTheme="minorEastAsia" w:hAnsi="Cambria Math"/>
                      </w:rPr>
                      <m:t>σ</m:t>
                    </m:r>
                  </m:den>
                </m:f>
              </m:e>
            </m:d>
          </m:e>
        </m:d>
        <m:r>
          <w:rPr>
            <w:rFonts w:ascii="Cambria Math" w:eastAsiaTheme="minorEastAsia" w:hAnsi="Cambria Math"/>
          </w:rPr>
          <m:t>+</m:t>
        </m:r>
        <m:nary>
          <m:naryPr>
            <m:chr m:val="∑"/>
            <m:limLoc m:val="subSup"/>
            <m:supHide m:val="1"/>
            <m:ctrlPr>
              <w:rPr>
                <w:rFonts w:ascii="Cambria Math" w:eastAsiaTheme="minorEastAsia" w:hAnsi="Cambria Math"/>
                <w:i/>
              </w:rPr>
            </m:ctrlPr>
          </m:naryPr>
          <m:sub>
            <m:r>
              <w:rPr>
                <w:rFonts w:ascii="Cambria Math" w:eastAsiaTheme="minorEastAsia" w:hAnsi="Cambria Math"/>
              </w:rPr>
              <m:t>+</m:t>
            </m:r>
          </m:sub>
          <m:sup/>
          <m:e>
            <m:r>
              <m:rPr>
                <m:sty m:val="p"/>
              </m:rPr>
              <w:rPr>
                <w:rFonts w:ascii="Cambria Math" w:eastAsiaTheme="minorEastAsia" w:hAnsi="Cambria Math"/>
              </w:rPr>
              <m:t>ln</m:t>
            </m:r>
          </m:e>
        </m:nary>
        <m:d>
          <m:dPr>
            <m:begChr m:val="["/>
            <m:endChr m:val="]"/>
            <m:ctrlPr>
              <w:rPr>
                <w:rFonts w:ascii="Cambria Math" w:eastAsiaTheme="minorEastAsia" w:hAnsi="Cambria Math"/>
                <w:i/>
              </w:rPr>
            </m:ctrlPr>
          </m:dPr>
          <m:e>
            <m:r>
              <w:rPr>
                <w:rFonts w:ascii="Cambria Math" w:eastAsiaTheme="minorEastAsia" w:hAnsi="Cambria Math"/>
              </w:rPr>
              <m:t>ϕ</m:t>
            </m:r>
            <m:d>
              <m:dPr>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i</m:t>
                        </m:r>
                      </m:sub>
                    </m:sSub>
                    <m:r>
                      <w:rPr>
                        <w:rFonts w:ascii="Cambria Math" w:eastAsiaTheme="minorEastAsia" w:hAnsi="Cambria Math"/>
                      </w:rPr>
                      <m:t>a+</m:t>
                    </m:r>
                    <m:f>
                      <m:fPr>
                        <m:ctrlPr>
                          <w:rPr>
                            <w:rFonts w:ascii="Cambria Math" w:eastAsiaTheme="minorEastAsia" w:hAnsi="Cambria Math"/>
                            <w:i/>
                          </w:rPr>
                        </m:ctrlPr>
                      </m:fPr>
                      <m:num>
                        <m:r>
                          <w:rPr>
                            <w:rFonts w:ascii="Cambria Math" w:eastAsiaTheme="minorEastAsia" w:hAnsi="Cambria Math"/>
                          </w:rPr>
                          <m:t>ρ</m:t>
                        </m:r>
                      </m:num>
                      <m:den>
                        <m:r>
                          <w:rPr>
                            <w:rFonts w:ascii="Cambria Math" w:eastAsiaTheme="minorEastAsia" w:hAnsi="Cambria Math"/>
                          </w:rPr>
                          <m:t>σ</m:t>
                        </m:r>
                      </m:den>
                    </m:f>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m:t>
                            </m:r>
                          </m:sub>
                        </m:sSub>
                        <m:r>
                          <w:rPr>
                            <w:rFonts w:ascii="Cambria Math" w:eastAsiaTheme="minorEastAsia" w:hAnsi="Cambria Math"/>
                          </w:rPr>
                          <m:t>β</m:t>
                        </m:r>
                      </m:e>
                    </m:d>
                  </m:num>
                  <m:den>
                    <m:rad>
                      <m:radPr>
                        <m:degHide m:val="1"/>
                        <m:ctrlPr>
                          <w:rPr>
                            <w:rFonts w:ascii="Cambria Math" w:eastAsiaTheme="minorEastAsia" w:hAnsi="Cambria Math"/>
                            <w:i/>
                          </w:rPr>
                        </m:ctrlPr>
                      </m:radPr>
                      <m:deg/>
                      <m:e>
                        <m:r>
                          <w:rPr>
                            <w:rFonts w:ascii="Cambria Math" w:eastAsiaTheme="minorEastAsia" w:hAnsi="Cambria Math"/>
                          </w:rPr>
                          <m:t>1-</m:t>
                        </m:r>
                        <m:sSup>
                          <m:sSupPr>
                            <m:ctrlPr>
                              <w:rPr>
                                <w:rFonts w:ascii="Cambria Math" w:eastAsiaTheme="minorEastAsia" w:hAnsi="Cambria Math"/>
                                <w:i/>
                              </w:rPr>
                            </m:ctrlPr>
                          </m:sSupPr>
                          <m:e>
                            <m:r>
                              <w:rPr>
                                <w:rFonts w:ascii="Cambria Math" w:eastAsiaTheme="minorEastAsia" w:hAnsi="Cambria Math"/>
                              </w:rPr>
                              <m:t>σ</m:t>
                            </m:r>
                          </m:e>
                          <m:sup>
                            <m:r>
                              <w:rPr>
                                <w:rFonts w:ascii="Cambria Math" w:eastAsiaTheme="minorEastAsia" w:hAnsi="Cambria Math"/>
                              </w:rPr>
                              <m:t>2</m:t>
                            </m:r>
                          </m:sup>
                        </m:sSup>
                      </m:e>
                    </m:rad>
                  </m:den>
                </m:f>
              </m:e>
            </m:d>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σ</m:t>
                </m:r>
              </m:den>
            </m:f>
            <m:r>
              <w:rPr>
                <w:rFonts w:ascii="Cambria Math" w:eastAsiaTheme="minorEastAsia" w:hAnsi="Cambria Math"/>
              </w:rPr>
              <m:t>φ</m:t>
            </m:r>
            <m:d>
              <m:dPr>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i</m:t>
                        </m:r>
                      </m:sub>
                    </m:sSub>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m:t>
                        </m:r>
                      </m:sub>
                    </m:sSub>
                    <m:r>
                      <w:rPr>
                        <w:rFonts w:ascii="Cambria Math" w:eastAsiaTheme="minorEastAsia" w:hAnsi="Cambria Math"/>
                      </w:rPr>
                      <m:t>β</m:t>
                    </m:r>
                  </m:num>
                  <m:den>
                    <m:r>
                      <w:rPr>
                        <w:rFonts w:ascii="Cambria Math" w:eastAsiaTheme="minorEastAsia" w:hAnsi="Cambria Math"/>
                      </w:rPr>
                      <m:t>σ</m:t>
                    </m:r>
                  </m:den>
                </m:f>
              </m:e>
            </m:d>
          </m:e>
        </m:d>
      </m:oMath>
      <w:r w:rsidRPr="00115FA3">
        <w:rPr>
          <w:rFonts w:eastAsiaTheme="minorEastAsia"/>
        </w:rPr>
        <w:t xml:space="preserve"> </w:t>
      </w:r>
      <w:r>
        <w:rPr>
          <w:rFonts w:eastAsiaTheme="minorEastAsia"/>
        </w:rPr>
        <w:tab/>
      </w:r>
      <w:r w:rsidRPr="00115FA3">
        <w:rPr>
          <w:rFonts w:eastAsiaTheme="minorEastAsia"/>
        </w:rPr>
        <w:t>(8)</w:t>
      </w:r>
    </w:p>
    <w:p w:rsidR="006C43CF" w:rsidRDefault="006C43CF" w:rsidP="006C43CF"/>
    <w:p w:rsidR="006C43CF" w:rsidRDefault="006C43CF" w:rsidP="006C43CF">
      <w:r w:rsidRPr="00115FA3">
        <w:t xml:space="preserve">Hata terimi olan </w:t>
      </w:r>
      <w:r w:rsidRPr="008A7495">
        <w:rPr>
          <w:i/>
        </w:rPr>
        <w:t>u</w:t>
      </w:r>
      <w:r w:rsidRPr="00115FA3">
        <w:t xml:space="preserve"> ve </w:t>
      </w:r>
      <w:r w:rsidRPr="008A7495">
        <w:rPr>
          <w:i/>
        </w:rPr>
        <w:t>v</w:t>
      </w:r>
      <w:r w:rsidRPr="00115FA3">
        <w:t xml:space="preserve"> parametrelerinin bağımlı olarak belirlendiği Jones (1992) çift eşik yöntemine ait en çok olabilirlik tahmin edicileri yardımıyla belirlenen çift eşik log olabilirlik fonksiyonu </w:t>
      </w:r>
      <w:r>
        <w:t>Denklem (8) ile gösterilmiştir.</w:t>
      </w:r>
    </w:p>
    <w:p w:rsidR="006C43CF" w:rsidRPr="009D2B51" w:rsidRDefault="006C43CF" w:rsidP="00EC06FA">
      <w:pPr>
        <w:rPr>
          <w:shd w:val="clear" w:color="auto" w:fill="FFFFFF"/>
        </w:rPr>
      </w:pPr>
    </w:p>
    <w:p w:rsidR="009D2B51" w:rsidRPr="009D2B51" w:rsidRDefault="009D2B51" w:rsidP="004010AA">
      <w:pPr>
        <w:pStyle w:val="AAA"/>
        <w:rPr>
          <w:shd w:val="clear" w:color="auto" w:fill="FFFFFF"/>
        </w:rPr>
      </w:pPr>
      <w:bookmarkStart w:id="20" w:name="_Toc34134592"/>
      <w:r w:rsidRPr="009D2B51">
        <w:rPr>
          <w:shd w:val="clear" w:color="auto" w:fill="FFFFFF"/>
        </w:rPr>
        <w:t>2.2. Veri Seti</w:t>
      </w:r>
      <w:bookmarkEnd w:id="20"/>
      <w:r w:rsidRPr="009D2B51">
        <w:rPr>
          <w:shd w:val="clear" w:color="auto" w:fill="FFFFFF"/>
        </w:rPr>
        <w:t xml:space="preserve"> </w:t>
      </w:r>
    </w:p>
    <w:p w:rsidR="009D2B51" w:rsidRPr="009D2B51" w:rsidRDefault="009D2B51" w:rsidP="0043092F">
      <w:pPr>
        <w:rPr>
          <w:shd w:val="clear" w:color="auto" w:fill="FFFFFF"/>
        </w:rPr>
      </w:pPr>
      <w:r w:rsidRPr="009D2B51">
        <w:rPr>
          <w:shd w:val="clear" w:color="auto" w:fill="FFFFFF"/>
        </w:rPr>
        <w:t>Bu çalışmada, bireylerin sigara tüketimlerinin belirleyicilerinin tespit edilmesinde 2014 yılı HBA verileri</w:t>
      </w:r>
      <w:r w:rsidR="008A7495">
        <w:rPr>
          <w:shd w:val="clear" w:color="auto" w:fill="FFFFFF"/>
        </w:rPr>
        <w:t>nden yararlanılmıştır.</w:t>
      </w:r>
      <w:r w:rsidRPr="009D2B51">
        <w:rPr>
          <w:shd w:val="clear" w:color="auto" w:fill="FFFFFF"/>
        </w:rPr>
        <w:t xml:space="preserve">  HBA 2014, 1 Ocak - 31 Aralık döneminde her ay farklılık gösteren 1104, yıl içerisinde de yaklaşık 13248 hanehalkı ile yapılan görüşmelerden üretilmiştir. Bu veri seti, hanehalkı fertlerinin </w:t>
      </w:r>
      <w:r w:rsidRPr="009D2B51">
        <w:rPr>
          <w:shd w:val="clear" w:color="auto" w:fill="FFFFFF"/>
        </w:rPr>
        <w:lastRenderedPageBreak/>
        <w:t xml:space="preserve">demografik, hanehalklarına ilişkin sosyoekonomik ve bunlara ait tüketim bilgilerini kapsamaktadır. Hanehalkı bütçe araştırmasında Türkiye Cumhuriyeti genelinde yaşayan hanehalkları ve bu hanehalklarına ait bireyler bulunmaktadır. Hanehalklarının her birine ait örneklem ağırlıkları, faktör değişkeni olan COICOP (Classification of Individual Consumption by Purpose) tasniflendirmesi göz önüne alınarak yapılmaktadır. Tüketim harcaması değişkenlerinin on iki ana gruptan oluştuğu veri seti yapısında, sigara ve tütün grubu; 2211 sigara, 2212 puro, 2213 diğer tütünler başlığı altında üç ana gruptan oluşmaktadır. Türkiye’de yasal olmadığı için hanelerin beyan edemediği 2311 narkotikler harcama grubu da sigara ve tütün grubu harcamalarında yer almaktadır. </w:t>
      </w:r>
      <w:r w:rsidR="0043092F">
        <w:rPr>
          <w:shd w:val="clear" w:color="auto" w:fill="FFFFFF"/>
        </w:rPr>
        <w:t xml:space="preserve">Ancak bu harcama analizde dikkate alınmamıştır. </w:t>
      </w:r>
      <w:r w:rsidRPr="009D2B51">
        <w:rPr>
          <w:shd w:val="clear" w:color="auto" w:fill="FFFFFF"/>
        </w:rPr>
        <w:t xml:space="preserve">Analiz yapılırken veri setinin sahip olduğu örneklem ağırlıklandırması olan </w:t>
      </w:r>
      <w:r w:rsidR="0043092F">
        <w:rPr>
          <w:shd w:val="clear" w:color="auto" w:fill="FFFFFF"/>
        </w:rPr>
        <w:t>‘</w:t>
      </w:r>
      <w:r w:rsidRPr="000B0342">
        <w:rPr>
          <w:i/>
          <w:shd w:val="clear" w:color="auto" w:fill="FFFFFF"/>
        </w:rPr>
        <w:t>faktör</w:t>
      </w:r>
      <w:r w:rsidR="0043092F">
        <w:rPr>
          <w:shd w:val="clear" w:color="auto" w:fill="FFFFFF"/>
        </w:rPr>
        <w:t xml:space="preserve">’ </w:t>
      </w:r>
      <w:r w:rsidRPr="009D2B51">
        <w:rPr>
          <w:shd w:val="clear" w:color="auto" w:fill="FFFFFF"/>
        </w:rPr>
        <w:t>değişkeni ile ağırlıklandırma yapılmıştır.</w:t>
      </w:r>
      <w:r w:rsidR="0043092F">
        <w:rPr>
          <w:shd w:val="clear" w:color="auto" w:fill="FFFFFF"/>
        </w:rPr>
        <w:t xml:space="preserve"> Anket yılı içerisinde farklı dönemlerde hanelerden tüketim verileri toplandığı için harcamalar ‘</w:t>
      </w:r>
      <w:r w:rsidR="0043092F" w:rsidRPr="0043092F">
        <w:rPr>
          <w:i/>
          <w:shd w:val="clear" w:color="auto" w:fill="FFFFFF"/>
        </w:rPr>
        <w:t>indeks</w:t>
      </w:r>
      <w:r w:rsidR="0043092F">
        <w:rPr>
          <w:shd w:val="clear" w:color="auto" w:fill="FFFFFF"/>
        </w:rPr>
        <w:t>’ değişkeni ile influte edilmiştir.</w:t>
      </w:r>
      <w:r w:rsidRPr="009D2B51">
        <w:rPr>
          <w:shd w:val="clear" w:color="auto" w:fill="FFFFFF"/>
        </w:rPr>
        <w:t xml:space="preserve"> Yapılan çalışmada yararlanılan hanehalkı bütçe araştırması verilerine ilişkin özet istatistikler Tablo 2’de yer almaktadır.</w:t>
      </w:r>
    </w:p>
    <w:p w:rsidR="009D2B51" w:rsidRDefault="009D2B51" w:rsidP="004010AA">
      <w:pPr>
        <w:rPr>
          <w:shd w:val="clear" w:color="auto" w:fill="FFFFFF"/>
        </w:rPr>
      </w:pPr>
    </w:p>
    <w:p w:rsidR="004010AA" w:rsidRPr="009D2B51" w:rsidRDefault="004010AA" w:rsidP="004010AA">
      <w:pPr>
        <w:rPr>
          <w:shd w:val="clear" w:color="auto" w:fill="FFFFFF"/>
        </w:rPr>
      </w:pPr>
    </w:p>
    <w:p w:rsidR="009D2B51" w:rsidRDefault="004010AA" w:rsidP="004010AA">
      <w:pPr>
        <w:ind w:firstLine="0"/>
        <w:jc w:val="center"/>
        <w:rPr>
          <w:b/>
          <w:shd w:val="clear" w:color="auto" w:fill="FFFFFF"/>
        </w:rPr>
      </w:pPr>
      <w:bookmarkStart w:id="21" w:name="_Toc30503445"/>
      <w:r w:rsidRPr="004010AA">
        <w:rPr>
          <w:b/>
        </w:rPr>
        <w:t xml:space="preserve">Tablo </w:t>
      </w:r>
      <w:r w:rsidRPr="004010AA">
        <w:rPr>
          <w:b/>
        </w:rPr>
        <w:fldChar w:fldCharType="begin"/>
      </w:r>
      <w:r w:rsidRPr="004010AA">
        <w:rPr>
          <w:b/>
        </w:rPr>
        <w:instrText xml:space="preserve"> SEQ Tablo \* ARABIC </w:instrText>
      </w:r>
      <w:r w:rsidRPr="004010AA">
        <w:rPr>
          <w:b/>
        </w:rPr>
        <w:fldChar w:fldCharType="separate"/>
      </w:r>
      <w:r w:rsidR="00BF7F92">
        <w:rPr>
          <w:b/>
          <w:noProof/>
        </w:rPr>
        <w:t>2</w:t>
      </w:r>
      <w:r w:rsidRPr="004010AA">
        <w:rPr>
          <w:b/>
        </w:rPr>
        <w:fldChar w:fldCharType="end"/>
      </w:r>
      <w:r w:rsidRPr="004010AA">
        <w:rPr>
          <w:b/>
        </w:rPr>
        <w:t xml:space="preserve">. </w:t>
      </w:r>
      <w:r w:rsidR="009D2B51" w:rsidRPr="004010AA">
        <w:rPr>
          <w:b/>
          <w:shd w:val="clear" w:color="auto" w:fill="FFFFFF"/>
        </w:rPr>
        <w:t>Değişkenlere Ait Açıklayıcı Bilgiler</w:t>
      </w:r>
      <w:bookmarkEnd w:id="21"/>
    </w:p>
    <w:tbl>
      <w:tblPr>
        <w:tblW w:w="5000" w:type="pct"/>
        <w:tblBorders>
          <w:top w:val="nil"/>
          <w:left w:val="nil"/>
          <w:bottom w:val="nil"/>
          <w:right w:val="nil"/>
          <w:insideH w:val="nil"/>
          <w:insideV w:val="nil"/>
        </w:tblBorders>
        <w:tblLook w:val="0400" w:firstRow="0" w:lastRow="0" w:firstColumn="0" w:lastColumn="0" w:noHBand="0" w:noVBand="1"/>
      </w:tblPr>
      <w:tblGrid>
        <w:gridCol w:w="1030"/>
        <w:gridCol w:w="2881"/>
        <w:gridCol w:w="778"/>
        <w:gridCol w:w="764"/>
        <w:gridCol w:w="49"/>
        <w:gridCol w:w="778"/>
        <w:gridCol w:w="785"/>
        <w:gridCol w:w="28"/>
        <w:gridCol w:w="813"/>
        <w:gridCol w:w="814"/>
      </w:tblGrid>
      <w:tr w:rsidR="004010AA" w:rsidRPr="00F141C5" w:rsidTr="00F141C5">
        <w:tc>
          <w:tcPr>
            <w:tcW w:w="591" w:type="pct"/>
            <w:tcBorders>
              <w:top w:val="single" w:sz="4" w:space="0" w:color="000000"/>
              <w:bottom w:val="single" w:sz="4" w:space="0" w:color="000000"/>
            </w:tcBorders>
            <w:vAlign w:val="bottom"/>
          </w:tcPr>
          <w:p w:rsidR="004010AA" w:rsidRPr="00F141C5" w:rsidRDefault="004010AA" w:rsidP="004010AA">
            <w:pPr>
              <w:spacing w:line="240" w:lineRule="auto"/>
              <w:ind w:left="-90" w:right="-119" w:firstLine="0"/>
              <w:rPr>
                <w:b/>
                <w:color w:val="000000"/>
                <w:sz w:val="20"/>
                <w:szCs w:val="20"/>
              </w:rPr>
            </w:pPr>
          </w:p>
        </w:tc>
        <w:tc>
          <w:tcPr>
            <w:tcW w:w="1652" w:type="pct"/>
            <w:tcBorders>
              <w:top w:val="single" w:sz="4" w:space="0" w:color="000000"/>
              <w:bottom w:val="single" w:sz="4" w:space="0" w:color="000000"/>
            </w:tcBorders>
            <w:vAlign w:val="bottom"/>
          </w:tcPr>
          <w:p w:rsidR="004010AA" w:rsidRPr="00F141C5" w:rsidRDefault="004010AA" w:rsidP="004010AA">
            <w:pPr>
              <w:spacing w:line="240" w:lineRule="auto"/>
              <w:ind w:firstLine="0"/>
              <w:rPr>
                <w:b/>
                <w:color w:val="000000"/>
                <w:sz w:val="20"/>
                <w:szCs w:val="20"/>
              </w:rPr>
            </w:pPr>
          </w:p>
        </w:tc>
        <w:tc>
          <w:tcPr>
            <w:tcW w:w="884" w:type="pct"/>
            <w:gridSpan w:val="2"/>
            <w:tcBorders>
              <w:top w:val="single" w:sz="4" w:space="0" w:color="000000"/>
              <w:bottom w:val="single" w:sz="4" w:space="0" w:color="000000"/>
            </w:tcBorders>
            <w:vAlign w:val="bottom"/>
          </w:tcPr>
          <w:p w:rsidR="004010AA" w:rsidRPr="00F141C5" w:rsidRDefault="004010AA" w:rsidP="004010AA">
            <w:pPr>
              <w:spacing w:line="240" w:lineRule="auto"/>
              <w:ind w:firstLine="0"/>
              <w:jc w:val="center"/>
              <w:rPr>
                <w:b/>
                <w:color w:val="000000"/>
                <w:sz w:val="20"/>
                <w:szCs w:val="20"/>
              </w:rPr>
            </w:pPr>
            <w:r w:rsidRPr="00F141C5">
              <w:rPr>
                <w:b/>
                <w:color w:val="000000"/>
                <w:sz w:val="20"/>
                <w:szCs w:val="20"/>
              </w:rPr>
              <w:t>Sigara Tüketimi=0</w:t>
            </w:r>
          </w:p>
        </w:tc>
        <w:tc>
          <w:tcPr>
            <w:tcW w:w="924" w:type="pct"/>
            <w:gridSpan w:val="3"/>
            <w:tcBorders>
              <w:top w:val="single" w:sz="4" w:space="0" w:color="000000"/>
              <w:bottom w:val="single" w:sz="4" w:space="0" w:color="000000"/>
            </w:tcBorders>
            <w:vAlign w:val="bottom"/>
          </w:tcPr>
          <w:p w:rsidR="004010AA" w:rsidRPr="00F141C5" w:rsidRDefault="004010AA" w:rsidP="004010AA">
            <w:pPr>
              <w:spacing w:line="240" w:lineRule="auto"/>
              <w:ind w:firstLine="0"/>
              <w:jc w:val="center"/>
              <w:rPr>
                <w:b/>
                <w:color w:val="000000"/>
                <w:sz w:val="20"/>
                <w:szCs w:val="20"/>
              </w:rPr>
            </w:pPr>
            <w:r w:rsidRPr="00F141C5">
              <w:rPr>
                <w:b/>
                <w:color w:val="000000"/>
                <w:sz w:val="20"/>
                <w:szCs w:val="20"/>
              </w:rPr>
              <w:t>Sigara Tüketimi&gt;0</w:t>
            </w:r>
          </w:p>
        </w:tc>
        <w:tc>
          <w:tcPr>
            <w:tcW w:w="949" w:type="pct"/>
            <w:gridSpan w:val="3"/>
            <w:tcBorders>
              <w:top w:val="single" w:sz="4" w:space="0" w:color="000000"/>
              <w:bottom w:val="single" w:sz="4" w:space="0" w:color="000000"/>
            </w:tcBorders>
            <w:vAlign w:val="bottom"/>
          </w:tcPr>
          <w:p w:rsidR="004010AA" w:rsidRPr="00F141C5" w:rsidRDefault="004010AA" w:rsidP="004010AA">
            <w:pPr>
              <w:spacing w:line="240" w:lineRule="auto"/>
              <w:ind w:firstLine="0"/>
              <w:jc w:val="center"/>
              <w:rPr>
                <w:b/>
                <w:color w:val="000000"/>
                <w:sz w:val="20"/>
                <w:szCs w:val="20"/>
              </w:rPr>
            </w:pPr>
            <w:r w:rsidRPr="00F141C5">
              <w:rPr>
                <w:b/>
                <w:color w:val="000000"/>
                <w:sz w:val="20"/>
                <w:szCs w:val="20"/>
              </w:rPr>
              <w:t>Toplam</w:t>
            </w:r>
          </w:p>
        </w:tc>
      </w:tr>
      <w:tr w:rsidR="004010AA" w:rsidRPr="00F141C5" w:rsidTr="00F141C5">
        <w:tc>
          <w:tcPr>
            <w:tcW w:w="591" w:type="pct"/>
            <w:tcBorders>
              <w:top w:val="single" w:sz="4" w:space="0" w:color="000000"/>
              <w:bottom w:val="single" w:sz="4" w:space="0" w:color="000000"/>
            </w:tcBorders>
            <w:vAlign w:val="bottom"/>
          </w:tcPr>
          <w:p w:rsidR="004010AA" w:rsidRPr="00F141C5" w:rsidRDefault="004010AA" w:rsidP="004010AA">
            <w:pPr>
              <w:spacing w:line="240" w:lineRule="auto"/>
              <w:ind w:left="-90" w:right="-119" w:firstLine="0"/>
              <w:jc w:val="center"/>
              <w:rPr>
                <w:b/>
                <w:color w:val="000000"/>
                <w:sz w:val="20"/>
                <w:szCs w:val="20"/>
              </w:rPr>
            </w:pPr>
            <w:r w:rsidRPr="00F141C5">
              <w:rPr>
                <w:b/>
                <w:color w:val="000000"/>
                <w:sz w:val="20"/>
                <w:szCs w:val="20"/>
              </w:rPr>
              <w:t>Değişken</w:t>
            </w:r>
          </w:p>
        </w:tc>
        <w:tc>
          <w:tcPr>
            <w:tcW w:w="1652" w:type="pct"/>
            <w:tcBorders>
              <w:top w:val="single" w:sz="4" w:space="0" w:color="000000"/>
              <w:bottom w:val="single" w:sz="4" w:space="0" w:color="000000"/>
            </w:tcBorders>
            <w:vAlign w:val="bottom"/>
          </w:tcPr>
          <w:p w:rsidR="004010AA" w:rsidRPr="00F141C5" w:rsidRDefault="004010AA" w:rsidP="004010AA">
            <w:pPr>
              <w:spacing w:line="240" w:lineRule="auto"/>
              <w:ind w:left="-110" w:right="-359" w:firstLine="0"/>
              <w:jc w:val="center"/>
              <w:rPr>
                <w:b/>
                <w:color w:val="000000"/>
                <w:sz w:val="20"/>
                <w:szCs w:val="20"/>
              </w:rPr>
            </w:pPr>
            <w:r w:rsidRPr="00F141C5">
              <w:rPr>
                <w:b/>
                <w:color w:val="000000"/>
                <w:sz w:val="20"/>
                <w:szCs w:val="20"/>
              </w:rPr>
              <w:t>Tanım</w:t>
            </w:r>
          </w:p>
        </w:tc>
        <w:tc>
          <w:tcPr>
            <w:tcW w:w="446" w:type="pct"/>
            <w:tcBorders>
              <w:top w:val="single" w:sz="4" w:space="0" w:color="000000"/>
              <w:bottom w:val="single" w:sz="4" w:space="0" w:color="000000"/>
            </w:tcBorders>
            <w:vAlign w:val="bottom"/>
          </w:tcPr>
          <w:p w:rsidR="004010AA" w:rsidRPr="00F141C5" w:rsidRDefault="004010AA" w:rsidP="004010AA">
            <w:pPr>
              <w:spacing w:line="240" w:lineRule="auto"/>
              <w:ind w:firstLine="0"/>
              <w:jc w:val="center"/>
              <w:rPr>
                <w:b/>
                <w:color w:val="000000"/>
                <w:sz w:val="20"/>
                <w:szCs w:val="20"/>
              </w:rPr>
            </w:pPr>
            <w:r w:rsidRPr="00F141C5">
              <w:rPr>
                <w:b/>
                <w:color w:val="000000"/>
                <w:sz w:val="20"/>
                <w:szCs w:val="20"/>
              </w:rPr>
              <w:t>Ort.</w:t>
            </w:r>
          </w:p>
        </w:tc>
        <w:tc>
          <w:tcPr>
            <w:tcW w:w="466" w:type="pct"/>
            <w:gridSpan w:val="2"/>
            <w:tcBorders>
              <w:top w:val="single" w:sz="4" w:space="0" w:color="000000"/>
              <w:bottom w:val="single" w:sz="4" w:space="0" w:color="000000"/>
            </w:tcBorders>
            <w:vAlign w:val="bottom"/>
          </w:tcPr>
          <w:p w:rsidR="004010AA" w:rsidRPr="00F141C5" w:rsidRDefault="004010AA" w:rsidP="004010AA">
            <w:pPr>
              <w:spacing w:line="240" w:lineRule="auto"/>
              <w:ind w:firstLine="0"/>
              <w:jc w:val="center"/>
              <w:rPr>
                <w:b/>
                <w:color w:val="000000"/>
                <w:sz w:val="20"/>
                <w:szCs w:val="20"/>
              </w:rPr>
            </w:pPr>
            <w:r w:rsidRPr="00F141C5">
              <w:rPr>
                <w:b/>
                <w:color w:val="000000"/>
                <w:sz w:val="20"/>
                <w:szCs w:val="20"/>
              </w:rPr>
              <w:t>S.S.</w:t>
            </w:r>
          </w:p>
        </w:tc>
        <w:tc>
          <w:tcPr>
            <w:tcW w:w="446" w:type="pct"/>
            <w:tcBorders>
              <w:top w:val="single" w:sz="4" w:space="0" w:color="000000"/>
              <w:bottom w:val="single" w:sz="4" w:space="0" w:color="000000"/>
            </w:tcBorders>
            <w:vAlign w:val="bottom"/>
          </w:tcPr>
          <w:p w:rsidR="004010AA" w:rsidRPr="00F141C5" w:rsidRDefault="004010AA" w:rsidP="004010AA">
            <w:pPr>
              <w:spacing w:line="240" w:lineRule="auto"/>
              <w:ind w:firstLine="0"/>
              <w:jc w:val="center"/>
              <w:rPr>
                <w:b/>
                <w:color w:val="000000"/>
                <w:sz w:val="20"/>
                <w:szCs w:val="20"/>
              </w:rPr>
            </w:pPr>
            <w:r w:rsidRPr="00F141C5">
              <w:rPr>
                <w:b/>
                <w:color w:val="000000"/>
                <w:sz w:val="20"/>
                <w:szCs w:val="20"/>
              </w:rPr>
              <w:t>Ort.</w:t>
            </w:r>
          </w:p>
        </w:tc>
        <w:tc>
          <w:tcPr>
            <w:tcW w:w="466" w:type="pct"/>
            <w:gridSpan w:val="2"/>
            <w:tcBorders>
              <w:top w:val="single" w:sz="4" w:space="0" w:color="000000"/>
              <w:bottom w:val="single" w:sz="4" w:space="0" w:color="000000"/>
            </w:tcBorders>
            <w:vAlign w:val="bottom"/>
          </w:tcPr>
          <w:p w:rsidR="004010AA" w:rsidRPr="00F141C5" w:rsidRDefault="004010AA" w:rsidP="004010AA">
            <w:pPr>
              <w:spacing w:line="240" w:lineRule="auto"/>
              <w:ind w:firstLine="0"/>
              <w:jc w:val="center"/>
              <w:rPr>
                <w:b/>
                <w:color w:val="000000"/>
                <w:sz w:val="20"/>
                <w:szCs w:val="20"/>
              </w:rPr>
            </w:pPr>
            <w:r w:rsidRPr="00F141C5">
              <w:rPr>
                <w:b/>
                <w:color w:val="000000"/>
                <w:sz w:val="20"/>
                <w:szCs w:val="20"/>
              </w:rPr>
              <w:t>S.S.</w:t>
            </w:r>
          </w:p>
        </w:tc>
        <w:tc>
          <w:tcPr>
            <w:tcW w:w="466" w:type="pct"/>
            <w:tcBorders>
              <w:top w:val="single" w:sz="4" w:space="0" w:color="000000"/>
              <w:bottom w:val="single" w:sz="4" w:space="0" w:color="000000"/>
            </w:tcBorders>
            <w:vAlign w:val="bottom"/>
          </w:tcPr>
          <w:p w:rsidR="004010AA" w:rsidRPr="00F141C5" w:rsidRDefault="004010AA" w:rsidP="004010AA">
            <w:pPr>
              <w:spacing w:line="240" w:lineRule="auto"/>
              <w:ind w:firstLine="0"/>
              <w:jc w:val="center"/>
              <w:rPr>
                <w:b/>
                <w:color w:val="000000"/>
                <w:sz w:val="20"/>
                <w:szCs w:val="20"/>
              </w:rPr>
            </w:pPr>
            <w:r w:rsidRPr="00F141C5">
              <w:rPr>
                <w:b/>
                <w:color w:val="000000"/>
                <w:sz w:val="20"/>
                <w:szCs w:val="20"/>
              </w:rPr>
              <w:t>Ort.</w:t>
            </w:r>
          </w:p>
        </w:tc>
        <w:tc>
          <w:tcPr>
            <w:tcW w:w="467" w:type="pct"/>
            <w:tcBorders>
              <w:top w:val="single" w:sz="4" w:space="0" w:color="000000"/>
              <w:bottom w:val="single" w:sz="4" w:space="0" w:color="000000"/>
            </w:tcBorders>
            <w:vAlign w:val="bottom"/>
          </w:tcPr>
          <w:p w:rsidR="004010AA" w:rsidRPr="00F141C5" w:rsidRDefault="004010AA" w:rsidP="004010AA">
            <w:pPr>
              <w:spacing w:line="240" w:lineRule="auto"/>
              <w:ind w:firstLine="0"/>
              <w:jc w:val="center"/>
              <w:rPr>
                <w:b/>
                <w:color w:val="000000"/>
                <w:sz w:val="20"/>
                <w:szCs w:val="20"/>
              </w:rPr>
            </w:pPr>
            <w:r w:rsidRPr="00F141C5">
              <w:rPr>
                <w:b/>
                <w:color w:val="000000"/>
                <w:sz w:val="20"/>
                <w:szCs w:val="20"/>
              </w:rPr>
              <w:t>S.S.</w:t>
            </w:r>
          </w:p>
        </w:tc>
      </w:tr>
      <w:tr w:rsidR="004010AA" w:rsidRPr="00F141C5" w:rsidTr="00F141C5">
        <w:tc>
          <w:tcPr>
            <w:tcW w:w="591" w:type="pct"/>
            <w:tcBorders>
              <w:top w:val="single" w:sz="4" w:space="0" w:color="000000"/>
            </w:tcBorders>
            <w:vAlign w:val="bottom"/>
          </w:tcPr>
          <w:p w:rsidR="004010AA" w:rsidRPr="00F141C5" w:rsidRDefault="004010AA" w:rsidP="004010AA">
            <w:pPr>
              <w:spacing w:line="240" w:lineRule="auto"/>
              <w:ind w:left="-90" w:right="-119" w:firstLine="0"/>
              <w:rPr>
                <w:b/>
                <w:color w:val="000000"/>
                <w:sz w:val="20"/>
                <w:szCs w:val="20"/>
              </w:rPr>
            </w:pPr>
            <w:r w:rsidRPr="00F141C5">
              <w:rPr>
                <w:b/>
                <w:color w:val="000000"/>
                <w:sz w:val="20"/>
                <w:szCs w:val="20"/>
              </w:rPr>
              <w:t>Yaş</w:t>
            </w:r>
          </w:p>
        </w:tc>
        <w:tc>
          <w:tcPr>
            <w:tcW w:w="1652" w:type="pct"/>
            <w:tcBorders>
              <w:top w:val="single" w:sz="4" w:space="0" w:color="000000"/>
            </w:tcBorders>
            <w:vAlign w:val="bottom"/>
          </w:tcPr>
          <w:p w:rsidR="004010AA" w:rsidRPr="00F141C5" w:rsidRDefault="004010AA" w:rsidP="004010AA">
            <w:pPr>
              <w:spacing w:line="240" w:lineRule="auto"/>
              <w:ind w:left="-110" w:right="-359" w:firstLine="0"/>
              <w:rPr>
                <w:color w:val="000000"/>
                <w:sz w:val="20"/>
                <w:szCs w:val="20"/>
              </w:rPr>
            </w:pPr>
            <w:r w:rsidRPr="00F141C5">
              <w:rPr>
                <w:color w:val="000000"/>
                <w:sz w:val="20"/>
                <w:szCs w:val="20"/>
              </w:rPr>
              <w:t>HHR yaşı 0 ile 65 yaş arası(8 grup)</w:t>
            </w:r>
          </w:p>
        </w:tc>
        <w:tc>
          <w:tcPr>
            <w:tcW w:w="446" w:type="pct"/>
            <w:tcBorders>
              <w:top w:val="single" w:sz="4" w:space="0" w:color="000000"/>
            </w:tcBorders>
            <w:vAlign w:val="bottom"/>
          </w:tcPr>
          <w:p w:rsidR="004010AA" w:rsidRPr="00F141C5" w:rsidRDefault="004010AA" w:rsidP="004010AA">
            <w:pPr>
              <w:spacing w:line="240" w:lineRule="auto"/>
              <w:ind w:firstLine="0"/>
              <w:jc w:val="right"/>
              <w:rPr>
                <w:color w:val="000000"/>
                <w:sz w:val="20"/>
                <w:szCs w:val="20"/>
              </w:rPr>
            </w:pPr>
            <w:r w:rsidRPr="00F141C5">
              <w:rPr>
                <w:color w:val="000000"/>
                <w:sz w:val="20"/>
                <w:szCs w:val="20"/>
              </w:rPr>
              <w:t>4.54</w:t>
            </w:r>
          </w:p>
        </w:tc>
        <w:tc>
          <w:tcPr>
            <w:tcW w:w="466" w:type="pct"/>
            <w:gridSpan w:val="2"/>
            <w:tcBorders>
              <w:top w:val="single" w:sz="4" w:space="0" w:color="000000"/>
            </w:tcBorders>
            <w:vAlign w:val="bottom"/>
          </w:tcPr>
          <w:p w:rsidR="004010AA" w:rsidRPr="00F141C5" w:rsidRDefault="004010AA" w:rsidP="004010AA">
            <w:pPr>
              <w:spacing w:line="240" w:lineRule="auto"/>
              <w:ind w:firstLine="0"/>
              <w:jc w:val="right"/>
              <w:rPr>
                <w:sz w:val="20"/>
                <w:szCs w:val="20"/>
              </w:rPr>
            </w:pPr>
            <w:r w:rsidRPr="00F141C5">
              <w:rPr>
                <w:sz w:val="20"/>
                <w:szCs w:val="20"/>
              </w:rPr>
              <w:t>1.51</w:t>
            </w:r>
          </w:p>
        </w:tc>
        <w:tc>
          <w:tcPr>
            <w:tcW w:w="446" w:type="pct"/>
            <w:tcBorders>
              <w:top w:val="single" w:sz="4" w:space="0" w:color="000000"/>
            </w:tcBorders>
            <w:vAlign w:val="bottom"/>
          </w:tcPr>
          <w:p w:rsidR="004010AA" w:rsidRPr="00F141C5" w:rsidRDefault="004010AA" w:rsidP="004010AA">
            <w:pPr>
              <w:spacing w:line="240" w:lineRule="auto"/>
              <w:ind w:firstLine="0"/>
              <w:jc w:val="right"/>
              <w:rPr>
                <w:sz w:val="20"/>
                <w:szCs w:val="20"/>
              </w:rPr>
            </w:pPr>
            <w:r w:rsidRPr="00F141C5">
              <w:rPr>
                <w:sz w:val="20"/>
                <w:szCs w:val="20"/>
              </w:rPr>
              <w:t>4.49</w:t>
            </w:r>
          </w:p>
        </w:tc>
        <w:tc>
          <w:tcPr>
            <w:tcW w:w="466" w:type="pct"/>
            <w:gridSpan w:val="2"/>
            <w:tcBorders>
              <w:top w:val="single" w:sz="4" w:space="0" w:color="000000"/>
            </w:tcBorders>
            <w:vAlign w:val="bottom"/>
          </w:tcPr>
          <w:p w:rsidR="004010AA" w:rsidRPr="00F141C5" w:rsidRDefault="004010AA" w:rsidP="004010AA">
            <w:pPr>
              <w:spacing w:line="240" w:lineRule="auto"/>
              <w:ind w:firstLine="0"/>
              <w:jc w:val="right"/>
              <w:rPr>
                <w:sz w:val="20"/>
                <w:szCs w:val="20"/>
              </w:rPr>
            </w:pPr>
            <w:r w:rsidRPr="00F141C5">
              <w:rPr>
                <w:sz w:val="20"/>
                <w:szCs w:val="20"/>
              </w:rPr>
              <w:t>1.47</w:t>
            </w:r>
          </w:p>
        </w:tc>
        <w:tc>
          <w:tcPr>
            <w:tcW w:w="466" w:type="pct"/>
            <w:tcBorders>
              <w:top w:val="single" w:sz="4" w:space="0" w:color="000000"/>
            </w:tcBorders>
            <w:vAlign w:val="bottom"/>
          </w:tcPr>
          <w:p w:rsidR="004010AA" w:rsidRPr="00F141C5" w:rsidRDefault="004010AA" w:rsidP="004010AA">
            <w:pPr>
              <w:spacing w:line="240" w:lineRule="auto"/>
              <w:ind w:firstLine="0"/>
              <w:jc w:val="right"/>
              <w:rPr>
                <w:sz w:val="20"/>
                <w:szCs w:val="20"/>
              </w:rPr>
            </w:pPr>
            <w:r w:rsidRPr="00F141C5">
              <w:rPr>
                <w:sz w:val="20"/>
                <w:szCs w:val="20"/>
              </w:rPr>
              <w:t>4.52</w:t>
            </w:r>
          </w:p>
        </w:tc>
        <w:tc>
          <w:tcPr>
            <w:tcW w:w="467" w:type="pct"/>
            <w:tcBorders>
              <w:top w:val="single" w:sz="4" w:space="0" w:color="000000"/>
            </w:tcBorders>
            <w:vAlign w:val="bottom"/>
          </w:tcPr>
          <w:p w:rsidR="004010AA" w:rsidRPr="00F141C5" w:rsidRDefault="004010AA" w:rsidP="004010AA">
            <w:pPr>
              <w:spacing w:line="240" w:lineRule="auto"/>
              <w:ind w:firstLine="0"/>
              <w:jc w:val="right"/>
              <w:rPr>
                <w:sz w:val="20"/>
                <w:szCs w:val="20"/>
              </w:rPr>
            </w:pPr>
            <w:r w:rsidRPr="00F141C5">
              <w:rPr>
                <w:sz w:val="20"/>
                <w:szCs w:val="20"/>
              </w:rPr>
              <w:t>1.49</w:t>
            </w:r>
          </w:p>
        </w:tc>
      </w:tr>
      <w:tr w:rsidR="004010AA" w:rsidRPr="00F141C5" w:rsidTr="00F141C5">
        <w:tc>
          <w:tcPr>
            <w:tcW w:w="591" w:type="pct"/>
            <w:vAlign w:val="bottom"/>
          </w:tcPr>
          <w:p w:rsidR="004010AA" w:rsidRPr="00F141C5" w:rsidRDefault="004010AA" w:rsidP="004010AA">
            <w:pPr>
              <w:spacing w:line="240" w:lineRule="auto"/>
              <w:ind w:left="-90" w:right="-119" w:firstLine="0"/>
              <w:rPr>
                <w:b/>
                <w:color w:val="000000"/>
                <w:sz w:val="20"/>
                <w:szCs w:val="20"/>
              </w:rPr>
            </w:pPr>
            <w:r w:rsidRPr="00F141C5">
              <w:rPr>
                <w:b/>
                <w:color w:val="000000"/>
                <w:sz w:val="20"/>
                <w:szCs w:val="20"/>
              </w:rPr>
              <w:t>Cinsiyet</w:t>
            </w:r>
          </w:p>
        </w:tc>
        <w:tc>
          <w:tcPr>
            <w:tcW w:w="1652" w:type="pct"/>
            <w:vAlign w:val="bottom"/>
          </w:tcPr>
          <w:p w:rsidR="004010AA" w:rsidRPr="00F141C5" w:rsidRDefault="004010AA" w:rsidP="004010AA">
            <w:pPr>
              <w:spacing w:line="240" w:lineRule="auto"/>
              <w:ind w:left="-110" w:right="-359" w:firstLine="0"/>
              <w:rPr>
                <w:color w:val="000000"/>
                <w:sz w:val="20"/>
                <w:szCs w:val="20"/>
              </w:rPr>
            </w:pPr>
            <w:r w:rsidRPr="00F141C5">
              <w:rPr>
                <w:color w:val="000000"/>
                <w:sz w:val="20"/>
                <w:szCs w:val="20"/>
              </w:rPr>
              <w:t>HHR cinsiyeti (2 grup)</w:t>
            </w:r>
          </w:p>
        </w:tc>
        <w:tc>
          <w:tcPr>
            <w:tcW w:w="446" w:type="pct"/>
            <w:vAlign w:val="bottom"/>
          </w:tcPr>
          <w:p w:rsidR="004010AA" w:rsidRPr="00F141C5" w:rsidRDefault="004010AA" w:rsidP="004010AA">
            <w:pPr>
              <w:spacing w:line="240" w:lineRule="auto"/>
              <w:ind w:firstLine="0"/>
              <w:jc w:val="right"/>
              <w:rPr>
                <w:color w:val="000000"/>
                <w:sz w:val="20"/>
                <w:szCs w:val="20"/>
              </w:rPr>
            </w:pPr>
            <w:r w:rsidRPr="00F141C5">
              <w:rPr>
                <w:color w:val="000000"/>
                <w:sz w:val="20"/>
                <w:szCs w:val="20"/>
              </w:rPr>
              <w:t>0.86</w:t>
            </w:r>
          </w:p>
        </w:tc>
        <w:tc>
          <w:tcPr>
            <w:tcW w:w="466" w:type="pct"/>
            <w:gridSpan w:val="2"/>
            <w:vAlign w:val="bottom"/>
          </w:tcPr>
          <w:p w:rsidR="004010AA" w:rsidRPr="00F141C5" w:rsidRDefault="004010AA" w:rsidP="004010AA">
            <w:pPr>
              <w:spacing w:line="240" w:lineRule="auto"/>
              <w:ind w:firstLine="0"/>
              <w:jc w:val="right"/>
              <w:rPr>
                <w:sz w:val="20"/>
                <w:szCs w:val="20"/>
              </w:rPr>
            </w:pPr>
            <w:r w:rsidRPr="00F141C5">
              <w:rPr>
                <w:sz w:val="20"/>
                <w:szCs w:val="20"/>
              </w:rPr>
              <w:t>0.34</w:t>
            </w:r>
          </w:p>
        </w:tc>
        <w:tc>
          <w:tcPr>
            <w:tcW w:w="446" w:type="pct"/>
            <w:vAlign w:val="bottom"/>
          </w:tcPr>
          <w:p w:rsidR="004010AA" w:rsidRPr="00F141C5" w:rsidRDefault="004010AA" w:rsidP="004010AA">
            <w:pPr>
              <w:spacing w:line="240" w:lineRule="auto"/>
              <w:ind w:firstLine="0"/>
              <w:jc w:val="right"/>
              <w:rPr>
                <w:sz w:val="20"/>
                <w:szCs w:val="20"/>
              </w:rPr>
            </w:pPr>
            <w:r w:rsidRPr="00F141C5">
              <w:rPr>
                <w:sz w:val="20"/>
                <w:szCs w:val="20"/>
              </w:rPr>
              <w:t>0.86</w:t>
            </w:r>
          </w:p>
        </w:tc>
        <w:tc>
          <w:tcPr>
            <w:tcW w:w="466" w:type="pct"/>
            <w:gridSpan w:val="2"/>
            <w:vAlign w:val="bottom"/>
          </w:tcPr>
          <w:p w:rsidR="004010AA" w:rsidRPr="00F141C5" w:rsidRDefault="004010AA" w:rsidP="004010AA">
            <w:pPr>
              <w:spacing w:line="240" w:lineRule="auto"/>
              <w:ind w:firstLine="0"/>
              <w:jc w:val="right"/>
              <w:rPr>
                <w:sz w:val="20"/>
                <w:szCs w:val="20"/>
              </w:rPr>
            </w:pPr>
            <w:r w:rsidRPr="00F141C5">
              <w:rPr>
                <w:sz w:val="20"/>
                <w:szCs w:val="20"/>
              </w:rPr>
              <w:t>0.34</w:t>
            </w:r>
          </w:p>
        </w:tc>
        <w:tc>
          <w:tcPr>
            <w:tcW w:w="466" w:type="pct"/>
            <w:vAlign w:val="bottom"/>
          </w:tcPr>
          <w:p w:rsidR="004010AA" w:rsidRPr="00F141C5" w:rsidRDefault="004010AA" w:rsidP="004010AA">
            <w:pPr>
              <w:spacing w:line="240" w:lineRule="auto"/>
              <w:ind w:firstLine="0"/>
              <w:jc w:val="right"/>
              <w:rPr>
                <w:sz w:val="20"/>
                <w:szCs w:val="20"/>
              </w:rPr>
            </w:pPr>
            <w:r w:rsidRPr="00F141C5">
              <w:rPr>
                <w:sz w:val="20"/>
                <w:szCs w:val="20"/>
              </w:rPr>
              <w:t>0.86</w:t>
            </w:r>
          </w:p>
        </w:tc>
        <w:tc>
          <w:tcPr>
            <w:tcW w:w="467" w:type="pct"/>
            <w:vAlign w:val="bottom"/>
          </w:tcPr>
          <w:p w:rsidR="004010AA" w:rsidRPr="00F141C5" w:rsidRDefault="004010AA" w:rsidP="004010AA">
            <w:pPr>
              <w:spacing w:line="240" w:lineRule="auto"/>
              <w:ind w:firstLine="0"/>
              <w:jc w:val="right"/>
              <w:rPr>
                <w:sz w:val="20"/>
                <w:szCs w:val="20"/>
              </w:rPr>
            </w:pPr>
            <w:r w:rsidRPr="00F141C5">
              <w:rPr>
                <w:sz w:val="20"/>
                <w:szCs w:val="20"/>
              </w:rPr>
              <w:t>0.34</w:t>
            </w:r>
          </w:p>
        </w:tc>
      </w:tr>
      <w:tr w:rsidR="004010AA" w:rsidRPr="00F141C5" w:rsidTr="00F141C5">
        <w:tc>
          <w:tcPr>
            <w:tcW w:w="591" w:type="pct"/>
            <w:vAlign w:val="bottom"/>
          </w:tcPr>
          <w:p w:rsidR="004010AA" w:rsidRPr="00F141C5" w:rsidRDefault="004010AA" w:rsidP="004010AA">
            <w:pPr>
              <w:spacing w:line="240" w:lineRule="auto"/>
              <w:ind w:left="-90" w:right="-119" w:firstLine="0"/>
              <w:rPr>
                <w:b/>
                <w:color w:val="000000"/>
                <w:sz w:val="20"/>
                <w:szCs w:val="20"/>
              </w:rPr>
            </w:pPr>
            <w:r w:rsidRPr="00F141C5">
              <w:rPr>
                <w:b/>
                <w:color w:val="000000"/>
                <w:sz w:val="20"/>
                <w:szCs w:val="20"/>
              </w:rPr>
              <w:t>Medeni</w:t>
            </w:r>
          </w:p>
        </w:tc>
        <w:tc>
          <w:tcPr>
            <w:tcW w:w="1652" w:type="pct"/>
            <w:vAlign w:val="bottom"/>
          </w:tcPr>
          <w:p w:rsidR="004010AA" w:rsidRPr="00F141C5" w:rsidRDefault="004010AA" w:rsidP="004010AA">
            <w:pPr>
              <w:spacing w:line="240" w:lineRule="auto"/>
              <w:ind w:left="-110" w:right="-359" w:firstLine="0"/>
              <w:rPr>
                <w:color w:val="000000"/>
                <w:sz w:val="20"/>
                <w:szCs w:val="20"/>
              </w:rPr>
            </w:pPr>
            <w:r w:rsidRPr="00F141C5">
              <w:rPr>
                <w:color w:val="000000"/>
                <w:sz w:val="20"/>
                <w:szCs w:val="20"/>
              </w:rPr>
              <w:t>HHR medeni durumu (2 grup)</w:t>
            </w:r>
          </w:p>
        </w:tc>
        <w:tc>
          <w:tcPr>
            <w:tcW w:w="446" w:type="pct"/>
            <w:vAlign w:val="bottom"/>
          </w:tcPr>
          <w:p w:rsidR="004010AA" w:rsidRPr="00F141C5" w:rsidRDefault="004010AA" w:rsidP="004010AA">
            <w:pPr>
              <w:spacing w:line="240" w:lineRule="auto"/>
              <w:ind w:firstLine="0"/>
              <w:jc w:val="right"/>
              <w:rPr>
                <w:color w:val="000000"/>
                <w:sz w:val="20"/>
                <w:szCs w:val="20"/>
              </w:rPr>
            </w:pPr>
            <w:r w:rsidRPr="00F141C5">
              <w:rPr>
                <w:color w:val="000000"/>
                <w:sz w:val="20"/>
                <w:szCs w:val="20"/>
              </w:rPr>
              <w:t>0.84</w:t>
            </w:r>
          </w:p>
        </w:tc>
        <w:tc>
          <w:tcPr>
            <w:tcW w:w="466" w:type="pct"/>
            <w:gridSpan w:val="2"/>
            <w:vAlign w:val="bottom"/>
          </w:tcPr>
          <w:p w:rsidR="004010AA" w:rsidRPr="00F141C5" w:rsidRDefault="004010AA" w:rsidP="004010AA">
            <w:pPr>
              <w:spacing w:line="240" w:lineRule="auto"/>
              <w:ind w:firstLine="0"/>
              <w:jc w:val="right"/>
              <w:rPr>
                <w:sz w:val="20"/>
                <w:szCs w:val="20"/>
              </w:rPr>
            </w:pPr>
            <w:r w:rsidRPr="00F141C5">
              <w:rPr>
                <w:sz w:val="20"/>
                <w:szCs w:val="20"/>
              </w:rPr>
              <w:t>0.36</w:t>
            </w:r>
          </w:p>
        </w:tc>
        <w:tc>
          <w:tcPr>
            <w:tcW w:w="446" w:type="pct"/>
            <w:vAlign w:val="bottom"/>
          </w:tcPr>
          <w:p w:rsidR="004010AA" w:rsidRPr="00F141C5" w:rsidRDefault="004010AA" w:rsidP="004010AA">
            <w:pPr>
              <w:spacing w:line="240" w:lineRule="auto"/>
              <w:ind w:firstLine="0"/>
              <w:jc w:val="right"/>
              <w:rPr>
                <w:sz w:val="20"/>
                <w:szCs w:val="20"/>
              </w:rPr>
            </w:pPr>
            <w:r w:rsidRPr="00F141C5">
              <w:rPr>
                <w:sz w:val="20"/>
                <w:szCs w:val="20"/>
              </w:rPr>
              <w:t>0.83</w:t>
            </w:r>
          </w:p>
        </w:tc>
        <w:tc>
          <w:tcPr>
            <w:tcW w:w="466" w:type="pct"/>
            <w:gridSpan w:val="2"/>
            <w:vAlign w:val="bottom"/>
          </w:tcPr>
          <w:p w:rsidR="004010AA" w:rsidRPr="00F141C5" w:rsidRDefault="004010AA" w:rsidP="004010AA">
            <w:pPr>
              <w:spacing w:line="240" w:lineRule="auto"/>
              <w:ind w:firstLine="0"/>
              <w:jc w:val="right"/>
              <w:rPr>
                <w:sz w:val="20"/>
                <w:szCs w:val="20"/>
              </w:rPr>
            </w:pPr>
            <w:r w:rsidRPr="00F141C5">
              <w:rPr>
                <w:sz w:val="20"/>
                <w:szCs w:val="20"/>
              </w:rPr>
              <w:t>0.36</w:t>
            </w:r>
          </w:p>
        </w:tc>
        <w:tc>
          <w:tcPr>
            <w:tcW w:w="466" w:type="pct"/>
            <w:vAlign w:val="bottom"/>
          </w:tcPr>
          <w:p w:rsidR="004010AA" w:rsidRPr="00F141C5" w:rsidRDefault="004010AA" w:rsidP="004010AA">
            <w:pPr>
              <w:spacing w:line="240" w:lineRule="auto"/>
              <w:ind w:firstLine="0"/>
              <w:jc w:val="right"/>
              <w:rPr>
                <w:sz w:val="20"/>
                <w:szCs w:val="20"/>
              </w:rPr>
            </w:pPr>
            <w:r w:rsidRPr="00F141C5">
              <w:rPr>
                <w:sz w:val="20"/>
                <w:szCs w:val="20"/>
              </w:rPr>
              <w:t>0.84</w:t>
            </w:r>
          </w:p>
        </w:tc>
        <w:tc>
          <w:tcPr>
            <w:tcW w:w="467" w:type="pct"/>
            <w:vAlign w:val="bottom"/>
          </w:tcPr>
          <w:p w:rsidR="004010AA" w:rsidRPr="00F141C5" w:rsidRDefault="004010AA" w:rsidP="004010AA">
            <w:pPr>
              <w:spacing w:line="240" w:lineRule="auto"/>
              <w:ind w:firstLine="0"/>
              <w:jc w:val="right"/>
              <w:rPr>
                <w:sz w:val="20"/>
                <w:szCs w:val="20"/>
              </w:rPr>
            </w:pPr>
            <w:r w:rsidRPr="00F141C5">
              <w:rPr>
                <w:sz w:val="20"/>
                <w:szCs w:val="20"/>
              </w:rPr>
              <w:t>0.36</w:t>
            </w:r>
          </w:p>
        </w:tc>
      </w:tr>
      <w:tr w:rsidR="004010AA" w:rsidRPr="00F141C5" w:rsidTr="00F141C5">
        <w:tc>
          <w:tcPr>
            <w:tcW w:w="591" w:type="pct"/>
            <w:vAlign w:val="bottom"/>
          </w:tcPr>
          <w:p w:rsidR="004010AA" w:rsidRPr="00F141C5" w:rsidRDefault="004010AA" w:rsidP="004010AA">
            <w:pPr>
              <w:spacing w:line="240" w:lineRule="auto"/>
              <w:ind w:left="-90" w:right="-119" w:firstLine="0"/>
              <w:rPr>
                <w:b/>
                <w:color w:val="000000"/>
                <w:sz w:val="20"/>
                <w:szCs w:val="20"/>
              </w:rPr>
            </w:pPr>
            <w:r w:rsidRPr="00F141C5">
              <w:rPr>
                <w:b/>
                <w:color w:val="000000"/>
                <w:sz w:val="20"/>
                <w:szCs w:val="20"/>
              </w:rPr>
              <w:t>Eğitim</w:t>
            </w:r>
          </w:p>
        </w:tc>
        <w:tc>
          <w:tcPr>
            <w:tcW w:w="1652" w:type="pct"/>
            <w:vAlign w:val="bottom"/>
          </w:tcPr>
          <w:p w:rsidR="004010AA" w:rsidRPr="00F141C5" w:rsidRDefault="004010AA" w:rsidP="004010AA">
            <w:pPr>
              <w:spacing w:line="240" w:lineRule="auto"/>
              <w:ind w:left="-110" w:right="-359" w:firstLine="0"/>
              <w:rPr>
                <w:color w:val="000000"/>
                <w:sz w:val="20"/>
                <w:szCs w:val="20"/>
              </w:rPr>
            </w:pPr>
            <w:r w:rsidRPr="00F141C5">
              <w:rPr>
                <w:color w:val="000000"/>
                <w:sz w:val="20"/>
                <w:szCs w:val="20"/>
              </w:rPr>
              <w:t>HHR eğitim seviyesi (4 grup)</w:t>
            </w:r>
          </w:p>
        </w:tc>
        <w:tc>
          <w:tcPr>
            <w:tcW w:w="446" w:type="pct"/>
            <w:vAlign w:val="bottom"/>
          </w:tcPr>
          <w:p w:rsidR="004010AA" w:rsidRPr="00F141C5" w:rsidRDefault="004010AA" w:rsidP="004010AA">
            <w:pPr>
              <w:spacing w:line="240" w:lineRule="auto"/>
              <w:ind w:firstLine="0"/>
              <w:jc w:val="right"/>
              <w:rPr>
                <w:color w:val="000000"/>
                <w:sz w:val="20"/>
                <w:szCs w:val="20"/>
              </w:rPr>
            </w:pPr>
            <w:r w:rsidRPr="00F141C5">
              <w:rPr>
                <w:color w:val="000000"/>
                <w:sz w:val="20"/>
                <w:szCs w:val="20"/>
              </w:rPr>
              <w:t>1.37</w:t>
            </w:r>
          </w:p>
        </w:tc>
        <w:tc>
          <w:tcPr>
            <w:tcW w:w="466" w:type="pct"/>
            <w:gridSpan w:val="2"/>
            <w:vAlign w:val="bottom"/>
          </w:tcPr>
          <w:p w:rsidR="004010AA" w:rsidRPr="00F141C5" w:rsidRDefault="004010AA" w:rsidP="004010AA">
            <w:pPr>
              <w:spacing w:line="240" w:lineRule="auto"/>
              <w:ind w:firstLine="0"/>
              <w:jc w:val="right"/>
              <w:rPr>
                <w:sz w:val="20"/>
                <w:szCs w:val="20"/>
              </w:rPr>
            </w:pPr>
            <w:r w:rsidRPr="00F141C5">
              <w:rPr>
                <w:sz w:val="20"/>
                <w:szCs w:val="20"/>
              </w:rPr>
              <w:t>0.93</w:t>
            </w:r>
          </w:p>
        </w:tc>
        <w:tc>
          <w:tcPr>
            <w:tcW w:w="446" w:type="pct"/>
            <w:vAlign w:val="bottom"/>
          </w:tcPr>
          <w:p w:rsidR="004010AA" w:rsidRPr="00F141C5" w:rsidRDefault="004010AA" w:rsidP="004010AA">
            <w:pPr>
              <w:spacing w:line="240" w:lineRule="auto"/>
              <w:ind w:firstLine="0"/>
              <w:jc w:val="right"/>
              <w:rPr>
                <w:sz w:val="20"/>
                <w:szCs w:val="20"/>
              </w:rPr>
            </w:pPr>
            <w:r w:rsidRPr="00F141C5">
              <w:rPr>
                <w:sz w:val="20"/>
                <w:szCs w:val="20"/>
              </w:rPr>
              <w:t>1.35</w:t>
            </w:r>
          </w:p>
        </w:tc>
        <w:tc>
          <w:tcPr>
            <w:tcW w:w="466" w:type="pct"/>
            <w:gridSpan w:val="2"/>
            <w:vAlign w:val="bottom"/>
          </w:tcPr>
          <w:p w:rsidR="004010AA" w:rsidRPr="00F141C5" w:rsidRDefault="004010AA" w:rsidP="004010AA">
            <w:pPr>
              <w:spacing w:line="240" w:lineRule="auto"/>
              <w:ind w:firstLine="0"/>
              <w:jc w:val="right"/>
              <w:rPr>
                <w:sz w:val="20"/>
                <w:szCs w:val="20"/>
              </w:rPr>
            </w:pPr>
            <w:r w:rsidRPr="00F141C5">
              <w:rPr>
                <w:sz w:val="20"/>
                <w:szCs w:val="20"/>
              </w:rPr>
              <w:t>0.91</w:t>
            </w:r>
          </w:p>
        </w:tc>
        <w:tc>
          <w:tcPr>
            <w:tcW w:w="466" w:type="pct"/>
            <w:vAlign w:val="bottom"/>
          </w:tcPr>
          <w:p w:rsidR="004010AA" w:rsidRPr="00F141C5" w:rsidRDefault="004010AA" w:rsidP="004010AA">
            <w:pPr>
              <w:spacing w:line="240" w:lineRule="auto"/>
              <w:ind w:firstLine="0"/>
              <w:jc w:val="right"/>
              <w:rPr>
                <w:sz w:val="20"/>
                <w:szCs w:val="20"/>
              </w:rPr>
            </w:pPr>
            <w:r w:rsidRPr="00F141C5">
              <w:rPr>
                <w:sz w:val="20"/>
                <w:szCs w:val="20"/>
              </w:rPr>
              <w:t>1.36</w:t>
            </w:r>
          </w:p>
        </w:tc>
        <w:tc>
          <w:tcPr>
            <w:tcW w:w="467" w:type="pct"/>
            <w:vAlign w:val="bottom"/>
          </w:tcPr>
          <w:p w:rsidR="004010AA" w:rsidRPr="00F141C5" w:rsidRDefault="004010AA" w:rsidP="004010AA">
            <w:pPr>
              <w:spacing w:line="240" w:lineRule="auto"/>
              <w:ind w:firstLine="0"/>
              <w:jc w:val="right"/>
              <w:rPr>
                <w:sz w:val="20"/>
                <w:szCs w:val="20"/>
              </w:rPr>
            </w:pPr>
            <w:r w:rsidRPr="00F141C5">
              <w:rPr>
                <w:sz w:val="20"/>
                <w:szCs w:val="20"/>
              </w:rPr>
              <w:t>0.92</w:t>
            </w:r>
          </w:p>
        </w:tc>
      </w:tr>
      <w:tr w:rsidR="004010AA" w:rsidRPr="00F141C5" w:rsidTr="00F141C5">
        <w:tc>
          <w:tcPr>
            <w:tcW w:w="591" w:type="pct"/>
            <w:vAlign w:val="bottom"/>
          </w:tcPr>
          <w:p w:rsidR="004010AA" w:rsidRPr="00F141C5" w:rsidRDefault="004010AA" w:rsidP="004010AA">
            <w:pPr>
              <w:spacing w:line="240" w:lineRule="auto"/>
              <w:ind w:left="-90" w:right="-119" w:firstLine="0"/>
              <w:rPr>
                <w:b/>
                <w:color w:val="000000"/>
                <w:sz w:val="20"/>
                <w:szCs w:val="20"/>
              </w:rPr>
            </w:pPr>
            <w:r w:rsidRPr="00F141C5">
              <w:rPr>
                <w:b/>
                <w:color w:val="000000"/>
                <w:sz w:val="20"/>
                <w:szCs w:val="20"/>
              </w:rPr>
              <w:t>Sigara</w:t>
            </w:r>
          </w:p>
        </w:tc>
        <w:tc>
          <w:tcPr>
            <w:tcW w:w="1652" w:type="pct"/>
            <w:vAlign w:val="bottom"/>
          </w:tcPr>
          <w:p w:rsidR="004010AA" w:rsidRPr="00F141C5" w:rsidRDefault="004010AA" w:rsidP="004010AA">
            <w:pPr>
              <w:spacing w:line="240" w:lineRule="auto"/>
              <w:ind w:left="-110" w:right="-359" w:firstLine="0"/>
              <w:rPr>
                <w:color w:val="000000"/>
                <w:sz w:val="20"/>
                <w:szCs w:val="20"/>
              </w:rPr>
            </w:pPr>
            <w:r w:rsidRPr="00F141C5">
              <w:rPr>
                <w:color w:val="000000"/>
                <w:sz w:val="20"/>
                <w:szCs w:val="20"/>
              </w:rPr>
              <w:t>Sigara harcaması olması (2grup)</w:t>
            </w:r>
          </w:p>
        </w:tc>
        <w:tc>
          <w:tcPr>
            <w:tcW w:w="446" w:type="pct"/>
            <w:vAlign w:val="bottom"/>
          </w:tcPr>
          <w:p w:rsidR="004010AA" w:rsidRPr="00F141C5" w:rsidRDefault="004010AA" w:rsidP="004010AA">
            <w:pPr>
              <w:spacing w:line="240" w:lineRule="auto"/>
              <w:ind w:firstLine="0"/>
              <w:jc w:val="right"/>
              <w:rPr>
                <w:color w:val="000000"/>
                <w:sz w:val="20"/>
                <w:szCs w:val="20"/>
              </w:rPr>
            </w:pPr>
            <w:r w:rsidRPr="00F141C5">
              <w:rPr>
                <w:color w:val="000000"/>
                <w:sz w:val="20"/>
                <w:szCs w:val="20"/>
              </w:rPr>
              <w:t>0</w:t>
            </w:r>
          </w:p>
        </w:tc>
        <w:tc>
          <w:tcPr>
            <w:tcW w:w="466" w:type="pct"/>
            <w:gridSpan w:val="2"/>
            <w:vAlign w:val="bottom"/>
          </w:tcPr>
          <w:p w:rsidR="004010AA" w:rsidRPr="00F141C5" w:rsidRDefault="004010AA" w:rsidP="004010AA">
            <w:pPr>
              <w:spacing w:line="240" w:lineRule="auto"/>
              <w:ind w:firstLine="0"/>
              <w:jc w:val="right"/>
              <w:rPr>
                <w:sz w:val="20"/>
                <w:szCs w:val="20"/>
              </w:rPr>
            </w:pPr>
            <w:r w:rsidRPr="00F141C5">
              <w:rPr>
                <w:sz w:val="20"/>
                <w:szCs w:val="20"/>
              </w:rPr>
              <w:t>0</w:t>
            </w:r>
          </w:p>
        </w:tc>
        <w:tc>
          <w:tcPr>
            <w:tcW w:w="446" w:type="pct"/>
            <w:vAlign w:val="bottom"/>
          </w:tcPr>
          <w:p w:rsidR="004010AA" w:rsidRPr="00F141C5" w:rsidRDefault="004010AA" w:rsidP="004010AA">
            <w:pPr>
              <w:spacing w:line="240" w:lineRule="auto"/>
              <w:ind w:firstLine="0"/>
              <w:jc w:val="right"/>
              <w:rPr>
                <w:sz w:val="20"/>
                <w:szCs w:val="20"/>
              </w:rPr>
            </w:pPr>
            <w:r w:rsidRPr="00F141C5">
              <w:rPr>
                <w:sz w:val="20"/>
                <w:szCs w:val="20"/>
              </w:rPr>
              <w:t>195.6</w:t>
            </w:r>
          </w:p>
        </w:tc>
        <w:tc>
          <w:tcPr>
            <w:tcW w:w="466" w:type="pct"/>
            <w:gridSpan w:val="2"/>
            <w:vAlign w:val="bottom"/>
          </w:tcPr>
          <w:p w:rsidR="004010AA" w:rsidRPr="00F141C5" w:rsidRDefault="004010AA" w:rsidP="004010AA">
            <w:pPr>
              <w:spacing w:line="240" w:lineRule="auto"/>
              <w:ind w:firstLine="0"/>
              <w:jc w:val="right"/>
              <w:rPr>
                <w:sz w:val="20"/>
                <w:szCs w:val="20"/>
              </w:rPr>
            </w:pPr>
            <w:r w:rsidRPr="00F141C5">
              <w:rPr>
                <w:sz w:val="20"/>
                <w:szCs w:val="20"/>
              </w:rPr>
              <w:t>154.17</w:t>
            </w:r>
          </w:p>
        </w:tc>
        <w:tc>
          <w:tcPr>
            <w:tcW w:w="466" w:type="pct"/>
            <w:vAlign w:val="bottom"/>
          </w:tcPr>
          <w:p w:rsidR="004010AA" w:rsidRPr="00F141C5" w:rsidRDefault="004010AA" w:rsidP="004010AA">
            <w:pPr>
              <w:spacing w:line="240" w:lineRule="auto"/>
              <w:ind w:firstLine="0"/>
              <w:jc w:val="right"/>
              <w:rPr>
                <w:sz w:val="20"/>
                <w:szCs w:val="20"/>
              </w:rPr>
            </w:pPr>
            <w:r w:rsidRPr="00F141C5">
              <w:rPr>
                <w:sz w:val="20"/>
                <w:szCs w:val="20"/>
              </w:rPr>
              <w:t>80.50</w:t>
            </w:r>
          </w:p>
        </w:tc>
        <w:tc>
          <w:tcPr>
            <w:tcW w:w="467" w:type="pct"/>
            <w:vAlign w:val="bottom"/>
          </w:tcPr>
          <w:p w:rsidR="004010AA" w:rsidRPr="00F141C5" w:rsidRDefault="004010AA" w:rsidP="004010AA">
            <w:pPr>
              <w:spacing w:line="240" w:lineRule="auto"/>
              <w:ind w:firstLine="0"/>
              <w:jc w:val="right"/>
              <w:rPr>
                <w:sz w:val="20"/>
                <w:szCs w:val="20"/>
              </w:rPr>
            </w:pPr>
            <w:r w:rsidRPr="00F141C5">
              <w:rPr>
                <w:sz w:val="20"/>
                <w:szCs w:val="20"/>
              </w:rPr>
              <w:t>138.01</w:t>
            </w:r>
          </w:p>
        </w:tc>
      </w:tr>
      <w:tr w:rsidR="004010AA" w:rsidRPr="00F141C5" w:rsidTr="00F141C5">
        <w:tc>
          <w:tcPr>
            <w:tcW w:w="591" w:type="pct"/>
            <w:vAlign w:val="bottom"/>
          </w:tcPr>
          <w:p w:rsidR="004010AA" w:rsidRPr="00F141C5" w:rsidRDefault="004010AA" w:rsidP="004010AA">
            <w:pPr>
              <w:spacing w:line="240" w:lineRule="auto"/>
              <w:ind w:left="-90" w:right="-119" w:firstLine="0"/>
              <w:rPr>
                <w:b/>
                <w:color w:val="000000"/>
                <w:sz w:val="20"/>
                <w:szCs w:val="20"/>
              </w:rPr>
            </w:pPr>
            <w:r w:rsidRPr="00F141C5">
              <w:rPr>
                <w:b/>
                <w:color w:val="000000"/>
                <w:sz w:val="20"/>
                <w:szCs w:val="20"/>
              </w:rPr>
              <w:t>Alkol</w:t>
            </w:r>
          </w:p>
        </w:tc>
        <w:tc>
          <w:tcPr>
            <w:tcW w:w="1652" w:type="pct"/>
            <w:vAlign w:val="bottom"/>
          </w:tcPr>
          <w:p w:rsidR="00F141C5" w:rsidRDefault="004010AA" w:rsidP="004010AA">
            <w:pPr>
              <w:spacing w:line="240" w:lineRule="auto"/>
              <w:ind w:left="-110" w:right="-359" w:firstLine="0"/>
              <w:rPr>
                <w:color w:val="000000"/>
                <w:sz w:val="20"/>
                <w:szCs w:val="20"/>
              </w:rPr>
            </w:pPr>
            <w:r w:rsidRPr="00F141C5">
              <w:rPr>
                <w:color w:val="000000"/>
                <w:sz w:val="20"/>
                <w:szCs w:val="20"/>
              </w:rPr>
              <w:t>Alkol harcaması olup</w:t>
            </w:r>
          </w:p>
          <w:p w:rsidR="004010AA" w:rsidRPr="00F141C5" w:rsidRDefault="004010AA" w:rsidP="004010AA">
            <w:pPr>
              <w:spacing w:line="240" w:lineRule="auto"/>
              <w:ind w:left="-110" w:right="-359" w:firstLine="0"/>
              <w:rPr>
                <w:color w:val="000000"/>
                <w:sz w:val="20"/>
                <w:szCs w:val="20"/>
              </w:rPr>
            </w:pPr>
            <w:r w:rsidRPr="00F141C5">
              <w:rPr>
                <w:color w:val="000000"/>
                <w:sz w:val="20"/>
                <w:szCs w:val="20"/>
              </w:rPr>
              <w:t>(nominal sürekli)</w:t>
            </w:r>
          </w:p>
        </w:tc>
        <w:tc>
          <w:tcPr>
            <w:tcW w:w="446" w:type="pct"/>
            <w:vAlign w:val="bottom"/>
          </w:tcPr>
          <w:p w:rsidR="004010AA" w:rsidRPr="00F141C5" w:rsidRDefault="004010AA" w:rsidP="004010AA">
            <w:pPr>
              <w:spacing w:line="240" w:lineRule="auto"/>
              <w:ind w:firstLine="0"/>
              <w:jc w:val="right"/>
              <w:rPr>
                <w:color w:val="000000"/>
                <w:sz w:val="20"/>
                <w:szCs w:val="20"/>
              </w:rPr>
            </w:pPr>
            <w:r w:rsidRPr="00F141C5">
              <w:rPr>
                <w:color w:val="000000"/>
                <w:sz w:val="20"/>
                <w:szCs w:val="20"/>
              </w:rPr>
              <w:t>3.30</w:t>
            </w:r>
          </w:p>
        </w:tc>
        <w:tc>
          <w:tcPr>
            <w:tcW w:w="466" w:type="pct"/>
            <w:gridSpan w:val="2"/>
            <w:vAlign w:val="bottom"/>
          </w:tcPr>
          <w:p w:rsidR="004010AA" w:rsidRPr="00F141C5" w:rsidRDefault="004010AA" w:rsidP="004010AA">
            <w:pPr>
              <w:spacing w:line="240" w:lineRule="auto"/>
              <w:ind w:firstLine="0"/>
              <w:jc w:val="right"/>
              <w:rPr>
                <w:sz w:val="20"/>
                <w:szCs w:val="20"/>
              </w:rPr>
            </w:pPr>
            <w:r w:rsidRPr="00F141C5">
              <w:rPr>
                <w:sz w:val="20"/>
                <w:szCs w:val="20"/>
              </w:rPr>
              <w:t>32.023</w:t>
            </w:r>
          </w:p>
        </w:tc>
        <w:tc>
          <w:tcPr>
            <w:tcW w:w="446" w:type="pct"/>
            <w:vAlign w:val="bottom"/>
          </w:tcPr>
          <w:p w:rsidR="004010AA" w:rsidRPr="00F141C5" w:rsidRDefault="004010AA" w:rsidP="004010AA">
            <w:pPr>
              <w:spacing w:line="240" w:lineRule="auto"/>
              <w:ind w:firstLine="0"/>
              <w:jc w:val="right"/>
              <w:rPr>
                <w:sz w:val="20"/>
                <w:szCs w:val="20"/>
              </w:rPr>
            </w:pPr>
            <w:r w:rsidRPr="00F141C5">
              <w:rPr>
                <w:sz w:val="20"/>
                <w:szCs w:val="20"/>
              </w:rPr>
              <w:t>6.74</w:t>
            </w:r>
          </w:p>
        </w:tc>
        <w:tc>
          <w:tcPr>
            <w:tcW w:w="466" w:type="pct"/>
            <w:gridSpan w:val="2"/>
            <w:vAlign w:val="bottom"/>
          </w:tcPr>
          <w:p w:rsidR="004010AA" w:rsidRPr="00F141C5" w:rsidRDefault="004010AA" w:rsidP="004010AA">
            <w:pPr>
              <w:spacing w:line="240" w:lineRule="auto"/>
              <w:ind w:firstLine="0"/>
              <w:jc w:val="right"/>
              <w:rPr>
                <w:sz w:val="20"/>
                <w:szCs w:val="20"/>
              </w:rPr>
            </w:pPr>
            <w:r w:rsidRPr="00F141C5">
              <w:rPr>
                <w:sz w:val="20"/>
                <w:szCs w:val="20"/>
              </w:rPr>
              <w:t>38.944</w:t>
            </w:r>
          </w:p>
        </w:tc>
        <w:tc>
          <w:tcPr>
            <w:tcW w:w="466" w:type="pct"/>
            <w:vAlign w:val="bottom"/>
          </w:tcPr>
          <w:p w:rsidR="004010AA" w:rsidRPr="00F141C5" w:rsidRDefault="004010AA" w:rsidP="004010AA">
            <w:pPr>
              <w:spacing w:line="240" w:lineRule="auto"/>
              <w:ind w:firstLine="0"/>
              <w:jc w:val="right"/>
              <w:rPr>
                <w:sz w:val="20"/>
                <w:szCs w:val="20"/>
              </w:rPr>
            </w:pPr>
            <w:r w:rsidRPr="00F141C5">
              <w:rPr>
                <w:sz w:val="20"/>
                <w:szCs w:val="20"/>
              </w:rPr>
              <w:t>4.72</w:t>
            </w:r>
          </w:p>
        </w:tc>
        <w:tc>
          <w:tcPr>
            <w:tcW w:w="467" w:type="pct"/>
            <w:vAlign w:val="bottom"/>
          </w:tcPr>
          <w:p w:rsidR="004010AA" w:rsidRPr="00F141C5" w:rsidRDefault="004010AA" w:rsidP="004010AA">
            <w:pPr>
              <w:spacing w:line="240" w:lineRule="auto"/>
              <w:ind w:firstLine="0"/>
              <w:jc w:val="right"/>
              <w:rPr>
                <w:sz w:val="20"/>
                <w:szCs w:val="20"/>
              </w:rPr>
            </w:pPr>
            <w:r w:rsidRPr="00F141C5">
              <w:rPr>
                <w:sz w:val="20"/>
                <w:szCs w:val="20"/>
              </w:rPr>
              <w:t>35.076</w:t>
            </w:r>
          </w:p>
        </w:tc>
      </w:tr>
      <w:tr w:rsidR="004010AA" w:rsidRPr="00F141C5" w:rsidTr="00F141C5">
        <w:tc>
          <w:tcPr>
            <w:tcW w:w="591" w:type="pct"/>
            <w:vAlign w:val="bottom"/>
          </w:tcPr>
          <w:p w:rsidR="004010AA" w:rsidRPr="00F141C5" w:rsidRDefault="004010AA" w:rsidP="004010AA">
            <w:pPr>
              <w:spacing w:line="240" w:lineRule="auto"/>
              <w:ind w:left="-90" w:right="-119" w:firstLine="0"/>
              <w:rPr>
                <w:b/>
                <w:color w:val="000000"/>
                <w:sz w:val="20"/>
                <w:szCs w:val="20"/>
              </w:rPr>
            </w:pPr>
            <w:r w:rsidRPr="00F141C5">
              <w:rPr>
                <w:b/>
                <w:color w:val="000000"/>
                <w:sz w:val="20"/>
                <w:szCs w:val="20"/>
              </w:rPr>
              <w:t>Büyüklük</w:t>
            </w:r>
          </w:p>
        </w:tc>
        <w:tc>
          <w:tcPr>
            <w:tcW w:w="1652" w:type="pct"/>
            <w:vAlign w:val="bottom"/>
          </w:tcPr>
          <w:p w:rsidR="004010AA" w:rsidRPr="00F141C5" w:rsidRDefault="004010AA" w:rsidP="004010AA">
            <w:pPr>
              <w:spacing w:line="240" w:lineRule="auto"/>
              <w:ind w:left="-74" w:right="-359" w:firstLine="0"/>
              <w:rPr>
                <w:color w:val="000000"/>
                <w:sz w:val="20"/>
                <w:szCs w:val="20"/>
              </w:rPr>
            </w:pPr>
            <w:r w:rsidRPr="00F141C5">
              <w:rPr>
                <w:color w:val="000000"/>
                <w:sz w:val="20"/>
                <w:szCs w:val="20"/>
              </w:rPr>
              <w:t>OECD eşdeğerliği (sürekli)</w:t>
            </w:r>
          </w:p>
        </w:tc>
        <w:tc>
          <w:tcPr>
            <w:tcW w:w="446" w:type="pct"/>
            <w:vAlign w:val="bottom"/>
          </w:tcPr>
          <w:p w:rsidR="004010AA" w:rsidRPr="00F141C5" w:rsidRDefault="004010AA" w:rsidP="004010AA">
            <w:pPr>
              <w:spacing w:line="240" w:lineRule="auto"/>
              <w:ind w:firstLine="0"/>
              <w:jc w:val="right"/>
              <w:rPr>
                <w:color w:val="000000"/>
                <w:sz w:val="20"/>
                <w:szCs w:val="20"/>
              </w:rPr>
            </w:pPr>
            <w:r w:rsidRPr="00F141C5">
              <w:rPr>
                <w:color w:val="000000"/>
                <w:sz w:val="20"/>
                <w:szCs w:val="20"/>
              </w:rPr>
              <w:t>2.14</w:t>
            </w:r>
          </w:p>
        </w:tc>
        <w:tc>
          <w:tcPr>
            <w:tcW w:w="466" w:type="pct"/>
            <w:gridSpan w:val="2"/>
            <w:vAlign w:val="bottom"/>
          </w:tcPr>
          <w:p w:rsidR="004010AA" w:rsidRPr="00F141C5" w:rsidRDefault="004010AA" w:rsidP="004010AA">
            <w:pPr>
              <w:spacing w:line="240" w:lineRule="auto"/>
              <w:ind w:firstLine="0"/>
              <w:jc w:val="right"/>
              <w:rPr>
                <w:sz w:val="20"/>
                <w:szCs w:val="20"/>
              </w:rPr>
            </w:pPr>
            <w:r w:rsidRPr="00F141C5">
              <w:rPr>
                <w:sz w:val="20"/>
                <w:szCs w:val="20"/>
              </w:rPr>
              <w:t>0.78</w:t>
            </w:r>
          </w:p>
        </w:tc>
        <w:tc>
          <w:tcPr>
            <w:tcW w:w="446" w:type="pct"/>
            <w:vAlign w:val="bottom"/>
          </w:tcPr>
          <w:p w:rsidR="004010AA" w:rsidRPr="00F141C5" w:rsidRDefault="004010AA" w:rsidP="004010AA">
            <w:pPr>
              <w:spacing w:line="240" w:lineRule="auto"/>
              <w:ind w:firstLine="0"/>
              <w:jc w:val="right"/>
              <w:rPr>
                <w:sz w:val="20"/>
                <w:szCs w:val="20"/>
              </w:rPr>
            </w:pPr>
            <w:r w:rsidRPr="00F141C5">
              <w:rPr>
                <w:sz w:val="20"/>
                <w:szCs w:val="20"/>
              </w:rPr>
              <w:t>2.15</w:t>
            </w:r>
          </w:p>
        </w:tc>
        <w:tc>
          <w:tcPr>
            <w:tcW w:w="466" w:type="pct"/>
            <w:gridSpan w:val="2"/>
            <w:vAlign w:val="bottom"/>
          </w:tcPr>
          <w:p w:rsidR="004010AA" w:rsidRPr="00F141C5" w:rsidRDefault="004010AA" w:rsidP="004010AA">
            <w:pPr>
              <w:spacing w:line="240" w:lineRule="auto"/>
              <w:ind w:firstLine="0"/>
              <w:jc w:val="right"/>
              <w:rPr>
                <w:sz w:val="20"/>
                <w:szCs w:val="20"/>
              </w:rPr>
            </w:pPr>
            <w:r w:rsidRPr="00F141C5">
              <w:rPr>
                <w:sz w:val="20"/>
                <w:szCs w:val="20"/>
              </w:rPr>
              <w:t>0.46</w:t>
            </w:r>
          </w:p>
        </w:tc>
        <w:tc>
          <w:tcPr>
            <w:tcW w:w="466" w:type="pct"/>
            <w:vAlign w:val="bottom"/>
          </w:tcPr>
          <w:p w:rsidR="004010AA" w:rsidRPr="00F141C5" w:rsidRDefault="004010AA" w:rsidP="004010AA">
            <w:pPr>
              <w:spacing w:line="240" w:lineRule="auto"/>
              <w:ind w:firstLine="0"/>
              <w:jc w:val="right"/>
              <w:rPr>
                <w:sz w:val="20"/>
                <w:szCs w:val="20"/>
              </w:rPr>
            </w:pPr>
            <w:r w:rsidRPr="00F141C5">
              <w:rPr>
                <w:sz w:val="20"/>
                <w:szCs w:val="20"/>
              </w:rPr>
              <w:t>2.14</w:t>
            </w:r>
          </w:p>
        </w:tc>
        <w:tc>
          <w:tcPr>
            <w:tcW w:w="467" w:type="pct"/>
            <w:vAlign w:val="bottom"/>
          </w:tcPr>
          <w:p w:rsidR="004010AA" w:rsidRPr="00F141C5" w:rsidRDefault="004010AA" w:rsidP="004010AA">
            <w:pPr>
              <w:spacing w:line="240" w:lineRule="auto"/>
              <w:ind w:firstLine="0"/>
              <w:jc w:val="right"/>
              <w:rPr>
                <w:sz w:val="20"/>
                <w:szCs w:val="20"/>
              </w:rPr>
            </w:pPr>
            <w:r w:rsidRPr="00F141C5">
              <w:rPr>
                <w:sz w:val="20"/>
                <w:szCs w:val="20"/>
              </w:rPr>
              <w:t>0.78</w:t>
            </w:r>
          </w:p>
        </w:tc>
      </w:tr>
      <w:tr w:rsidR="004010AA" w:rsidRPr="00F141C5" w:rsidTr="00F141C5">
        <w:tc>
          <w:tcPr>
            <w:tcW w:w="591" w:type="pct"/>
            <w:vAlign w:val="bottom"/>
          </w:tcPr>
          <w:p w:rsidR="004010AA" w:rsidRPr="00F141C5" w:rsidRDefault="004010AA" w:rsidP="004010AA">
            <w:pPr>
              <w:spacing w:line="240" w:lineRule="auto"/>
              <w:ind w:left="-90" w:right="-119" w:firstLine="0"/>
              <w:rPr>
                <w:b/>
                <w:color w:val="000000"/>
                <w:sz w:val="20"/>
                <w:szCs w:val="20"/>
              </w:rPr>
            </w:pPr>
            <w:r w:rsidRPr="00F141C5">
              <w:rPr>
                <w:b/>
                <w:color w:val="000000"/>
                <w:sz w:val="20"/>
                <w:szCs w:val="20"/>
              </w:rPr>
              <w:t>Gelir</w:t>
            </w:r>
          </w:p>
        </w:tc>
        <w:tc>
          <w:tcPr>
            <w:tcW w:w="1652" w:type="pct"/>
            <w:vAlign w:val="bottom"/>
          </w:tcPr>
          <w:p w:rsidR="004010AA" w:rsidRPr="00F141C5" w:rsidRDefault="004010AA" w:rsidP="004010AA">
            <w:pPr>
              <w:spacing w:line="240" w:lineRule="auto"/>
              <w:ind w:left="-110" w:right="-359" w:firstLine="0"/>
              <w:rPr>
                <w:color w:val="000000"/>
                <w:sz w:val="20"/>
                <w:szCs w:val="20"/>
              </w:rPr>
            </w:pPr>
            <w:r w:rsidRPr="00F141C5">
              <w:rPr>
                <w:color w:val="000000"/>
                <w:sz w:val="20"/>
                <w:szCs w:val="20"/>
              </w:rPr>
              <w:t>Toplam harcama (nominal sürekli)</w:t>
            </w:r>
          </w:p>
        </w:tc>
        <w:tc>
          <w:tcPr>
            <w:tcW w:w="446" w:type="pct"/>
            <w:vAlign w:val="bottom"/>
          </w:tcPr>
          <w:p w:rsidR="004010AA" w:rsidRPr="00F141C5" w:rsidRDefault="004010AA" w:rsidP="004010AA">
            <w:pPr>
              <w:spacing w:line="240" w:lineRule="auto"/>
              <w:ind w:firstLine="0"/>
              <w:jc w:val="right"/>
              <w:rPr>
                <w:color w:val="000000"/>
                <w:sz w:val="20"/>
                <w:szCs w:val="20"/>
              </w:rPr>
            </w:pPr>
            <w:r w:rsidRPr="00F141C5">
              <w:rPr>
                <w:color w:val="000000"/>
                <w:sz w:val="20"/>
                <w:szCs w:val="20"/>
              </w:rPr>
              <w:t>36632</w:t>
            </w:r>
          </w:p>
        </w:tc>
        <w:tc>
          <w:tcPr>
            <w:tcW w:w="466" w:type="pct"/>
            <w:gridSpan w:val="2"/>
            <w:vAlign w:val="bottom"/>
          </w:tcPr>
          <w:p w:rsidR="004010AA" w:rsidRPr="00F141C5" w:rsidRDefault="004010AA" w:rsidP="004010AA">
            <w:pPr>
              <w:spacing w:line="240" w:lineRule="auto"/>
              <w:ind w:firstLine="0"/>
              <w:jc w:val="right"/>
              <w:rPr>
                <w:sz w:val="20"/>
                <w:szCs w:val="20"/>
              </w:rPr>
            </w:pPr>
            <w:r w:rsidRPr="00F141C5">
              <w:rPr>
                <w:sz w:val="20"/>
                <w:szCs w:val="20"/>
              </w:rPr>
              <w:t>34466</w:t>
            </w:r>
          </w:p>
        </w:tc>
        <w:tc>
          <w:tcPr>
            <w:tcW w:w="446" w:type="pct"/>
            <w:vAlign w:val="bottom"/>
          </w:tcPr>
          <w:p w:rsidR="004010AA" w:rsidRPr="00F141C5" w:rsidRDefault="004010AA" w:rsidP="004010AA">
            <w:pPr>
              <w:spacing w:line="240" w:lineRule="auto"/>
              <w:ind w:firstLine="0"/>
              <w:jc w:val="right"/>
              <w:rPr>
                <w:sz w:val="20"/>
                <w:szCs w:val="20"/>
              </w:rPr>
            </w:pPr>
            <w:r w:rsidRPr="00F141C5">
              <w:rPr>
                <w:sz w:val="20"/>
                <w:szCs w:val="20"/>
              </w:rPr>
              <w:t>35816</w:t>
            </w:r>
          </w:p>
        </w:tc>
        <w:tc>
          <w:tcPr>
            <w:tcW w:w="466" w:type="pct"/>
            <w:gridSpan w:val="2"/>
            <w:vAlign w:val="bottom"/>
          </w:tcPr>
          <w:p w:rsidR="004010AA" w:rsidRPr="00F141C5" w:rsidRDefault="004010AA" w:rsidP="004010AA">
            <w:pPr>
              <w:spacing w:line="240" w:lineRule="auto"/>
              <w:ind w:firstLine="0"/>
              <w:jc w:val="right"/>
              <w:rPr>
                <w:sz w:val="20"/>
                <w:szCs w:val="20"/>
              </w:rPr>
            </w:pPr>
            <w:r w:rsidRPr="00F141C5">
              <w:rPr>
                <w:sz w:val="20"/>
                <w:szCs w:val="20"/>
              </w:rPr>
              <w:t>36373</w:t>
            </w:r>
          </w:p>
        </w:tc>
        <w:tc>
          <w:tcPr>
            <w:tcW w:w="466" w:type="pct"/>
            <w:vAlign w:val="bottom"/>
          </w:tcPr>
          <w:p w:rsidR="004010AA" w:rsidRPr="00F141C5" w:rsidRDefault="004010AA" w:rsidP="004010AA">
            <w:pPr>
              <w:spacing w:line="240" w:lineRule="auto"/>
              <w:ind w:firstLine="0"/>
              <w:jc w:val="right"/>
              <w:rPr>
                <w:sz w:val="20"/>
                <w:szCs w:val="20"/>
              </w:rPr>
            </w:pPr>
            <w:r w:rsidRPr="00F141C5">
              <w:rPr>
                <w:sz w:val="20"/>
                <w:szCs w:val="20"/>
              </w:rPr>
              <w:t>36296</w:t>
            </w:r>
          </w:p>
        </w:tc>
        <w:tc>
          <w:tcPr>
            <w:tcW w:w="467" w:type="pct"/>
            <w:vAlign w:val="bottom"/>
          </w:tcPr>
          <w:p w:rsidR="004010AA" w:rsidRPr="00F141C5" w:rsidRDefault="004010AA" w:rsidP="004010AA">
            <w:pPr>
              <w:spacing w:line="240" w:lineRule="auto"/>
              <w:ind w:firstLine="0"/>
              <w:jc w:val="right"/>
              <w:rPr>
                <w:sz w:val="20"/>
                <w:szCs w:val="20"/>
              </w:rPr>
            </w:pPr>
            <w:r w:rsidRPr="00F141C5">
              <w:rPr>
                <w:sz w:val="20"/>
                <w:szCs w:val="20"/>
              </w:rPr>
              <w:t>35379</w:t>
            </w:r>
          </w:p>
        </w:tc>
      </w:tr>
      <w:tr w:rsidR="004010AA" w:rsidRPr="00F141C5" w:rsidTr="00F141C5">
        <w:tc>
          <w:tcPr>
            <w:tcW w:w="591" w:type="pct"/>
            <w:vAlign w:val="bottom"/>
          </w:tcPr>
          <w:p w:rsidR="004010AA" w:rsidRPr="00F141C5" w:rsidRDefault="004010AA" w:rsidP="004010AA">
            <w:pPr>
              <w:spacing w:line="240" w:lineRule="auto"/>
              <w:ind w:left="-90" w:right="-119" w:firstLine="0"/>
              <w:rPr>
                <w:b/>
                <w:color w:val="000000"/>
                <w:sz w:val="20"/>
                <w:szCs w:val="20"/>
              </w:rPr>
            </w:pPr>
            <w:r w:rsidRPr="00F141C5">
              <w:rPr>
                <w:b/>
                <w:color w:val="000000"/>
                <w:sz w:val="20"/>
                <w:szCs w:val="20"/>
              </w:rPr>
              <w:t>Gözlem</w:t>
            </w:r>
          </w:p>
        </w:tc>
        <w:tc>
          <w:tcPr>
            <w:tcW w:w="1652" w:type="pct"/>
            <w:vAlign w:val="bottom"/>
          </w:tcPr>
          <w:p w:rsidR="004010AA" w:rsidRPr="00F141C5" w:rsidRDefault="004010AA" w:rsidP="004010AA">
            <w:pPr>
              <w:spacing w:line="240" w:lineRule="auto"/>
              <w:ind w:left="-110" w:right="-359" w:firstLine="0"/>
              <w:rPr>
                <w:color w:val="000000"/>
                <w:sz w:val="20"/>
                <w:szCs w:val="20"/>
              </w:rPr>
            </w:pPr>
            <w:r w:rsidRPr="00F141C5">
              <w:rPr>
                <w:color w:val="000000"/>
                <w:sz w:val="20"/>
                <w:szCs w:val="20"/>
              </w:rPr>
              <w:t>Gözlem sayısı</w:t>
            </w:r>
          </w:p>
        </w:tc>
        <w:tc>
          <w:tcPr>
            <w:tcW w:w="446" w:type="pct"/>
            <w:vAlign w:val="bottom"/>
          </w:tcPr>
          <w:p w:rsidR="004010AA" w:rsidRPr="00F141C5" w:rsidRDefault="004010AA" w:rsidP="004010AA">
            <w:pPr>
              <w:spacing w:line="240" w:lineRule="auto"/>
              <w:ind w:firstLine="0"/>
              <w:jc w:val="right"/>
              <w:rPr>
                <w:sz w:val="20"/>
                <w:szCs w:val="20"/>
              </w:rPr>
            </w:pPr>
            <w:r w:rsidRPr="00F141C5">
              <w:rPr>
                <w:sz w:val="20"/>
                <w:szCs w:val="20"/>
              </w:rPr>
              <w:t>5956</w:t>
            </w:r>
          </w:p>
        </w:tc>
        <w:tc>
          <w:tcPr>
            <w:tcW w:w="466" w:type="pct"/>
            <w:gridSpan w:val="2"/>
            <w:vAlign w:val="bottom"/>
          </w:tcPr>
          <w:p w:rsidR="004010AA" w:rsidRPr="00F141C5" w:rsidRDefault="004010AA" w:rsidP="004010AA">
            <w:pPr>
              <w:spacing w:line="240" w:lineRule="auto"/>
              <w:ind w:firstLine="0"/>
              <w:jc w:val="right"/>
              <w:rPr>
                <w:sz w:val="20"/>
                <w:szCs w:val="20"/>
              </w:rPr>
            </w:pPr>
          </w:p>
        </w:tc>
        <w:tc>
          <w:tcPr>
            <w:tcW w:w="446" w:type="pct"/>
            <w:vAlign w:val="bottom"/>
          </w:tcPr>
          <w:p w:rsidR="004010AA" w:rsidRPr="00F141C5" w:rsidRDefault="004010AA" w:rsidP="004010AA">
            <w:pPr>
              <w:spacing w:line="240" w:lineRule="auto"/>
              <w:ind w:firstLine="0"/>
              <w:jc w:val="right"/>
              <w:rPr>
                <w:sz w:val="20"/>
                <w:szCs w:val="20"/>
              </w:rPr>
            </w:pPr>
            <w:r w:rsidRPr="00F141C5">
              <w:rPr>
                <w:sz w:val="20"/>
                <w:szCs w:val="20"/>
              </w:rPr>
              <w:t>4166</w:t>
            </w:r>
          </w:p>
        </w:tc>
        <w:tc>
          <w:tcPr>
            <w:tcW w:w="466" w:type="pct"/>
            <w:gridSpan w:val="2"/>
            <w:vAlign w:val="bottom"/>
          </w:tcPr>
          <w:p w:rsidR="004010AA" w:rsidRPr="00F141C5" w:rsidRDefault="004010AA" w:rsidP="004010AA">
            <w:pPr>
              <w:spacing w:line="240" w:lineRule="auto"/>
              <w:ind w:firstLine="0"/>
              <w:jc w:val="right"/>
              <w:rPr>
                <w:sz w:val="20"/>
                <w:szCs w:val="20"/>
              </w:rPr>
            </w:pPr>
          </w:p>
        </w:tc>
        <w:tc>
          <w:tcPr>
            <w:tcW w:w="466" w:type="pct"/>
            <w:vAlign w:val="bottom"/>
          </w:tcPr>
          <w:p w:rsidR="004010AA" w:rsidRPr="00F141C5" w:rsidRDefault="004010AA" w:rsidP="004010AA">
            <w:pPr>
              <w:spacing w:line="240" w:lineRule="auto"/>
              <w:ind w:firstLine="0"/>
              <w:jc w:val="right"/>
              <w:rPr>
                <w:sz w:val="20"/>
                <w:szCs w:val="20"/>
              </w:rPr>
            </w:pPr>
            <w:r w:rsidRPr="00F141C5">
              <w:rPr>
                <w:sz w:val="20"/>
                <w:szCs w:val="20"/>
              </w:rPr>
              <w:t>10.122</w:t>
            </w:r>
          </w:p>
        </w:tc>
        <w:tc>
          <w:tcPr>
            <w:tcW w:w="467" w:type="pct"/>
            <w:vAlign w:val="bottom"/>
          </w:tcPr>
          <w:p w:rsidR="004010AA" w:rsidRPr="00F141C5" w:rsidRDefault="004010AA" w:rsidP="004010AA">
            <w:pPr>
              <w:spacing w:line="240" w:lineRule="auto"/>
              <w:ind w:firstLine="0"/>
              <w:jc w:val="right"/>
              <w:rPr>
                <w:sz w:val="20"/>
                <w:szCs w:val="20"/>
              </w:rPr>
            </w:pPr>
          </w:p>
        </w:tc>
      </w:tr>
      <w:tr w:rsidR="004010AA" w:rsidRPr="00F141C5" w:rsidTr="00F141C5">
        <w:trPr>
          <w:trHeight w:val="63"/>
        </w:trPr>
        <w:tc>
          <w:tcPr>
            <w:tcW w:w="591" w:type="pct"/>
            <w:tcBorders>
              <w:bottom w:val="single" w:sz="4" w:space="0" w:color="000000"/>
            </w:tcBorders>
            <w:vAlign w:val="bottom"/>
          </w:tcPr>
          <w:p w:rsidR="004010AA" w:rsidRPr="00F141C5" w:rsidRDefault="004010AA" w:rsidP="004010AA">
            <w:pPr>
              <w:spacing w:line="240" w:lineRule="auto"/>
              <w:ind w:left="-90" w:right="-119" w:firstLine="0"/>
              <w:rPr>
                <w:b/>
                <w:color w:val="000000"/>
                <w:sz w:val="20"/>
                <w:szCs w:val="20"/>
              </w:rPr>
            </w:pPr>
          </w:p>
        </w:tc>
        <w:tc>
          <w:tcPr>
            <w:tcW w:w="1652" w:type="pct"/>
            <w:tcBorders>
              <w:bottom w:val="single" w:sz="4" w:space="0" w:color="000000"/>
            </w:tcBorders>
            <w:vAlign w:val="bottom"/>
          </w:tcPr>
          <w:p w:rsidR="004010AA" w:rsidRPr="00F141C5" w:rsidRDefault="004010AA" w:rsidP="004010AA">
            <w:pPr>
              <w:spacing w:line="240" w:lineRule="auto"/>
              <w:ind w:left="-110" w:right="-359" w:firstLine="0"/>
              <w:rPr>
                <w:color w:val="000000"/>
                <w:sz w:val="20"/>
                <w:szCs w:val="20"/>
              </w:rPr>
            </w:pPr>
            <w:r w:rsidRPr="00F141C5">
              <w:rPr>
                <w:color w:val="000000"/>
                <w:sz w:val="20"/>
                <w:szCs w:val="20"/>
              </w:rPr>
              <w:t>Örneklem içindeki Oranı</w:t>
            </w:r>
          </w:p>
        </w:tc>
        <w:tc>
          <w:tcPr>
            <w:tcW w:w="446" w:type="pct"/>
            <w:tcBorders>
              <w:bottom w:val="single" w:sz="4" w:space="0" w:color="000000"/>
            </w:tcBorders>
            <w:vAlign w:val="bottom"/>
          </w:tcPr>
          <w:p w:rsidR="004010AA" w:rsidRPr="00F141C5" w:rsidRDefault="004010AA" w:rsidP="004010AA">
            <w:pPr>
              <w:spacing w:line="240" w:lineRule="auto"/>
              <w:ind w:firstLine="0"/>
              <w:jc w:val="right"/>
              <w:rPr>
                <w:sz w:val="20"/>
                <w:szCs w:val="20"/>
              </w:rPr>
            </w:pPr>
            <w:r w:rsidRPr="00F141C5">
              <w:rPr>
                <w:sz w:val="20"/>
                <w:szCs w:val="20"/>
              </w:rPr>
              <w:t>%58.8</w:t>
            </w:r>
          </w:p>
        </w:tc>
        <w:tc>
          <w:tcPr>
            <w:tcW w:w="466" w:type="pct"/>
            <w:gridSpan w:val="2"/>
            <w:tcBorders>
              <w:bottom w:val="single" w:sz="4" w:space="0" w:color="000000"/>
            </w:tcBorders>
            <w:vAlign w:val="bottom"/>
          </w:tcPr>
          <w:p w:rsidR="004010AA" w:rsidRPr="00F141C5" w:rsidRDefault="004010AA" w:rsidP="004010AA">
            <w:pPr>
              <w:spacing w:line="240" w:lineRule="auto"/>
              <w:ind w:firstLine="0"/>
              <w:jc w:val="right"/>
              <w:rPr>
                <w:sz w:val="20"/>
                <w:szCs w:val="20"/>
              </w:rPr>
            </w:pPr>
          </w:p>
        </w:tc>
        <w:tc>
          <w:tcPr>
            <w:tcW w:w="446" w:type="pct"/>
            <w:tcBorders>
              <w:bottom w:val="single" w:sz="4" w:space="0" w:color="000000"/>
            </w:tcBorders>
            <w:vAlign w:val="bottom"/>
          </w:tcPr>
          <w:p w:rsidR="004010AA" w:rsidRPr="00F141C5" w:rsidRDefault="004010AA" w:rsidP="004010AA">
            <w:pPr>
              <w:spacing w:line="240" w:lineRule="auto"/>
              <w:ind w:firstLine="0"/>
              <w:jc w:val="right"/>
              <w:rPr>
                <w:sz w:val="20"/>
                <w:szCs w:val="20"/>
              </w:rPr>
            </w:pPr>
            <w:r w:rsidRPr="00F141C5">
              <w:rPr>
                <w:sz w:val="20"/>
                <w:szCs w:val="20"/>
              </w:rPr>
              <w:t>%41.2</w:t>
            </w:r>
          </w:p>
        </w:tc>
        <w:tc>
          <w:tcPr>
            <w:tcW w:w="466" w:type="pct"/>
            <w:gridSpan w:val="2"/>
            <w:tcBorders>
              <w:bottom w:val="single" w:sz="4" w:space="0" w:color="000000"/>
            </w:tcBorders>
            <w:vAlign w:val="bottom"/>
          </w:tcPr>
          <w:p w:rsidR="004010AA" w:rsidRPr="00F141C5" w:rsidRDefault="004010AA" w:rsidP="004010AA">
            <w:pPr>
              <w:spacing w:line="240" w:lineRule="auto"/>
              <w:ind w:firstLine="0"/>
              <w:jc w:val="right"/>
              <w:rPr>
                <w:sz w:val="20"/>
                <w:szCs w:val="20"/>
              </w:rPr>
            </w:pPr>
          </w:p>
        </w:tc>
        <w:tc>
          <w:tcPr>
            <w:tcW w:w="466" w:type="pct"/>
            <w:tcBorders>
              <w:bottom w:val="single" w:sz="4" w:space="0" w:color="000000"/>
            </w:tcBorders>
            <w:vAlign w:val="bottom"/>
          </w:tcPr>
          <w:p w:rsidR="004010AA" w:rsidRPr="00F141C5" w:rsidRDefault="004010AA" w:rsidP="004010AA">
            <w:pPr>
              <w:spacing w:line="240" w:lineRule="auto"/>
              <w:ind w:firstLine="0"/>
              <w:jc w:val="right"/>
              <w:rPr>
                <w:sz w:val="20"/>
                <w:szCs w:val="20"/>
              </w:rPr>
            </w:pPr>
            <w:r w:rsidRPr="00F141C5">
              <w:rPr>
                <w:sz w:val="20"/>
                <w:szCs w:val="20"/>
              </w:rPr>
              <w:t>%100</w:t>
            </w:r>
          </w:p>
        </w:tc>
        <w:tc>
          <w:tcPr>
            <w:tcW w:w="467" w:type="pct"/>
            <w:tcBorders>
              <w:bottom w:val="single" w:sz="4" w:space="0" w:color="000000"/>
            </w:tcBorders>
            <w:vAlign w:val="bottom"/>
          </w:tcPr>
          <w:p w:rsidR="004010AA" w:rsidRPr="00F141C5" w:rsidRDefault="004010AA" w:rsidP="004010AA">
            <w:pPr>
              <w:spacing w:line="240" w:lineRule="auto"/>
              <w:ind w:firstLine="0"/>
              <w:jc w:val="right"/>
              <w:rPr>
                <w:sz w:val="20"/>
                <w:szCs w:val="20"/>
              </w:rPr>
            </w:pPr>
          </w:p>
        </w:tc>
      </w:tr>
    </w:tbl>
    <w:p w:rsidR="009D2B51" w:rsidRPr="009D2B51" w:rsidRDefault="009D2B51" w:rsidP="004010AA">
      <w:pPr>
        <w:ind w:firstLine="0"/>
        <w:rPr>
          <w:shd w:val="clear" w:color="auto" w:fill="FFFFFF"/>
        </w:rPr>
      </w:pPr>
      <w:r w:rsidRPr="004010AA">
        <w:rPr>
          <w:b/>
          <w:shd w:val="clear" w:color="auto" w:fill="FFFFFF"/>
        </w:rPr>
        <w:t xml:space="preserve">Kaynak: </w:t>
      </w:r>
      <w:r w:rsidRPr="009D2B51">
        <w:rPr>
          <w:shd w:val="clear" w:color="auto" w:fill="FFFFFF"/>
        </w:rPr>
        <w:t>Yazar tarafından oluşturulmuştur.</w:t>
      </w:r>
    </w:p>
    <w:p w:rsidR="009D2B51" w:rsidRPr="009D2B51" w:rsidRDefault="009D2B51" w:rsidP="00EC06FA">
      <w:pPr>
        <w:rPr>
          <w:shd w:val="clear" w:color="auto" w:fill="FFFFFF"/>
        </w:rPr>
      </w:pPr>
    </w:p>
    <w:p w:rsidR="009D2B51" w:rsidRPr="009D2B51" w:rsidRDefault="009D2B51" w:rsidP="004010AA">
      <w:pPr>
        <w:rPr>
          <w:shd w:val="clear" w:color="auto" w:fill="FFFFFF"/>
        </w:rPr>
      </w:pPr>
      <w:r w:rsidRPr="009D2B51">
        <w:rPr>
          <w:rFonts w:hint="eastAsia"/>
          <w:shd w:val="clear" w:color="auto" w:fill="FFFFFF"/>
        </w:rPr>
        <w:t>Ç</w:t>
      </w:r>
      <w:r w:rsidRPr="009D2B51">
        <w:rPr>
          <w:shd w:val="clear" w:color="auto" w:fill="FFFFFF"/>
        </w:rPr>
        <w:t xml:space="preserve">alışmada kullanılan örneklem büyüklüğü 10122 ailedir. Sigara tüketimi yapan hanelerin oranı %41.2 hiç sigara tüketimi yapmayanların oranı %58.8’dir. Burada sigara tüketimi verisi 5956(%58.8) hane ile sansürlenmiştir. Çalışmada oluşturulan hanehalkı veri setinde ailelerin sigara tüketimine etki edebilecek değişkenleri saptamak için </w:t>
      </w:r>
      <w:r w:rsidRPr="009D2B51">
        <w:rPr>
          <w:shd w:val="clear" w:color="auto" w:fill="FFFFFF"/>
        </w:rPr>
        <w:lastRenderedPageBreak/>
        <w:t xml:space="preserve">literatürde bu konu ile ilgili yapılmış diğer çalışmalar araştırılmış ve oluşturulan veri seti değişkenlerinin belirlenmesinde literatürdeki çalışmalardan yararlanılmıştır. Tablo 2 incelendiğinde OECD hanehalkı büyüklüğü ortalama olarak ikidir ve bu değer yaklaşık olarak iki yetişkin iki çocuklu aileyi temsil etmektedir. </w:t>
      </w:r>
    </w:p>
    <w:p w:rsidR="009D2B51" w:rsidRPr="009D2B51" w:rsidRDefault="009D2B51" w:rsidP="00EC06FA">
      <w:pPr>
        <w:rPr>
          <w:shd w:val="clear" w:color="auto" w:fill="FFFFFF"/>
        </w:rPr>
      </w:pPr>
      <w:r w:rsidRPr="009D2B51">
        <w:rPr>
          <w:shd w:val="clear" w:color="auto" w:fill="FFFFFF"/>
        </w:rPr>
        <w:t xml:space="preserve">Sigara tüketmeyen hanelerin %86’sının erkek, yaş ortalamasının 49-55 yaş aralığında olduğu, eğitim seviyesinin yaklaşık olarak ilkokul veya ortaokul dengi mezunu olduğu ve bunların %84’ünün evli olduğu gözlemlenmektedir. Sigara tüketen hanelerin aylık sigara tüketiminin ortalama 195 TL olduğu gözlenmektedir. Tablo 2’de hanehalkının sosyo ekonomik durumunu belirleyen değişkenlerin ortalamaları sigara tüketen ve tüketmeyen hanelere göre kıyaslandığında hanede sigara tüketmeyenlerin eğitim düzeyi ortalama 1.37 iken hanede sigara tüketenlerin eğitim düzeyi ortalaması 1.35’dir. Yine hanede sigara tüketenler ortalama aylık 6.74 TL alkol harcaması yaparken bu büyüklük sigara tüketmeyen hanehalklarında 3.30 TL’dir. Bu nedenlerden dolayı veri setindeki bu değişkenlerin özellikle hanelerin katılım karar sürecine etki edeceği varsayılmıştır. </w:t>
      </w:r>
    </w:p>
    <w:p w:rsidR="009D2B51" w:rsidRPr="009D2B51" w:rsidRDefault="009D2B51" w:rsidP="00EC06FA">
      <w:pPr>
        <w:rPr>
          <w:shd w:val="clear" w:color="auto" w:fill="FFFFFF"/>
        </w:rPr>
      </w:pPr>
      <w:r w:rsidRPr="009D2B51">
        <w:rPr>
          <w:rFonts w:hint="eastAsia"/>
          <w:shd w:val="clear" w:color="auto" w:fill="FFFFFF"/>
        </w:rPr>
        <w:t>Ç</w:t>
      </w:r>
      <w:r w:rsidRPr="009D2B51">
        <w:rPr>
          <w:shd w:val="clear" w:color="auto" w:fill="FFFFFF"/>
        </w:rPr>
        <w:t xml:space="preserve">alışmada ailedeki toplam </w:t>
      </w:r>
      <w:r w:rsidR="003A2A11">
        <w:rPr>
          <w:shd w:val="clear" w:color="auto" w:fill="FFFFFF"/>
        </w:rPr>
        <w:t>harcamalar</w:t>
      </w:r>
      <w:r w:rsidRPr="009D2B51">
        <w:rPr>
          <w:shd w:val="clear" w:color="auto" w:fill="FFFFFF"/>
        </w:rPr>
        <w:t xml:space="preserve"> ekonomik bir gösterge olarak proxy değişken seçilmiş olup hem katılım karar aşamasına hem de tüketim karar aşamasına etki edeceği </w:t>
      </w:r>
      <w:r w:rsidR="0043092F">
        <w:rPr>
          <w:shd w:val="clear" w:color="auto" w:fill="FFFFFF"/>
        </w:rPr>
        <w:t>varsayılmıştır</w:t>
      </w:r>
      <w:r w:rsidRPr="009D2B51">
        <w:rPr>
          <w:shd w:val="clear" w:color="auto" w:fill="FFFFFF"/>
        </w:rPr>
        <w:t>. Çift eşik modelinde katılım ve tüketime etki eden değişkenlerin belirlenmesi için teorik ya da ampirik olarak belirlenmiş bir yöntem mevcut değildir. Ancak literatürde katılım karar aşamasının saptanmasında inanç, medeni durum, meslek ve eğitim durumu gibi demografik değişkenlerin etkili olduğu varsayılmaktadır (Blaylock ve Blisard, 1993; Aristei vd., 2008). Tobit modelinde modele eklenen değişkenlerin tüketim ve katılımı aynı oranda ve yönde etki ettiği varsayılmaktadır.</w:t>
      </w:r>
    </w:p>
    <w:p w:rsidR="009D2B51" w:rsidRPr="009D2B51" w:rsidRDefault="009D2B51" w:rsidP="00EC06FA">
      <w:pPr>
        <w:rPr>
          <w:shd w:val="clear" w:color="auto" w:fill="FFFFFF"/>
        </w:rPr>
      </w:pPr>
      <w:r w:rsidRPr="009D2B51">
        <w:rPr>
          <w:shd w:val="clear" w:color="auto" w:fill="FFFFFF"/>
        </w:rPr>
        <w:t xml:space="preserve">Bu varsayımın aksine çift eşik modelinde temel varsayım modelde kullanılan değişkenlerin tüketim ve katılım kararları üzerinde farklı etkilere sahip olduğudur. Yukarıda belirtilen nedenlerle </w:t>
      </w:r>
      <w:r w:rsidR="0043092F">
        <w:rPr>
          <w:shd w:val="clear" w:color="auto" w:fill="FFFFFF"/>
        </w:rPr>
        <w:t>çalışmada hem tobit hem de çift eşik modelleri kullanılarak analizler yapılmıştır.</w:t>
      </w:r>
      <w:r w:rsidRPr="009D2B51">
        <w:rPr>
          <w:shd w:val="clear" w:color="auto" w:fill="FFFFFF"/>
        </w:rPr>
        <w:t xml:space="preserve">  </w:t>
      </w:r>
    </w:p>
    <w:p w:rsidR="009D2B51" w:rsidRPr="009D2B51" w:rsidRDefault="009D2B51" w:rsidP="004010AA">
      <w:pPr>
        <w:pStyle w:val="AAA"/>
        <w:rPr>
          <w:shd w:val="clear" w:color="auto" w:fill="FFFFFF"/>
        </w:rPr>
      </w:pPr>
      <w:bookmarkStart w:id="22" w:name="_Toc34134593"/>
      <w:r w:rsidRPr="009D2B51">
        <w:rPr>
          <w:shd w:val="clear" w:color="auto" w:fill="FFFFFF"/>
        </w:rPr>
        <w:t>2.3. Ampirik Bulgular</w:t>
      </w:r>
      <w:bookmarkEnd w:id="22"/>
    </w:p>
    <w:p w:rsidR="009D2B51" w:rsidRPr="009D2B51" w:rsidRDefault="009D2B51" w:rsidP="004010AA">
      <w:pPr>
        <w:rPr>
          <w:shd w:val="clear" w:color="auto" w:fill="FFFFFF"/>
        </w:rPr>
      </w:pPr>
      <w:r w:rsidRPr="009D2B51">
        <w:rPr>
          <w:rFonts w:hint="eastAsia"/>
          <w:shd w:val="clear" w:color="auto" w:fill="FFFFFF"/>
        </w:rPr>
        <w:t>Ç</w:t>
      </w:r>
      <w:r w:rsidR="0043092F">
        <w:rPr>
          <w:shd w:val="clear" w:color="auto" w:fill="FFFFFF"/>
        </w:rPr>
        <w:t>alışmada Tobit ve Çift E</w:t>
      </w:r>
      <w:r w:rsidRPr="009D2B51">
        <w:rPr>
          <w:shd w:val="clear" w:color="auto" w:fill="FFFFFF"/>
        </w:rPr>
        <w:t xml:space="preserve">şik modelleri karşılaştırılarak yaş, cinsiyet, medeni durum, eğitim durumu ve hanehalkı büyüklüğü gibi değişkenlerin sigara katılım ve </w:t>
      </w:r>
      <w:r w:rsidRPr="009D2B51">
        <w:rPr>
          <w:shd w:val="clear" w:color="auto" w:fill="FFFFFF"/>
        </w:rPr>
        <w:lastRenderedPageBreak/>
        <w:t>tüketim kararı üzerinde</w:t>
      </w:r>
      <w:r w:rsidR="0043092F">
        <w:rPr>
          <w:shd w:val="clear" w:color="auto" w:fill="FFFFFF"/>
        </w:rPr>
        <w:t>ki</w:t>
      </w:r>
      <w:r w:rsidRPr="009D2B51">
        <w:rPr>
          <w:shd w:val="clear" w:color="auto" w:fill="FFFFFF"/>
        </w:rPr>
        <w:t xml:space="preserve"> etkileri araştırılmıştır. Sigara tüketiminin kullanılan yöntemlere göre aldığı katsayı değerleri ve model tahmin sonuçları Tablo 3’te gösterilmektedir.</w:t>
      </w:r>
    </w:p>
    <w:p w:rsidR="009D2B51" w:rsidRPr="009D2B51" w:rsidRDefault="009D2B51" w:rsidP="00EC06FA">
      <w:pPr>
        <w:rPr>
          <w:shd w:val="clear" w:color="auto" w:fill="FFFFFF"/>
        </w:rPr>
      </w:pPr>
    </w:p>
    <w:p w:rsidR="009D2B51" w:rsidRDefault="004010AA" w:rsidP="004010AA">
      <w:pPr>
        <w:ind w:firstLine="0"/>
        <w:jc w:val="center"/>
        <w:rPr>
          <w:b/>
          <w:shd w:val="clear" w:color="auto" w:fill="FFFFFF"/>
        </w:rPr>
      </w:pPr>
      <w:bookmarkStart w:id="23" w:name="_Toc30503446"/>
      <w:r w:rsidRPr="004010AA">
        <w:rPr>
          <w:b/>
        </w:rPr>
        <w:t xml:space="preserve">Tablo </w:t>
      </w:r>
      <w:r w:rsidRPr="004010AA">
        <w:rPr>
          <w:b/>
        </w:rPr>
        <w:fldChar w:fldCharType="begin"/>
      </w:r>
      <w:r w:rsidRPr="004010AA">
        <w:rPr>
          <w:b/>
        </w:rPr>
        <w:instrText xml:space="preserve"> SEQ Tablo \* ARABIC </w:instrText>
      </w:r>
      <w:r w:rsidRPr="004010AA">
        <w:rPr>
          <w:b/>
        </w:rPr>
        <w:fldChar w:fldCharType="separate"/>
      </w:r>
      <w:r w:rsidR="00BF7F92">
        <w:rPr>
          <w:b/>
          <w:noProof/>
        </w:rPr>
        <w:t>3</w:t>
      </w:r>
      <w:r w:rsidRPr="004010AA">
        <w:rPr>
          <w:b/>
        </w:rPr>
        <w:fldChar w:fldCharType="end"/>
      </w:r>
      <w:r w:rsidRPr="004010AA">
        <w:rPr>
          <w:b/>
        </w:rPr>
        <w:t xml:space="preserve">. </w:t>
      </w:r>
      <w:r w:rsidR="009D2B51" w:rsidRPr="004010AA">
        <w:rPr>
          <w:b/>
          <w:shd w:val="clear" w:color="auto" w:fill="FFFFFF"/>
        </w:rPr>
        <w:t>Model Tahmin Sonuçları</w:t>
      </w:r>
      <w:bookmarkEnd w:id="23"/>
    </w:p>
    <w:tbl>
      <w:tblPr>
        <w:tblW w:w="5000" w:type="pct"/>
        <w:tblLayout w:type="fixed"/>
        <w:tblLook w:val="0400" w:firstRow="0" w:lastRow="0" w:firstColumn="0" w:lastColumn="0" w:noHBand="0" w:noVBand="1"/>
      </w:tblPr>
      <w:tblGrid>
        <w:gridCol w:w="1071"/>
        <w:gridCol w:w="1306"/>
        <w:gridCol w:w="992"/>
        <w:gridCol w:w="1236"/>
        <w:gridCol w:w="1113"/>
        <w:gridCol w:w="1821"/>
        <w:gridCol w:w="1181"/>
      </w:tblGrid>
      <w:tr w:rsidR="004010AA" w:rsidTr="004328DA">
        <w:trPr>
          <w:trHeight w:val="243"/>
        </w:trPr>
        <w:tc>
          <w:tcPr>
            <w:tcW w:w="614" w:type="pct"/>
            <w:tcBorders>
              <w:top w:val="nil"/>
              <w:left w:val="nil"/>
              <w:right w:val="nil"/>
            </w:tcBorders>
            <w:shd w:val="clear" w:color="auto" w:fill="auto"/>
            <w:vAlign w:val="bottom"/>
          </w:tcPr>
          <w:p w:rsidR="004010AA" w:rsidRDefault="004010AA" w:rsidP="006C43CF">
            <w:pPr>
              <w:spacing w:line="240" w:lineRule="auto"/>
              <w:ind w:firstLine="0"/>
              <w:jc w:val="left"/>
              <w:rPr>
                <w:sz w:val="20"/>
                <w:szCs w:val="20"/>
              </w:rPr>
            </w:pPr>
          </w:p>
        </w:tc>
        <w:tc>
          <w:tcPr>
            <w:tcW w:w="2665" w:type="pct"/>
            <w:gridSpan w:val="4"/>
            <w:tcBorders>
              <w:top w:val="nil"/>
              <w:left w:val="nil"/>
              <w:right w:val="nil"/>
            </w:tcBorders>
            <w:shd w:val="clear" w:color="auto" w:fill="auto"/>
            <w:vAlign w:val="bottom"/>
          </w:tcPr>
          <w:p w:rsidR="004010AA" w:rsidRDefault="004010AA" w:rsidP="006C43CF">
            <w:pPr>
              <w:spacing w:line="240" w:lineRule="auto"/>
              <w:ind w:firstLine="0"/>
              <w:jc w:val="center"/>
              <w:rPr>
                <w:b/>
                <w:color w:val="000000"/>
                <w:sz w:val="20"/>
                <w:szCs w:val="20"/>
              </w:rPr>
            </w:pPr>
            <w:r>
              <w:rPr>
                <w:b/>
                <w:color w:val="000000"/>
                <w:sz w:val="20"/>
                <w:szCs w:val="20"/>
              </w:rPr>
              <w:t>Çift Eşik Yöntemi</w:t>
            </w:r>
          </w:p>
        </w:tc>
        <w:tc>
          <w:tcPr>
            <w:tcW w:w="1721" w:type="pct"/>
            <w:gridSpan w:val="2"/>
            <w:tcBorders>
              <w:top w:val="nil"/>
              <w:left w:val="nil"/>
              <w:right w:val="nil"/>
            </w:tcBorders>
            <w:shd w:val="clear" w:color="auto" w:fill="auto"/>
            <w:vAlign w:val="bottom"/>
          </w:tcPr>
          <w:p w:rsidR="004010AA" w:rsidRDefault="004010AA" w:rsidP="006C43CF">
            <w:pPr>
              <w:spacing w:line="240" w:lineRule="auto"/>
              <w:ind w:firstLine="0"/>
              <w:jc w:val="center"/>
              <w:rPr>
                <w:b/>
                <w:color w:val="000000"/>
                <w:sz w:val="20"/>
                <w:szCs w:val="20"/>
              </w:rPr>
            </w:pPr>
            <w:r>
              <w:rPr>
                <w:b/>
                <w:color w:val="000000"/>
                <w:sz w:val="20"/>
                <w:szCs w:val="20"/>
              </w:rPr>
              <w:t>Tobit Yöntemi</w:t>
            </w:r>
          </w:p>
        </w:tc>
      </w:tr>
      <w:tr w:rsidR="004010AA" w:rsidTr="004328DA">
        <w:trPr>
          <w:trHeight w:val="243"/>
        </w:trPr>
        <w:tc>
          <w:tcPr>
            <w:tcW w:w="614" w:type="pct"/>
            <w:tcBorders>
              <w:top w:val="nil"/>
              <w:left w:val="nil"/>
              <w:bottom w:val="single" w:sz="4" w:space="0" w:color="000000"/>
              <w:right w:val="nil"/>
            </w:tcBorders>
            <w:shd w:val="clear" w:color="auto" w:fill="auto"/>
            <w:vAlign w:val="bottom"/>
          </w:tcPr>
          <w:p w:rsidR="004010AA" w:rsidRDefault="004010AA" w:rsidP="006C43CF">
            <w:pPr>
              <w:spacing w:line="240" w:lineRule="auto"/>
              <w:ind w:firstLine="0"/>
              <w:rPr>
                <w:color w:val="000000"/>
                <w:sz w:val="20"/>
                <w:szCs w:val="20"/>
              </w:rPr>
            </w:pPr>
          </w:p>
        </w:tc>
        <w:tc>
          <w:tcPr>
            <w:tcW w:w="1318" w:type="pct"/>
            <w:gridSpan w:val="2"/>
            <w:tcBorders>
              <w:top w:val="nil"/>
              <w:left w:val="nil"/>
              <w:bottom w:val="single" w:sz="4" w:space="0" w:color="000000"/>
              <w:right w:val="nil"/>
            </w:tcBorders>
            <w:shd w:val="clear" w:color="auto" w:fill="auto"/>
            <w:vAlign w:val="bottom"/>
          </w:tcPr>
          <w:p w:rsidR="004010AA" w:rsidRDefault="004010AA" w:rsidP="006C43CF">
            <w:pPr>
              <w:spacing w:line="240" w:lineRule="auto"/>
              <w:ind w:firstLine="0"/>
              <w:jc w:val="center"/>
              <w:rPr>
                <w:b/>
                <w:color w:val="000000"/>
                <w:sz w:val="20"/>
                <w:szCs w:val="20"/>
              </w:rPr>
            </w:pPr>
            <w:r>
              <w:rPr>
                <w:b/>
                <w:color w:val="000000"/>
                <w:sz w:val="20"/>
                <w:szCs w:val="20"/>
              </w:rPr>
              <w:t>Katılım Aşaması</w:t>
            </w:r>
          </w:p>
        </w:tc>
        <w:tc>
          <w:tcPr>
            <w:tcW w:w="1347" w:type="pct"/>
            <w:gridSpan w:val="2"/>
            <w:tcBorders>
              <w:top w:val="nil"/>
              <w:left w:val="nil"/>
              <w:bottom w:val="single" w:sz="4" w:space="0" w:color="000000"/>
              <w:right w:val="nil"/>
            </w:tcBorders>
            <w:shd w:val="clear" w:color="auto" w:fill="auto"/>
            <w:vAlign w:val="bottom"/>
          </w:tcPr>
          <w:p w:rsidR="004010AA" w:rsidRDefault="004010AA" w:rsidP="006C43CF">
            <w:pPr>
              <w:spacing w:line="240" w:lineRule="auto"/>
              <w:ind w:firstLine="0"/>
              <w:jc w:val="center"/>
              <w:rPr>
                <w:b/>
                <w:color w:val="000000"/>
                <w:sz w:val="20"/>
                <w:szCs w:val="20"/>
              </w:rPr>
            </w:pPr>
            <w:r>
              <w:rPr>
                <w:b/>
                <w:color w:val="000000"/>
                <w:sz w:val="20"/>
                <w:szCs w:val="20"/>
              </w:rPr>
              <w:t>Tüketim aşaması</w:t>
            </w:r>
          </w:p>
        </w:tc>
        <w:tc>
          <w:tcPr>
            <w:tcW w:w="1721" w:type="pct"/>
            <w:gridSpan w:val="2"/>
            <w:tcBorders>
              <w:top w:val="nil"/>
              <w:left w:val="nil"/>
              <w:bottom w:val="single" w:sz="4" w:space="0" w:color="000000"/>
              <w:right w:val="nil"/>
            </w:tcBorders>
            <w:vAlign w:val="center"/>
          </w:tcPr>
          <w:p w:rsidR="004010AA" w:rsidRDefault="004010AA" w:rsidP="006C43CF">
            <w:pPr>
              <w:spacing w:line="240" w:lineRule="auto"/>
              <w:ind w:firstLine="0"/>
              <w:jc w:val="right"/>
              <w:rPr>
                <w:b/>
                <w:color w:val="000000"/>
                <w:sz w:val="20"/>
                <w:szCs w:val="20"/>
              </w:rPr>
            </w:pPr>
          </w:p>
        </w:tc>
      </w:tr>
      <w:tr w:rsidR="004010AA" w:rsidTr="004328DA">
        <w:trPr>
          <w:trHeight w:val="243"/>
        </w:trPr>
        <w:tc>
          <w:tcPr>
            <w:tcW w:w="614" w:type="pct"/>
            <w:tcBorders>
              <w:top w:val="nil"/>
              <w:left w:val="nil"/>
              <w:bottom w:val="single" w:sz="4" w:space="0" w:color="000000"/>
              <w:right w:val="nil"/>
            </w:tcBorders>
            <w:shd w:val="clear" w:color="auto" w:fill="auto"/>
            <w:vAlign w:val="bottom"/>
          </w:tcPr>
          <w:p w:rsidR="004010AA" w:rsidRDefault="004010AA" w:rsidP="006C43CF">
            <w:pPr>
              <w:spacing w:line="240" w:lineRule="auto"/>
              <w:ind w:firstLine="0"/>
              <w:rPr>
                <w:color w:val="000000"/>
                <w:sz w:val="20"/>
                <w:szCs w:val="20"/>
              </w:rPr>
            </w:pPr>
          </w:p>
        </w:tc>
        <w:tc>
          <w:tcPr>
            <w:tcW w:w="749" w:type="pct"/>
            <w:tcBorders>
              <w:top w:val="nil"/>
              <w:left w:val="nil"/>
              <w:bottom w:val="single" w:sz="4" w:space="0" w:color="000000"/>
              <w:right w:val="nil"/>
            </w:tcBorders>
            <w:shd w:val="clear" w:color="auto" w:fill="auto"/>
            <w:vAlign w:val="bottom"/>
          </w:tcPr>
          <w:p w:rsidR="004010AA" w:rsidRDefault="004010AA" w:rsidP="006C43CF">
            <w:pPr>
              <w:spacing w:line="240" w:lineRule="auto"/>
              <w:ind w:firstLine="0"/>
              <w:jc w:val="center"/>
              <w:rPr>
                <w:color w:val="000000"/>
                <w:sz w:val="20"/>
                <w:szCs w:val="20"/>
              </w:rPr>
            </w:pPr>
            <w:r>
              <w:rPr>
                <w:color w:val="000000"/>
                <w:sz w:val="20"/>
                <w:szCs w:val="20"/>
              </w:rPr>
              <w:t>Katsayı</w:t>
            </w:r>
          </w:p>
        </w:tc>
        <w:tc>
          <w:tcPr>
            <w:tcW w:w="569" w:type="pct"/>
            <w:tcBorders>
              <w:top w:val="nil"/>
              <w:left w:val="nil"/>
              <w:bottom w:val="single" w:sz="4" w:space="0" w:color="000000"/>
              <w:right w:val="nil"/>
            </w:tcBorders>
            <w:shd w:val="clear" w:color="auto" w:fill="auto"/>
            <w:vAlign w:val="bottom"/>
          </w:tcPr>
          <w:p w:rsidR="004010AA" w:rsidRDefault="004010AA" w:rsidP="006C43CF">
            <w:pPr>
              <w:spacing w:line="240" w:lineRule="auto"/>
              <w:ind w:firstLine="0"/>
              <w:jc w:val="center"/>
              <w:rPr>
                <w:color w:val="000000"/>
                <w:sz w:val="20"/>
                <w:szCs w:val="20"/>
              </w:rPr>
            </w:pPr>
            <w:r>
              <w:rPr>
                <w:color w:val="000000"/>
                <w:sz w:val="20"/>
                <w:szCs w:val="20"/>
              </w:rPr>
              <w:t>Standart Hata</w:t>
            </w:r>
          </w:p>
        </w:tc>
        <w:tc>
          <w:tcPr>
            <w:tcW w:w="709" w:type="pct"/>
            <w:tcBorders>
              <w:top w:val="nil"/>
              <w:left w:val="nil"/>
              <w:bottom w:val="single" w:sz="4" w:space="0" w:color="000000"/>
              <w:right w:val="nil"/>
            </w:tcBorders>
            <w:shd w:val="clear" w:color="auto" w:fill="auto"/>
            <w:vAlign w:val="bottom"/>
          </w:tcPr>
          <w:p w:rsidR="004010AA" w:rsidRDefault="004010AA" w:rsidP="006C43CF">
            <w:pPr>
              <w:spacing w:line="240" w:lineRule="auto"/>
              <w:ind w:firstLine="0"/>
              <w:jc w:val="center"/>
              <w:rPr>
                <w:color w:val="000000"/>
                <w:sz w:val="20"/>
                <w:szCs w:val="20"/>
              </w:rPr>
            </w:pPr>
            <w:r>
              <w:rPr>
                <w:color w:val="000000"/>
                <w:sz w:val="20"/>
                <w:szCs w:val="20"/>
              </w:rPr>
              <w:t>Katsayı</w:t>
            </w:r>
          </w:p>
        </w:tc>
        <w:tc>
          <w:tcPr>
            <w:tcW w:w="638" w:type="pct"/>
            <w:tcBorders>
              <w:top w:val="nil"/>
              <w:left w:val="nil"/>
              <w:bottom w:val="single" w:sz="4" w:space="0" w:color="000000"/>
              <w:right w:val="nil"/>
            </w:tcBorders>
            <w:shd w:val="clear" w:color="auto" w:fill="auto"/>
            <w:vAlign w:val="bottom"/>
          </w:tcPr>
          <w:p w:rsidR="004010AA" w:rsidRDefault="004010AA" w:rsidP="006C43CF">
            <w:pPr>
              <w:spacing w:line="240" w:lineRule="auto"/>
              <w:ind w:firstLine="0"/>
              <w:jc w:val="center"/>
              <w:rPr>
                <w:color w:val="000000"/>
                <w:sz w:val="20"/>
                <w:szCs w:val="20"/>
              </w:rPr>
            </w:pPr>
            <w:r>
              <w:rPr>
                <w:color w:val="000000"/>
                <w:sz w:val="20"/>
                <w:szCs w:val="20"/>
              </w:rPr>
              <w:t>Standart Hata</w:t>
            </w:r>
          </w:p>
        </w:tc>
        <w:tc>
          <w:tcPr>
            <w:tcW w:w="1044" w:type="pct"/>
            <w:tcBorders>
              <w:top w:val="nil"/>
              <w:left w:val="nil"/>
              <w:bottom w:val="single" w:sz="4" w:space="0" w:color="000000"/>
              <w:right w:val="nil"/>
            </w:tcBorders>
            <w:shd w:val="clear" w:color="auto" w:fill="auto"/>
            <w:vAlign w:val="bottom"/>
          </w:tcPr>
          <w:p w:rsidR="004010AA" w:rsidRDefault="004010AA" w:rsidP="006C43CF">
            <w:pPr>
              <w:spacing w:line="240" w:lineRule="auto"/>
              <w:ind w:firstLine="0"/>
              <w:jc w:val="center"/>
              <w:rPr>
                <w:color w:val="000000"/>
                <w:sz w:val="20"/>
                <w:szCs w:val="20"/>
              </w:rPr>
            </w:pPr>
            <w:r>
              <w:rPr>
                <w:color w:val="000000"/>
                <w:sz w:val="20"/>
                <w:szCs w:val="20"/>
              </w:rPr>
              <w:t>Katsayı</w:t>
            </w:r>
          </w:p>
        </w:tc>
        <w:tc>
          <w:tcPr>
            <w:tcW w:w="677" w:type="pct"/>
            <w:tcBorders>
              <w:top w:val="nil"/>
              <w:left w:val="nil"/>
              <w:bottom w:val="single" w:sz="4" w:space="0" w:color="000000"/>
              <w:right w:val="nil"/>
            </w:tcBorders>
            <w:shd w:val="clear" w:color="auto" w:fill="auto"/>
            <w:vAlign w:val="bottom"/>
          </w:tcPr>
          <w:p w:rsidR="004010AA" w:rsidRDefault="004010AA" w:rsidP="006C43CF">
            <w:pPr>
              <w:spacing w:line="240" w:lineRule="auto"/>
              <w:ind w:firstLine="0"/>
              <w:jc w:val="center"/>
              <w:rPr>
                <w:color w:val="000000"/>
                <w:sz w:val="20"/>
                <w:szCs w:val="20"/>
              </w:rPr>
            </w:pPr>
            <w:r>
              <w:rPr>
                <w:color w:val="000000"/>
                <w:sz w:val="20"/>
                <w:szCs w:val="20"/>
              </w:rPr>
              <w:t>Standart Hata</w:t>
            </w:r>
          </w:p>
        </w:tc>
      </w:tr>
      <w:tr w:rsidR="004010AA" w:rsidTr="004328DA">
        <w:trPr>
          <w:trHeight w:val="243"/>
        </w:trPr>
        <w:tc>
          <w:tcPr>
            <w:tcW w:w="614" w:type="pct"/>
            <w:tcBorders>
              <w:top w:val="single" w:sz="4" w:space="0" w:color="000000"/>
              <w:left w:val="nil"/>
              <w:bottom w:val="nil"/>
              <w:right w:val="nil"/>
            </w:tcBorders>
            <w:shd w:val="clear" w:color="auto" w:fill="auto"/>
            <w:vAlign w:val="bottom"/>
          </w:tcPr>
          <w:p w:rsidR="004010AA" w:rsidRDefault="004010AA" w:rsidP="006C43CF">
            <w:pPr>
              <w:spacing w:line="240" w:lineRule="auto"/>
              <w:ind w:firstLine="0"/>
              <w:rPr>
                <w:color w:val="000000"/>
                <w:sz w:val="20"/>
                <w:szCs w:val="20"/>
              </w:rPr>
            </w:pPr>
            <w:r>
              <w:rPr>
                <w:color w:val="000000"/>
                <w:sz w:val="20"/>
                <w:szCs w:val="20"/>
              </w:rPr>
              <w:t>Yaş</w:t>
            </w:r>
          </w:p>
        </w:tc>
        <w:tc>
          <w:tcPr>
            <w:tcW w:w="749" w:type="pct"/>
            <w:tcBorders>
              <w:top w:val="single" w:sz="4" w:space="0" w:color="000000"/>
              <w:left w:val="nil"/>
              <w:bottom w:val="nil"/>
              <w:right w:val="nil"/>
            </w:tcBorders>
            <w:shd w:val="clear" w:color="auto" w:fill="auto"/>
            <w:vAlign w:val="bottom"/>
          </w:tcPr>
          <w:p w:rsidR="004010AA" w:rsidRDefault="004010AA" w:rsidP="006C43CF">
            <w:pPr>
              <w:spacing w:line="240" w:lineRule="auto"/>
              <w:ind w:firstLine="0"/>
              <w:jc w:val="right"/>
              <w:rPr>
                <w:color w:val="000000"/>
                <w:sz w:val="20"/>
                <w:szCs w:val="20"/>
              </w:rPr>
            </w:pPr>
            <w:r>
              <w:rPr>
                <w:color w:val="000000"/>
                <w:sz w:val="20"/>
                <w:szCs w:val="20"/>
              </w:rPr>
              <w:t>-0.0096***</w:t>
            </w:r>
          </w:p>
        </w:tc>
        <w:tc>
          <w:tcPr>
            <w:tcW w:w="569" w:type="pct"/>
            <w:tcBorders>
              <w:top w:val="single" w:sz="4" w:space="0" w:color="000000"/>
              <w:left w:val="nil"/>
              <w:bottom w:val="nil"/>
              <w:right w:val="nil"/>
            </w:tcBorders>
            <w:shd w:val="clear" w:color="auto" w:fill="auto"/>
            <w:vAlign w:val="bottom"/>
          </w:tcPr>
          <w:p w:rsidR="004010AA" w:rsidRDefault="004010AA" w:rsidP="006C43CF">
            <w:pPr>
              <w:spacing w:line="240" w:lineRule="auto"/>
              <w:ind w:firstLine="0"/>
              <w:jc w:val="right"/>
              <w:rPr>
                <w:sz w:val="20"/>
                <w:szCs w:val="20"/>
              </w:rPr>
            </w:pPr>
            <w:r>
              <w:rPr>
                <w:sz w:val="20"/>
                <w:szCs w:val="20"/>
              </w:rPr>
              <w:t>0.0002</w:t>
            </w:r>
          </w:p>
        </w:tc>
        <w:tc>
          <w:tcPr>
            <w:tcW w:w="709" w:type="pct"/>
            <w:tcBorders>
              <w:top w:val="single" w:sz="4" w:space="0" w:color="000000"/>
              <w:left w:val="nil"/>
              <w:bottom w:val="nil"/>
              <w:right w:val="nil"/>
            </w:tcBorders>
            <w:shd w:val="clear" w:color="auto" w:fill="auto"/>
            <w:vAlign w:val="bottom"/>
          </w:tcPr>
          <w:p w:rsidR="004010AA" w:rsidRDefault="004010AA" w:rsidP="006C43CF">
            <w:pPr>
              <w:spacing w:line="240" w:lineRule="auto"/>
              <w:ind w:firstLine="0"/>
              <w:jc w:val="right"/>
              <w:rPr>
                <w:sz w:val="20"/>
                <w:szCs w:val="20"/>
              </w:rPr>
            </w:pPr>
            <w:r>
              <w:rPr>
                <w:sz w:val="20"/>
                <w:szCs w:val="20"/>
              </w:rPr>
              <w:t>-3.2162</w:t>
            </w:r>
            <w:r>
              <w:rPr>
                <w:color w:val="000000"/>
                <w:sz w:val="20"/>
                <w:szCs w:val="20"/>
              </w:rPr>
              <w:t>***</w:t>
            </w:r>
          </w:p>
        </w:tc>
        <w:tc>
          <w:tcPr>
            <w:tcW w:w="638" w:type="pct"/>
            <w:tcBorders>
              <w:top w:val="single" w:sz="4" w:space="0" w:color="000000"/>
              <w:left w:val="nil"/>
              <w:bottom w:val="nil"/>
              <w:right w:val="nil"/>
            </w:tcBorders>
            <w:shd w:val="clear" w:color="auto" w:fill="auto"/>
            <w:vAlign w:val="bottom"/>
          </w:tcPr>
          <w:p w:rsidR="004010AA" w:rsidRDefault="004010AA" w:rsidP="006C43CF">
            <w:pPr>
              <w:spacing w:line="240" w:lineRule="auto"/>
              <w:ind w:firstLine="0"/>
              <w:jc w:val="right"/>
              <w:rPr>
                <w:sz w:val="20"/>
                <w:szCs w:val="20"/>
              </w:rPr>
            </w:pPr>
            <w:r>
              <w:rPr>
                <w:sz w:val="20"/>
                <w:szCs w:val="20"/>
              </w:rPr>
              <w:t>0.1267</w:t>
            </w:r>
          </w:p>
        </w:tc>
        <w:tc>
          <w:tcPr>
            <w:tcW w:w="1044" w:type="pct"/>
            <w:tcBorders>
              <w:top w:val="single" w:sz="4" w:space="0" w:color="000000"/>
              <w:left w:val="nil"/>
              <w:bottom w:val="nil"/>
              <w:right w:val="nil"/>
            </w:tcBorders>
            <w:shd w:val="clear" w:color="auto" w:fill="auto"/>
            <w:vAlign w:val="bottom"/>
          </w:tcPr>
          <w:p w:rsidR="004010AA" w:rsidRDefault="004010AA" w:rsidP="006C43CF">
            <w:pPr>
              <w:spacing w:line="240" w:lineRule="auto"/>
              <w:ind w:firstLine="0"/>
              <w:jc w:val="right"/>
              <w:rPr>
                <w:sz w:val="20"/>
                <w:szCs w:val="20"/>
              </w:rPr>
            </w:pPr>
            <w:r>
              <w:rPr>
                <w:sz w:val="20"/>
                <w:szCs w:val="20"/>
              </w:rPr>
              <w:t>-0.0092***</w:t>
            </w:r>
          </w:p>
        </w:tc>
        <w:tc>
          <w:tcPr>
            <w:tcW w:w="677" w:type="pct"/>
            <w:tcBorders>
              <w:top w:val="single" w:sz="4" w:space="0" w:color="000000"/>
              <w:left w:val="nil"/>
              <w:bottom w:val="nil"/>
              <w:right w:val="nil"/>
            </w:tcBorders>
            <w:shd w:val="clear" w:color="auto" w:fill="auto"/>
            <w:vAlign w:val="bottom"/>
          </w:tcPr>
          <w:p w:rsidR="004010AA" w:rsidRDefault="004010AA" w:rsidP="006C43CF">
            <w:pPr>
              <w:spacing w:line="240" w:lineRule="auto"/>
              <w:ind w:firstLine="0"/>
              <w:jc w:val="right"/>
              <w:rPr>
                <w:sz w:val="20"/>
                <w:szCs w:val="20"/>
              </w:rPr>
            </w:pPr>
            <w:r>
              <w:rPr>
                <w:sz w:val="20"/>
                <w:szCs w:val="20"/>
              </w:rPr>
              <w:t>-0.0001</w:t>
            </w:r>
          </w:p>
        </w:tc>
      </w:tr>
      <w:tr w:rsidR="004010AA" w:rsidTr="004328DA">
        <w:trPr>
          <w:trHeight w:val="243"/>
        </w:trPr>
        <w:tc>
          <w:tcPr>
            <w:tcW w:w="614" w:type="pct"/>
            <w:tcBorders>
              <w:top w:val="nil"/>
              <w:left w:val="nil"/>
              <w:bottom w:val="nil"/>
              <w:right w:val="nil"/>
            </w:tcBorders>
            <w:shd w:val="clear" w:color="auto" w:fill="auto"/>
            <w:vAlign w:val="bottom"/>
          </w:tcPr>
          <w:p w:rsidR="004010AA" w:rsidRDefault="004010AA" w:rsidP="006C43CF">
            <w:pPr>
              <w:spacing w:line="240" w:lineRule="auto"/>
              <w:ind w:firstLine="0"/>
              <w:rPr>
                <w:color w:val="000000"/>
                <w:sz w:val="20"/>
                <w:szCs w:val="20"/>
              </w:rPr>
            </w:pPr>
            <w:r>
              <w:rPr>
                <w:color w:val="000000"/>
                <w:sz w:val="20"/>
                <w:szCs w:val="20"/>
              </w:rPr>
              <w:t>Cinsiyet</w:t>
            </w:r>
          </w:p>
        </w:tc>
        <w:tc>
          <w:tcPr>
            <w:tcW w:w="749" w:type="pct"/>
            <w:tcBorders>
              <w:top w:val="nil"/>
              <w:left w:val="nil"/>
              <w:bottom w:val="nil"/>
              <w:right w:val="nil"/>
            </w:tcBorders>
            <w:shd w:val="clear" w:color="auto" w:fill="auto"/>
            <w:vAlign w:val="bottom"/>
          </w:tcPr>
          <w:p w:rsidR="004010AA" w:rsidRDefault="004010AA" w:rsidP="006C43CF">
            <w:pPr>
              <w:spacing w:line="240" w:lineRule="auto"/>
              <w:ind w:firstLine="0"/>
              <w:jc w:val="right"/>
              <w:rPr>
                <w:color w:val="000000"/>
                <w:sz w:val="20"/>
                <w:szCs w:val="20"/>
              </w:rPr>
            </w:pPr>
            <w:r>
              <w:rPr>
                <w:color w:val="000000"/>
                <w:sz w:val="20"/>
                <w:szCs w:val="20"/>
              </w:rPr>
              <w:t>-0.0406***</w:t>
            </w:r>
          </w:p>
        </w:tc>
        <w:tc>
          <w:tcPr>
            <w:tcW w:w="569" w:type="pct"/>
            <w:tcBorders>
              <w:top w:val="nil"/>
              <w:left w:val="nil"/>
              <w:bottom w:val="nil"/>
              <w:right w:val="nil"/>
            </w:tcBorders>
            <w:shd w:val="clear" w:color="auto" w:fill="auto"/>
            <w:vAlign w:val="bottom"/>
          </w:tcPr>
          <w:p w:rsidR="004010AA" w:rsidRDefault="004010AA" w:rsidP="006C43CF">
            <w:pPr>
              <w:spacing w:line="240" w:lineRule="auto"/>
              <w:ind w:firstLine="0"/>
              <w:jc w:val="right"/>
              <w:rPr>
                <w:sz w:val="20"/>
                <w:szCs w:val="20"/>
              </w:rPr>
            </w:pPr>
            <w:r>
              <w:rPr>
                <w:sz w:val="20"/>
                <w:szCs w:val="20"/>
              </w:rPr>
              <w:t>0.0010</w:t>
            </w:r>
          </w:p>
        </w:tc>
        <w:tc>
          <w:tcPr>
            <w:tcW w:w="709" w:type="pct"/>
            <w:tcBorders>
              <w:top w:val="nil"/>
              <w:left w:val="nil"/>
              <w:bottom w:val="nil"/>
              <w:right w:val="nil"/>
            </w:tcBorders>
            <w:shd w:val="clear" w:color="auto" w:fill="auto"/>
            <w:vAlign w:val="bottom"/>
          </w:tcPr>
          <w:p w:rsidR="004010AA" w:rsidRDefault="004010AA" w:rsidP="006C43CF">
            <w:pPr>
              <w:spacing w:line="240" w:lineRule="auto"/>
              <w:ind w:firstLine="0"/>
              <w:jc w:val="right"/>
              <w:rPr>
                <w:sz w:val="20"/>
                <w:szCs w:val="20"/>
              </w:rPr>
            </w:pPr>
            <w:r>
              <w:rPr>
                <w:sz w:val="20"/>
                <w:szCs w:val="20"/>
              </w:rPr>
              <w:t>26.4953</w:t>
            </w:r>
            <w:r>
              <w:rPr>
                <w:color w:val="000000"/>
                <w:sz w:val="20"/>
                <w:szCs w:val="20"/>
              </w:rPr>
              <w:t>***</w:t>
            </w:r>
          </w:p>
        </w:tc>
        <w:tc>
          <w:tcPr>
            <w:tcW w:w="638" w:type="pct"/>
            <w:tcBorders>
              <w:top w:val="nil"/>
              <w:left w:val="nil"/>
              <w:bottom w:val="nil"/>
              <w:right w:val="nil"/>
            </w:tcBorders>
            <w:shd w:val="clear" w:color="auto" w:fill="auto"/>
            <w:vAlign w:val="bottom"/>
          </w:tcPr>
          <w:p w:rsidR="004010AA" w:rsidRDefault="004010AA" w:rsidP="006C43CF">
            <w:pPr>
              <w:spacing w:line="240" w:lineRule="auto"/>
              <w:ind w:firstLine="0"/>
              <w:jc w:val="right"/>
              <w:rPr>
                <w:sz w:val="20"/>
                <w:szCs w:val="20"/>
              </w:rPr>
            </w:pPr>
            <w:r>
              <w:rPr>
                <w:sz w:val="20"/>
                <w:szCs w:val="20"/>
              </w:rPr>
              <w:t>0.6410</w:t>
            </w:r>
          </w:p>
        </w:tc>
        <w:tc>
          <w:tcPr>
            <w:tcW w:w="1044" w:type="pct"/>
            <w:tcBorders>
              <w:top w:val="nil"/>
              <w:left w:val="nil"/>
              <w:bottom w:val="nil"/>
              <w:right w:val="nil"/>
            </w:tcBorders>
            <w:shd w:val="clear" w:color="auto" w:fill="auto"/>
            <w:vAlign w:val="bottom"/>
          </w:tcPr>
          <w:p w:rsidR="004010AA" w:rsidRDefault="004010AA" w:rsidP="006C43CF">
            <w:pPr>
              <w:spacing w:line="240" w:lineRule="auto"/>
              <w:ind w:firstLine="0"/>
              <w:jc w:val="right"/>
              <w:rPr>
                <w:sz w:val="20"/>
                <w:szCs w:val="20"/>
              </w:rPr>
            </w:pPr>
            <w:r>
              <w:rPr>
                <w:sz w:val="20"/>
                <w:szCs w:val="20"/>
              </w:rPr>
              <w:t>-0.0387***</w:t>
            </w:r>
          </w:p>
        </w:tc>
        <w:tc>
          <w:tcPr>
            <w:tcW w:w="677" w:type="pct"/>
            <w:tcBorders>
              <w:top w:val="nil"/>
              <w:left w:val="nil"/>
              <w:bottom w:val="nil"/>
              <w:right w:val="nil"/>
            </w:tcBorders>
            <w:shd w:val="clear" w:color="auto" w:fill="auto"/>
            <w:vAlign w:val="bottom"/>
          </w:tcPr>
          <w:p w:rsidR="004010AA" w:rsidRDefault="004010AA" w:rsidP="006C43CF">
            <w:pPr>
              <w:spacing w:line="240" w:lineRule="auto"/>
              <w:ind w:firstLine="0"/>
              <w:jc w:val="right"/>
              <w:rPr>
                <w:sz w:val="20"/>
                <w:szCs w:val="20"/>
              </w:rPr>
            </w:pPr>
            <w:r>
              <w:rPr>
                <w:sz w:val="20"/>
                <w:szCs w:val="20"/>
              </w:rPr>
              <w:t>-0.0010</w:t>
            </w:r>
          </w:p>
        </w:tc>
      </w:tr>
      <w:tr w:rsidR="004010AA" w:rsidTr="004328DA">
        <w:trPr>
          <w:trHeight w:val="243"/>
        </w:trPr>
        <w:tc>
          <w:tcPr>
            <w:tcW w:w="614" w:type="pct"/>
            <w:tcBorders>
              <w:top w:val="nil"/>
              <w:left w:val="nil"/>
              <w:bottom w:val="nil"/>
              <w:right w:val="nil"/>
            </w:tcBorders>
            <w:shd w:val="clear" w:color="auto" w:fill="auto"/>
            <w:vAlign w:val="bottom"/>
          </w:tcPr>
          <w:p w:rsidR="004010AA" w:rsidRDefault="004010AA" w:rsidP="006C43CF">
            <w:pPr>
              <w:spacing w:line="240" w:lineRule="auto"/>
              <w:ind w:firstLine="0"/>
              <w:rPr>
                <w:color w:val="000000"/>
                <w:sz w:val="20"/>
                <w:szCs w:val="20"/>
              </w:rPr>
            </w:pPr>
            <w:r>
              <w:rPr>
                <w:color w:val="000000"/>
                <w:sz w:val="20"/>
                <w:szCs w:val="20"/>
              </w:rPr>
              <w:t>Medeni</w:t>
            </w:r>
          </w:p>
        </w:tc>
        <w:tc>
          <w:tcPr>
            <w:tcW w:w="749" w:type="pct"/>
            <w:tcBorders>
              <w:top w:val="nil"/>
              <w:left w:val="nil"/>
              <w:bottom w:val="nil"/>
              <w:right w:val="nil"/>
            </w:tcBorders>
            <w:shd w:val="clear" w:color="auto" w:fill="auto"/>
            <w:vAlign w:val="bottom"/>
          </w:tcPr>
          <w:p w:rsidR="004010AA" w:rsidRDefault="004010AA" w:rsidP="006C43CF">
            <w:pPr>
              <w:spacing w:line="240" w:lineRule="auto"/>
              <w:ind w:firstLine="0"/>
              <w:jc w:val="right"/>
              <w:rPr>
                <w:color w:val="000000"/>
                <w:sz w:val="20"/>
                <w:szCs w:val="20"/>
              </w:rPr>
            </w:pPr>
            <w:r>
              <w:rPr>
                <w:color w:val="000000"/>
                <w:sz w:val="20"/>
                <w:szCs w:val="20"/>
              </w:rPr>
              <w:t>-0.0246***</w:t>
            </w:r>
          </w:p>
        </w:tc>
        <w:tc>
          <w:tcPr>
            <w:tcW w:w="569" w:type="pct"/>
            <w:tcBorders>
              <w:top w:val="nil"/>
              <w:left w:val="nil"/>
              <w:bottom w:val="nil"/>
              <w:right w:val="nil"/>
            </w:tcBorders>
            <w:shd w:val="clear" w:color="auto" w:fill="auto"/>
            <w:vAlign w:val="bottom"/>
          </w:tcPr>
          <w:p w:rsidR="004010AA" w:rsidRDefault="004010AA" w:rsidP="006C43CF">
            <w:pPr>
              <w:spacing w:line="240" w:lineRule="auto"/>
              <w:ind w:firstLine="0"/>
              <w:jc w:val="right"/>
              <w:rPr>
                <w:sz w:val="20"/>
                <w:szCs w:val="20"/>
              </w:rPr>
            </w:pPr>
            <w:r>
              <w:rPr>
                <w:sz w:val="20"/>
                <w:szCs w:val="20"/>
              </w:rPr>
              <w:t>0.0009</w:t>
            </w:r>
          </w:p>
        </w:tc>
        <w:tc>
          <w:tcPr>
            <w:tcW w:w="709" w:type="pct"/>
            <w:tcBorders>
              <w:top w:val="nil"/>
              <w:left w:val="nil"/>
              <w:bottom w:val="nil"/>
              <w:right w:val="nil"/>
            </w:tcBorders>
            <w:shd w:val="clear" w:color="auto" w:fill="auto"/>
            <w:vAlign w:val="bottom"/>
          </w:tcPr>
          <w:p w:rsidR="004010AA" w:rsidRDefault="004010AA" w:rsidP="006C43CF">
            <w:pPr>
              <w:spacing w:line="240" w:lineRule="auto"/>
              <w:ind w:firstLine="0"/>
              <w:jc w:val="right"/>
              <w:rPr>
                <w:sz w:val="20"/>
                <w:szCs w:val="20"/>
              </w:rPr>
            </w:pPr>
            <w:r>
              <w:rPr>
                <w:sz w:val="20"/>
                <w:szCs w:val="20"/>
              </w:rPr>
              <w:t>-37.1415</w:t>
            </w:r>
            <w:r>
              <w:rPr>
                <w:color w:val="000000"/>
                <w:sz w:val="20"/>
                <w:szCs w:val="20"/>
              </w:rPr>
              <w:t>***</w:t>
            </w:r>
          </w:p>
        </w:tc>
        <w:tc>
          <w:tcPr>
            <w:tcW w:w="638" w:type="pct"/>
            <w:tcBorders>
              <w:top w:val="nil"/>
              <w:left w:val="nil"/>
              <w:bottom w:val="nil"/>
              <w:right w:val="nil"/>
            </w:tcBorders>
            <w:shd w:val="clear" w:color="auto" w:fill="auto"/>
            <w:vAlign w:val="bottom"/>
          </w:tcPr>
          <w:p w:rsidR="004010AA" w:rsidRDefault="004010AA" w:rsidP="006C43CF">
            <w:pPr>
              <w:spacing w:line="240" w:lineRule="auto"/>
              <w:ind w:firstLine="0"/>
              <w:jc w:val="right"/>
              <w:rPr>
                <w:sz w:val="20"/>
                <w:szCs w:val="20"/>
              </w:rPr>
            </w:pPr>
            <w:r>
              <w:rPr>
                <w:sz w:val="20"/>
                <w:szCs w:val="20"/>
              </w:rPr>
              <w:t>0.5935</w:t>
            </w:r>
          </w:p>
        </w:tc>
        <w:tc>
          <w:tcPr>
            <w:tcW w:w="1044" w:type="pct"/>
            <w:tcBorders>
              <w:top w:val="nil"/>
              <w:left w:val="nil"/>
              <w:bottom w:val="nil"/>
              <w:right w:val="nil"/>
            </w:tcBorders>
            <w:shd w:val="clear" w:color="auto" w:fill="auto"/>
            <w:vAlign w:val="bottom"/>
          </w:tcPr>
          <w:p w:rsidR="004010AA" w:rsidRDefault="004010AA" w:rsidP="006C43CF">
            <w:pPr>
              <w:spacing w:line="240" w:lineRule="auto"/>
              <w:ind w:firstLine="0"/>
              <w:jc w:val="right"/>
              <w:rPr>
                <w:sz w:val="20"/>
                <w:szCs w:val="20"/>
              </w:rPr>
            </w:pPr>
            <w:r>
              <w:rPr>
                <w:sz w:val="20"/>
                <w:szCs w:val="20"/>
              </w:rPr>
              <w:t>0.0233***</w:t>
            </w:r>
          </w:p>
        </w:tc>
        <w:tc>
          <w:tcPr>
            <w:tcW w:w="677" w:type="pct"/>
            <w:tcBorders>
              <w:top w:val="nil"/>
              <w:left w:val="nil"/>
              <w:bottom w:val="nil"/>
              <w:right w:val="nil"/>
            </w:tcBorders>
            <w:shd w:val="clear" w:color="auto" w:fill="auto"/>
            <w:vAlign w:val="bottom"/>
          </w:tcPr>
          <w:p w:rsidR="004010AA" w:rsidRDefault="004010AA" w:rsidP="006C43CF">
            <w:pPr>
              <w:spacing w:line="240" w:lineRule="auto"/>
              <w:ind w:firstLine="0"/>
              <w:jc w:val="right"/>
              <w:rPr>
                <w:sz w:val="20"/>
                <w:szCs w:val="20"/>
              </w:rPr>
            </w:pPr>
            <w:r>
              <w:rPr>
                <w:sz w:val="20"/>
                <w:szCs w:val="20"/>
              </w:rPr>
              <w:t>0.0009</w:t>
            </w:r>
          </w:p>
        </w:tc>
      </w:tr>
      <w:tr w:rsidR="004010AA" w:rsidTr="004328DA">
        <w:trPr>
          <w:trHeight w:val="243"/>
        </w:trPr>
        <w:tc>
          <w:tcPr>
            <w:tcW w:w="614" w:type="pct"/>
            <w:tcBorders>
              <w:top w:val="nil"/>
              <w:left w:val="nil"/>
              <w:bottom w:val="nil"/>
              <w:right w:val="nil"/>
            </w:tcBorders>
            <w:shd w:val="clear" w:color="auto" w:fill="auto"/>
            <w:vAlign w:val="bottom"/>
          </w:tcPr>
          <w:p w:rsidR="004010AA" w:rsidRDefault="004010AA" w:rsidP="006C43CF">
            <w:pPr>
              <w:spacing w:line="240" w:lineRule="auto"/>
              <w:ind w:firstLine="0"/>
              <w:rPr>
                <w:color w:val="000000"/>
                <w:sz w:val="20"/>
                <w:szCs w:val="20"/>
              </w:rPr>
            </w:pPr>
            <w:r>
              <w:rPr>
                <w:color w:val="000000"/>
                <w:sz w:val="20"/>
                <w:szCs w:val="20"/>
              </w:rPr>
              <w:t>Eğitim</w:t>
            </w:r>
          </w:p>
        </w:tc>
        <w:tc>
          <w:tcPr>
            <w:tcW w:w="749" w:type="pct"/>
            <w:tcBorders>
              <w:top w:val="nil"/>
              <w:left w:val="nil"/>
              <w:bottom w:val="nil"/>
              <w:right w:val="nil"/>
            </w:tcBorders>
            <w:shd w:val="clear" w:color="auto" w:fill="auto"/>
            <w:vAlign w:val="bottom"/>
          </w:tcPr>
          <w:p w:rsidR="004010AA" w:rsidRDefault="004010AA" w:rsidP="006C43CF">
            <w:pPr>
              <w:spacing w:line="240" w:lineRule="auto"/>
              <w:ind w:firstLine="0"/>
              <w:jc w:val="right"/>
              <w:rPr>
                <w:color w:val="000000"/>
                <w:sz w:val="20"/>
                <w:szCs w:val="20"/>
              </w:rPr>
            </w:pPr>
            <w:r>
              <w:rPr>
                <w:color w:val="000000"/>
                <w:sz w:val="20"/>
                <w:szCs w:val="20"/>
              </w:rPr>
              <w:t>-0.0314***</w:t>
            </w:r>
          </w:p>
        </w:tc>
        <w:tc>
          <w:tcPr>
            <w:tcW w:w="569" w:type="pct"/>
            <w:tcBorders>
              <w:top w:val="nil"/>
              <w:left w:val="nil"/>
              <w:bottom w:val="nil"/>
              <w:right w:val="nil"/>
            </w:tcBorders>
            <w:shd w:val="clear" w:color="auto" w:fill="auto"/>
            <w:vAlign w:val="bottom"/>
          </w:tcPr>
          <w:p w:rsidR="004010AA" w:rsidRDefault="004010AA" w:rsidP="006C43CF">
            <w:pPr>
              <w:spacing w:line="240" w:lineRule="auto"/>
              <w:ind w:firstLine="0"/>
              <w:jc w:val="right"/>
              <w:rPr>
                <w:sz w:val="20"/>
                <w:szCs w:val="20"/>
              </w:rPr>
            </w:pPr>
            <w:r>
              <w:rPr>
                <w:sz w:val="20"/>
                <w:szCs w:val="20"/>
              </w:rPr>
              <w:t>0.0003</w:t>
            </w:r>
          </w:p>
        </w:tc>
        <w:tc>
          <w:tcPr>
            <w:tcW w:w="709" w:type="pct"/>
            <w:tcBorders>
              <w:top w:val="nil"/>
              <w:left w:val="nil"/>
              <w:bottom w:val="nil"/>
              <w:right w:val="nil"/>
            </w:tcBorders>
            <w:shd w:val="clear" w:color="auto" w:fill="auto"/>
            <w:vAlign w:val="bottom"/>
          </w:tcPr>
          <w:p w:rsidR="004010AA" w:rsidRDefault="004010AA" w:rsidP="006C43CF">
            <w:pPr>
              <w:spacing w:line="240" w:lineRule="auto"/>
              <w:ind w:firstLine="0"/>
              <w:jc w:val="right"/>
              <w:rPr>
                <w:sz w:val="20"/>
                <w:szCs w:val="20"/>
              </w:rPr>
            </w:pPr>
            <w:r>
              <w:rPr>
                <w:sz w:val="20"/>
                <w:szCs w:val="20"/>
              </w:rPr>
              <w:t>-12.9159</w:t>
            </w:r>
            <w:r>
              <w:rPr>
                <w:color w:val="000000"/>
                <w:sz w:val="20"/>
                <w:szCs w:val="20"/>
              </w:rPr>
              <w:t>***</w:t>
            </w:r>
          </w:p>
        </w:tc>
        <w:tc>
          <w:tcPr>
            <w:tcW w:w="638" w:type="pct"/>
            <w:tcBorders>
              <w:top w:val="nil"/>
              <w:left w:val="nil"/>
              <w:bottom w:val="nil"/>
              <w:right w:val="nil"/>
            </w:tcBorders>
            <w:shd w:val="clear" w:color="auto" w:fill="auto"/>
            <w:vAlign w:val="bottom"/>
          </w:tcPr>
          <w:p w:rsidR="004010AA" w:rsidRDefault="004010AA" w:rsidP="006C43CF">
            <w:pPr>
              <w:spacing w:line="240" w:lineRule="auto"/>
              <w:ind w:firstLine="0"/>
              <w:jc w:val="right"/>
              <w:rPr>
                <w:sz w:val="20"/>
                <w:szCs w:val="20"/>
              </w:rPr>
            </w:pPr>
            <w:r>
              <w:rPr>
                <w:sz w:val="20"/>
                <w:szCs w:val="20"/>
              </w:rPr>
              <w:t>0.2162</w:t>
            </w:r>
          </w:p>
        </w:tc>
        <w:tc>
          <w:tcPr>
            <w:tcW w:w="1044" w:type="pct"/>
            <w:tcBorders>
              <w:top w:val="nil"/>
              <w:left w:val="nil"/>
              <w:bottom w:val="nil"/>
              <w:right w:val="nil"/>
            </w:tcBorders>
            <w:shd w:val="clear" w:color="auto" w:fill="auto"/>
            <w:vAlign w:val="bottom"/>
          </w:tcPr>
          <w:p w:rsidR="004010AA" w:rsidRDefault="004010AA" w:rsidP="006C43CF">
            <w:pPr>
              <w:spacing w:line="240" w:lineRule="auto"/>
              <w:ind w:firstLine="0"/>
              <w:jc w:val="right"/>
              <w:rPr>
                <w:sz w:val="20"/>
                <w:szCs w:val="20"/>
              </w:rPr>
            </w:pPr>
            <w:r>
              <w:rPr>
                <w:sz w:val="20"/>
                <w:szCs w:val="20"/>
              </w:rPr>
              <w:t>-0.0301***</w:t>
            </w:r>
          </w:p>
        </w:tc>
        <w:tc>
          <w:tcPr>
            <w:tcW w:w="677" w:type="pct"/>
            <w:tcBorders>
              <w:top w:val="nil"/>
              <w:left w:val="nil"/>
              <w:bottom w:val="nil"/>
              <w:right w:val="nil"/>
            </w:tcBorders>
            <w:shd w:val="clear" w:color="auto" w:fill="auto"/>
            <w:vAlign w:val="bottom"/>
          </w:tcPr>
          <w:p w:rsidR="004010AA" w:rsidRDefault="004010AA" w:rsidP="006C43CF">
            <w:pPr>
              <w:spacing w:line="240" w:lineRule="auto"/>
              <w:ind w:firstLine="0"/>
              <w:jc w:val="right"/>
              <w:rPr>
                <w:sz w:val="20"/>
                <w:szCs w:val="20"/>
              </w:rPr>
            </w:pPr>
            <w:r>
              <w:rPr>
                <w:sz w:val="20"/>
                <w:szCs w:val="20"/>
              </w:rPr>
              <w:t>0.0003</w:t>
            </w:r>
          </w:p>
        </w:tc>
      </w:tr>
      <w:tr w:rsidR="004010AA" w:rsidTr="004328DA">
        <w:trPr>
          <w:trHeight w:val="243"/>
        </w:trPr>
        <w:tc>
          <w:tcPr>
            <w:tcW w:w="614" w:type="pct"/>
            <w:tcBorders>
              <w:top w:val="nil"/>
              <w:left w:val="nil"/>
              <w:right w:val="nil"/>
            </w:tcBorders>
            <w:shd w:val="clear" w:color="auto" w:fill="auto"/>
            <w:vAlign w:val="bottom"/>
          </w:tcPr>
          <w:p w:rsidR="004010AA" w:rsidRDefault="004010AA" w:rsidP="006C43CF">
            <w:pPr>
              <w:spacing w:line="240" w:lineRule="auto"/>
              <w:ind w:firstLine="0"/>
              <w:rPr>
                <w:color w:val="000000"/>
                <w:sz w:val="20"/>
                <w:szCs w:val="20"/>
              </w:rPr>
            </w:pPr>
            <w:r>
              <w:rPr>
                <w:color w:val="000000"/>
                <w:sz w:val="20"/>
                <w:szCs w:val="20"/>
              </w:rPr>
              <w:t>HHB</w:t>
            </w:r>
          </w:p>
        </w:tc>
        <w:tc>
          <w:tcPr>
            <w:tcW w:w="749" w:type="pct"/>
            <w:tcBorders>
              <w:top w:val="nil"/>
              <w:left w:val="nil"/>
              <w:right w:val="nil"/>
            </w:tcBorders>
            <w:shd w:val="clear" w:color="auto" w:fill="auto"/>
            <w:vAlign w:val="bottom"/>
          </w:tcPr>
          <w:p w:rsidR="004010AA" w:rsidRDefault="004010AA" w:rsidP="006C43CF">
            <w:pPr>
              <w:spacing w:line="240" w:lineRule="auto"/>
              <w:ind w:firstLine="0"/>
              <w:jc w:val="right"/>
              <w:rPr>
                <w:color w:val="000000"/>
                <w:sz w:val="20"/>
                <w:szCs w:val="20"/>
              </w:rPr>
            </w:pPr>
            <w:r>
              <w:rPr>
                <w:color w:val="000000"/>
                <w:sz w:val="20"/>
                <w:szCs w:val="20"/>
              </w:rPr>
              <w:t>-0.0065***</w:t>
            </w:r>
          </w:p>
        </w:tc>
        <w:tc>
          <w:tcPr>
            <w:tcW w:w="569" w:type="pct"/>
            <w:tcBorders>
              <w:top w:val="nil"/>
              <w:left w:val="nil"/>
              <w:right w:val="nil"/>
            </w:tcBorders>
            <w:shd w:val="clear" w:color="auto" w:fill="auto"/>
            <w:vAlign w:val="bottom"/>
          </w:tcPr>
          <w:p w:rsidR="004010AA" w:rsidRDefault="004010AA" w:rsidP="006C43CF">
            <w:pPr>
              <w:spacing w:line="240" w:lineRule="auto"/>
              <w:ind w:firstLine="0"/>
              <w:jc w:val="right"/>
              <w:rPr>
                <w:sz w:val="20"/>
                <w:szCs w:val="20"/>
              </w:rPr>
            </w:pPr>
            <w:r>
              <w:rPr>
                <w:sz w:val="20"/>
                <w:szCs w:val="20"/>
              </w:rPr>
              <w:t>0.0003</w:t>
            </w:r>
          </w:p>
        </w:tc>
        <w:tc>
          <w:tcPr>
            <w:tcW w:w="709" w:type="pct"/>
            <w:tcBorders>
              <w:top w:val="nil"/>
              <w:left w:val="nil"/>
              <w:right w:val="nil"/>
            </w:tcBorders>
            <w:shd w:val="clear" w:color="auto" w:fill="auto"/>
            <w:vAlign w:val="bottom"/>
          </w:tcPr>
          <w:p w:rsidR="004010AA" w:rsidRDefault="004010AA" w:rsidP="006C43CF">
            <w:pPr>
              <w:spacing w:line="240" w:lineRule="auto"/>
              <w:ind w:firstLine="0"/>
              <w:jc w:val="right"/>
              <w:rPr>
                <w:sz w:val="20"/>
                <w:szCs w:val="20"/>
              </w:rPr>
            </w:pPr>
            <w:r>
              <w:rPr>
                <w:sz w:val="20"/>
                <w:szCs w:val="20"/>
              </w:rPr>
              <w:t>-24.0647</w:t>
            </w:r>
            <w:r>
              <w:rPr>
                <w:color w:val="000000"/>
                <w:sz w:val="20"/>
                <w:szCs w:val="20"/>
              </w:rPr>
              <w:t>***</w:t>
            </w:r>
          </w:p>
        </w:tc>
        <w:tc>
          <w:tcPr>
            <w:tcW w:w="638" w:type="pct"/>
            <w:tcBorders>
              <w:top w:val="nil"/>
              <w:left w:val="nil"/>
              <w:right w:val="nil"/>
            </w:tcBorders>
            <w:shd w:val="clear" w:color="auto" w:fill="auto"/>
            <w:vAlign w:val="bottom"/>
          </w:tcPr>
          <w:p w:rsidR="004010AA" w:rsidRDefault="004010AA" w:rsidP="006C43CF">
            <w:pPr>
              <w:spacing w:line="240" w:lineRule="auto"/>
              <w:ind w:firstLine="0"/>
              <w:jc w:val="right"/>
              <w:rPr>
                <w:sz w:val="20"/>
                <w:szCs w:val="20"/>
              </w:rPr>
            </w:pPr>
            <w:r>
              <w:rPr>
                <w:sz w:val="20"/>
                <w:szCs w:val="20"/>
              </w:rPr>
              <w:t>0.2464</w:t>
            </w:r>
          </w:p>
        </w:tc>
        <w:tc>
          <w:tcPr>
            <w:tcW w:w="1044" w:type="pct"/>
            <w:tcBorders>
              <w:top w:val="nil"/>
              <w:left w:val="nil"/>
              <w:right w:val="nil"/>
            </w:tcBorders>
            <w:shd w:val="clear" w:color="auto" w:fill="auto"/>
            <w:vAlign w:val="bottom"/>
          </w:tcPr>
          <w:p w:rsidR="004010AA" w:rsidRDefault="004010AA" w:rsidP="006C43CF">
            <w:pPr>
              <w:spacing w:line="240" w:lineRule="auto"/>
              <w:ind w:firstLine="0"/>
              <w:jc w:val="right"/>
              <w:rPr>
                <w:sz w:val="20"/>
                <w:szCs w:val="20"/>
              </w:rPr>
            </w:pPr>
            <w:r>
              <w:rPr>
                <w:sz w:val="20"/>
                <w:szCs w:val="20"/>
              </w:rPr>
              <w:t>-0.0062***</w:t>
            </w:r>
          </w:p>
        </w:tc>
        <w:tc>
          <w:tcPr>
            <w:tcW w:w="677" w:type="pct"/>
            <w:tcBorders>
              <w:top w:val="nil"/>
              <w:left w:val="nil"/>
              <w:right w:val="nil"/>
            </w:tcBorders>
            <w:shd w:val="clear" w:color="auto" w:fill="auto"/>
            <w:vAlign w:val="bottom"/>
          </w:tcPr>
          <w:p w:rsidR="004010AA" w:rsidRDefault="004010AA" w:rsidP="006C43CF">
            <w:pPr>
              <w:spacing w:line="240" w:lineRule="auto"/>
              <w:ind w:firstLine="0"/>
              <w:jc w:val="right"/>
              <w:rPr>
                <w:sz w:val="20"/>
                <w:szCs w:val="20"/>
              </w:rPr>
            </w:pPr>
            <w:r>
              <w:rPr>
                <w:sz w:val="20"/>
                <w:szCs w:val="20"/>
              </w:rPr>
              <w:t>0.0003</w:t>
            </w:r>
          </w:p>
        </w:tc>
      </w:tr>
      <w:tr w:rsidR="004010AA" w:rsidTr="004328DA">
        <w:trPr>
          <w:trHeight w:val="271"/>
        </w:trPr>
        <w:tc>
          <w:tcPr>
            <w:tcW w:w="614" w:type="pct"/>
            <w:tcBorders>
              <w:top w:val="nil"/>
              <w:left w:val="nil"/>
              <w:right w:val="nil"/>
            </w:tcBorders>
            <w:shd w:val="clear" w:color="auto" w:fill="auto"/>
            <w:vAlign w:val="bottom"/>
          </w:tcPr>
          <w:p w:rsidR="004010AA" w:rsidRDefault="004010AA" w:rsidP="006C43CF">
            <w:pPr>
              <w:spacing w:line="240" w:lineRule="auto"/>
              <w:ind w:firstLine="0"/>
              <w:rPr>
                <w:color w:val="000000"/>
                <w:sz w:val="20"/>
                <w:szCs w:val="20"/>
              </w:rPr>
            </w:pPr>
            <w:r>
              <w:rPr>
                <w:color w:val="000000"/>
                <w:sz w:val="20"/>
                <w:szCs w:val="20"/>
              </w:rPr>
              <w:t>Gelir</w:t>
            </w:r>
          </w:p>
        </w:tc>
        <w:tc>
          <w:tcPr>
            <w:tcW w:w="749" w:type="pct"/>
            <w:tcBorders>
              <w:top w:val="nil"/>
              <w:left w:val="nil"/>
              <w:right w:val="nil"/>
            </w:tcBorders>
            <w:shd w:val="clear" w:color="auto" w:fill="auto"/>
            <w:vAlign w:val="bottom"/>
          </w:tcPr>
          <w:p w:rsidR="004010AA" w:rsidRDefault="004010AA" w:rsidP="006C43CF">
            <w:pPr>
              <w:spacing w:line="240" w:lineRule="auto"/>
              <w:ind w:firstLine="0"/>
              <w:jc w:val="right"/>
              <w:rPr>
                <w:color w:val="000000"/>
                <w:sz w:val="20"/>
                <w:szCs w:val="20"/>
              </w:rPr>
            </w:pPr>
            <w:r>
              <w:rPr>
                <w:color w:val="000000"/>
                <w:sz w:val="20"/>
                <w:szCs w:val="20"/>
              </w:rPr>
              <w:t>-1.09</w:t>
            </w:r>
            <m:oMath>
              <m:sSup>
                <m:sSupPr>
                  <m:ctrlPr>
                    <w:rPr>
                      <w:rFonts w:ascii="Cambria Math" w:eastAsia="Cambria Math" w:hAnsi="Cambria Math" w:cs="Cambria Math"/>
                      <w:color w:val="000000"/>
                      <w:sz w:val="20"/>
                      <w:szCs w:val="20"/>
                    </w:rPr>
                  </m:ctrlPr>
                </m:sSupPr>
                <m:e>
                  <m:r>
                    <w:rPr>
                      <w:rFonts w:ascii="Cambria Math" w:eastAsia="Cambria Math" w:hAnsi="Cambria Math" w:cs="Cambria Math"/>
                      <w:color w:val="000000"/>
                      <w:sz w:val="20"/>
                      <w:szCs w:val="20"/>
                    </w:rPr>
                    <m:t>e</m:t>
                  </m:r>
                </m:e>
                <m:sup>
                  <m:r>
                    <w:rPr>
                      <w:rFonts w:ascii="Cambria Math" w:eastAsia="Cambria Math" w:hAnsi="Cambria Math" w:cs="Cambria Math"/>
                      <w:color w:val="000000"/>
                      <w:sz w:val="20"/>
                      <w:szCs w:val="20"/>
                    </w:rPr>
                    <m:t>-7</m:t>
                  </m:r>
                </m:sup>
              </m:sSup>
            </m:oMath>
            <w:r>
              <w:rPr>
                <w:color w:val="000000"/>
                <w:sz w:val="20"/>
                <w:szCs w:val="20"/>
              </w:rPr>
              <w:t>***</w:t>
            </w:r>
          </w:p>
        </w:tc>
        <w:tc>
          <w:tcPr>
            <w:tcW w:w="569" w:type="pct"/>
            <w:tcBorders>
              <w:top w:val="nil"/>
              <w:left w:val="nil"/>
              <w:right w:val="nil"/>
            </w:tcBorders>
            <w:shd w:val="clear" w:color="auto" w:fill="auto"/>
            <w:vAlign w:val="bottom"/>
          </w:tcPr>
          <w:p w:rsidR="004010AA" w:rsidRDefault="004010AA" w:rsidP="006C43CF">
            <w:pPr>
              <w:spacing w:line="240" w:lineRule="auto"/>
              <w:ind w:firstLine="0"/>
              <w:jc w:val="right"/>
              <w:rPr>
                <w:sz w:val="20"/>
                <w:szCs w:val="20"/>
              </w:rPr>
            </w:pPr>
            <w:r>
              <w:rPr>
                <w:sz w:val="20"/>
                <w:szCs w:val="20"/>
              </w:rPr>
              <w:t>8.39</w:t>
            </w:r>
            <m:oMath>
              <m:sSup>
                <m:sSupPr>
                  <m:ctrlPr>
                    <w:rPr>
                      <w:rFonts w:ascii="Cambria Math" w:eastAsia="Cambria Math" w:hAnsi="Cambria Math" w:cs="Cambria Math"/>
                      <w:color w:val="000000"/>
                      <w:sz w:val="20"/>
                      <w:szCs w:val="20"/>
                    </w:rPr>
                  </m:ctrlPr>
                </m:sSupPr>
                <m:e>
                  <m:r>
                    <w:rPr>
                      <w:rFonts w:ascii="Cambria Math" w:eastAsia="Cambria Math" w:hAnsi="Cambria Math" w:cs="Cambria Math"/>
                      <w:color w:val="000000"/>
                      <w:sz w:val="20"/>
                      <w:szCs w:val="20"/>
                    </w:rPr>
                    <m:t>e</m:t>
                  </m:r>
                </m:e>
                <m:sup>
                  <m:r>
                    <w:rPr>
                      <w:rFonts w:ascii="Cambria Math" w:eastAsia="Cambria Math" w:hAnsi="Cambria Math" w:cs="Cambria Math"/>
                      <w:color w:val="000000"/>
                      <w:sz w:val="20"/>
                      <w:szCs w:val="20"/>
                    </w:rPr>
                    <m:t>-7</m:t>
                  </m:r>
                </m:sup>
              </m:sSup>
            </m:oMath>
          </w:p>
        </w:tc>
        <w:tc>
          <w:tcPr>
            <w:tcW w:w="709" w:type="pct"/>
            <w:tcBorders>
              <w:top w:val="nil"/>
              <w:left w:val="nil"/>
              <w:right w:val="nil"/>
            </w:tcBorders>
            <w:shd w:val="clear" w:color="auto" w:fill="auto"/>
            <w:vAlign w:val="bottom"/>
          </w:tcPr>
          <w:p w:rsidR="004010AA" w:rsidRDefault="004010AA" w:rsidP="006C43CF">
            <w:pPr>
              <w:spacing w:line="240" w:lineRule="auto"/>
              <w:ind w:firstLine="0"/>
              <w:jc w:val="right"/>
              <w:rPr>
                <w:sz w:val="20"/>
                <w:szCs w:val="20"/>
              </w:rPr>
            </w:pPr>
            <w:r>
              <w:rPr>
                <w:sz w:val="20"/>
                <w:szCs w:val="20"/>
              </w:rPr>
              <w:t>0.00052</w:t>
            </w:r>
            <w:r>
              <w:rPr>
                <w:color w:val="000000"/>
                <w:sz w:val="20"/>
                <w:szCs w:val="20"/>
              </w:rPr>
              <w:t>***</w:t>
            </w:r>
          </w:p>
        </w:tc>
        <w:tc>
          <w:tcPr>
            <w:tcW w:w="638" w:type="pct"/>
            <w:tcBorders>
              <w:top w:val="nil"/>
              <w:left w:val="nil"/>
              <w:right w:val="nil"/>
            </w:tcBorders>
            <w:shd w:val="clear" w:color="auto" w:fill="auto"/>
            <w:vAlign w:val="bottom"/>
          </w:tcPr>
          <w:p w:rsidR="004010AA" w:rsidRDefault="004010AA" w:rsidP="006C43CF">
            <w:pPr>
              <w:spacing w:line="240" w:lineRule="auto"/>
              <w:ind w:firstLine="0"/>
              <w:jc w:val="right"/>
              <w:rPr>
                <w:sz w:val="20"/>
                <w:szCs w:val="20"/>
              </w:rPr>
            </w:pPr>
            <w:r>
              <w:rPr>
                <w:sz w:val="20"/>
                <w:szCs w:val="20"/>
              </w:rPr>
              <w:t>3.87</w:t>
            </w:r>
            <m:oMath>
              <m:sSup>
                <m:sSupPr>
                  <m:ctrlPr>
                    <w:rPr>
                      <w:rFonts w:ascii="Cambria Math" w:eastAsia="Cambria Math" w:hAnsi="Cambria Math" w:cs="Cambria Math"/>
                      <w:color w:val="000000"/>
                      <w:sz w:val="20"/>
                      <w:szCs w:val="20"/>
                    </w:rPr>
                  </m:ctrlPr>
                </m:sSupPr>
                <m:e>
                  <m:r>
                    <w:rPr>
                      <w:rFonts w:ascii="Cambria Math" w:eastAsia="Cambria Math" w:hAnsi="Cambria Math" w:cs="Cambria Math"/>
                      <w:color w:val="000000"/>
                      <w:sz w:val="20"/>
                      <w:szCs w:val="20"/>
                    </w:rPr>
                    <m:t>e</m:t>
                  </m:r>
                </m:e>
                <m:sup>
                  <m:r>
                    <w:rPr>
                      <w:rFonts w:ascii="Cambria Math" w:eastAsia="Cambria Math" w:hAnsi="Cambria Math" w:cs="Cambria Math"/>
                      <w:color w:val="000000"/>
                      <w:sz w:val="20"/>
                      <w:szCs w:val="20"/>
                    </w:rPr>
                    <m:t>-7</m:t>
                  </m:r>
                </m:sup>
              </m:sSup>
            </m:oMath>
          </w:p>
        </w:tc>
        <w:tc>
          <w:tcPr>
            <w:tcW w:w="1044" w:type="pct"/>
            <w:tcBorders>
              <w:top w:val="nil"/>
              <w:left w:val="nil"/>
              <w:right w:val="nil"/>
            </w:tcBorders>
            <w:shd w:val="clear" w:color="auto" w:fill="auto"/>
            <w:vAlign w:val="bottom"/>
          </w:tcPr>
          <w:p w:rsidR="004010AA" w:rsidRDefault="004010AA" w:rsidP="006C43CF">
            <w:pPr>
              <w:spacing w:line="240" w:lineRule="auto"/>
              <w:ind w:firstLine="0"/>
              <w:jc w:val="right"/>
              <w:rPr>
                <w:sz w:val="20"/>
                <w:szCs w:val="20"/>
              </w:rPr>
            </w:pPr>
            <w:r>
              <w:rPr>
                <w:sz w:val="20"/>
                <w:szCs w:val="20"/>
              </w:rPr>
              <w:t>-1.02</w:t>
            </w:r>
            <m:oMath>
              <m:sSup>
                <m:sSupPr>
                  <m:ctrlPr>
                    <w:rPr>
                      <w:rFonts w:ascii="Cambria Math" w:eastAsia="Cambria Math" w:hAnsi="Cambria Math" w:cs="Cambria Math"/>
                      <w:color w:val="000000"/>
                      <w:sz w:val="20"/>
                      <w:szCs w:val="20"/>
                    </w:rPr>
                  </m:ctrlPr>
                </m:sSupPr>
                <m:e>
                  <m:r>
                    <w:rPr>
                      <w:rFonts w:ascii="Cambria Math" w:eastAsia="Cambria Math" w:hAnsi="Cambria Math" w:cs="Cambria Math"/>
                      <w:color w:val="000000"/>
                      <w:sz w:val="20"/>
                      <w:szCs w:val="20"/>
                    </w:rPr>
                    <m:t>e</m:t>
                  </m:r>
                </m:e>
                <m:sup>
                  <m:r>
                    <w:rPr>
                      <w:rFonts w:ascii="Cambria Math" w:eastAsia="Cambria Math" w:hAnsi="Cambria Math" w:cs="Cambria Math"/>
                      <w:color w:val="000000"/>
                      <w:sz w:val="20"/>
                      <w:szCs w:val="20"/>
                    </w:rPr>
                    <m:t>-7</m:t>
                  </m:r>
                </m:sup>
              </m:sSup>
            </m:oMath>
            <w:r>
              <w:rPr>
                <w:color w:val="000000"/>
                <w:sz w:val="20"/>
                <w:szCs w:val="20"/>
              </w:rPr>
              <w:t>***</w:t>
            </w:r>
          </w:p>
        </w:tc>
        <w:tc>
          <w:tcPr>
            <w:tcW w:w="677" w:type="pct"/>
            <w:tcBorders>
              <w:top w:val="nil"/>
              <w:left w:val="nil"/>
              <w:right w:val="nil"/>
            </w:tcBorders>
            <w:shd w:val="clear" w:color="auto" w:fill="auto"/>
            <w:vAlign w:val="bottom"/>
          </w:tcPr>
          <w:p w:rsidR="004010AA" w:rsidRDefault="004010AA" w:rsidP="006C43CF">
            <w:pPr>
              <w:spacing w:line="240" w:lineRule="auto"/>
              <w:ind w:firstLine="0"/>
              <w:jc w:val="right"/>
              <w:rPr>
                <w:sz w:val="20"/>
                <w:szCs w:val="20"/>
              </w:rPr>
            </w:pPr>
            <w:r>
              <w:rPr>
                <w:sz w:val="20"/>
                <w:szCs w:val="20"/>
              </w:rPr>
              <w:t>7.93</w:t>
            </w:r>
            <m:oMath>
              <m:sSup>
                <m:sSupPr>
                  <m:ctrlPr>
                    <w:rPr>
                      <w:rFonts w:ascii="Cambria Math" w:eastAsia="Cambria Math" w:hAnsi="Cambria Math" w:cs="Cambria Math"/>
                      <w:color w:val="000000"/>
                      <w:sz w:val="20"/>
                      <w:szCs w:val="20"/>
                    </w:rPr>
                  </m:ctrlPr>
                </m:sSupPr>
                <m:e>
                  <m:r>
                    <w:rPr>
                      <w:rFonts w:ascii="Cambria Math" w:eastAsia="Cambria Math" w:hAnsi="Cambria Math" w:cs="Cambria Math"/>
                      <w:color w:val="000000"/>
                      <w:sz w:val="20"/>
                      <w:szCs w:val="20"/>
                    </w:rPr>
                    <m:t>e</m:t>
                  </m:r>
                </m:e>
                <m:sup>
                  <m:r>
                    <w:rPr>
                      <w:rFonts w:ascii="Cambria Math" w:eastAsia="Cambria Math" w:hAnsi="Cambria Math" w:cs="Cambria Math"/>
                      <w:color w:val="000000"/>
                      <w:sz w:val="20"/>
                      <w:szCs w:val="20"/>
                    </w:rPr>
                    <m:t>-7</m:t>
                  </m:r>
                </m:sup>
              </m:sSup>
            </m:oMath>
          </w:p>
        </w:tc>
      </w:tr>
      <w:tr w:rsidR="0037515D" w:rsidTr="0037515D">
        <w:trPr>
          <w:trHeight w:val="243"/>
        </w:trPr>
        <w:tc>
          <w:tcPr>
            <w:tcW w:w="614" w:type="pct"/>
            <w:tcBorders>
              <w:left w:val="nil"/>
              <w:bottom w:val="single" w:sz="4" w:space="0" w:color="000000"/>
              <w:right w:val="nil"/>
            </w:tcBorders>
            <w:shd w:val="clear" w:color="auto" w:fill="auto"/>
            <w:vAlign w:val="bottom"/>
          </w:tcPr>
          <w:p w:rsidR="0037515D" w:rsidRDefault="0037515D" w:rsidP="006C43CF">
            <w:pPr>
              <w:spacing w:line="240" w:lineRule="auto"/>
              <w:ind w:firstLine="0"/>
              <w:rPr>
                <w:color w:val="000000"/>
                <w:sz w:val="20"/>
                <w:szCs w:val="20"/>
              </w:rPr>
            </w:pPr>
            <w:r>
              <w:rPr>
                <w:color w:val="000000"/>
                <w:sz w:val="20"/>
                <w:szCs w:val="20"/>
              </w:rPr>
              <w:t>Sigma</w:t>
            </w:r>
          </w:p>
        </w:tc>
        <w:tc>
          <w:tcPr>
            <w:tcW w:w="1318" w:type="pct"/>
            <w:gridSpan w:val="2"/>
            <w:tcBorders>
              <w:left w:val="nil"/>
              <w:bottom w:val="single" w:sz="4" w:space="0" w:color="000000"/>
              <w:right w:val="nil"/>
            </w:tcBorders>
            <w:shd w:val="clear" w:color="auto" w:fill="auto"/>
            <w:vAlign w:val="bottom"/>
          </w:tcPr>
          <w:p w:rsidR="0037515D" w:rsidRDefault="0037515D" w:rsidP="0037515D">
            <w:pPr>
              <w:spacing w:line="240" w:lineRule="auto"/>
              <w:ind w:firstLine="0"/>
              <w:jc w:val="center"/>
              <w:rPr>
                <w:color w:val="000000"/>
                <w:sz w:val="20"/>
                <w:szCs w:val="20"/>
              </w:rPr>
            </w:pPr>
            <w:r>
              <w:rPr>
                <w:color w:val="000000"/>
                <w:sz w:val="20"/>
                <w:szCs w:val="20"/>
              </w:rPr>
              <w:t>278.168</w:t>
            </w:r>
          </w:p>
        </w:tc>
        <w:tc>
          <w:tcPr>
            <w:tcW w:w="1347" w:type="pct"/>
            <w:gridSpan w:val="2"/>
            <w:tcBorders>
              <w:left w:val="nil"/>
              <w:bottom w:val="single" w:sz="4" w:space="0" w:color="000000"/>
              <w:right w:val="nil"/>
            </w:tcBorders>
            <w:shd w:val="clear" w:color="auto" w:fill="auto"/>
            <w:vAlign w:val="bottom"/>
          </w:tcPr>
          <w:p w:rsidR="0037515D" w:rsidRDefault="0037515D" w:rsidP="0037515D">
            <w:pPr>
              <w:spacing w:line="240" w:lineRule="auto"/>
              <w:ind w:firstLine="0"/>
              <w:jc w:val="center"/>
              <w:rPr>
                <w:sz w:val="20"/>
                <w:szCs w:val="20"/>
              </w:rPr>
            </w:pPr>
            <w:r>
              <w:rPr>
                <w:color w:val="000000"/>
                <w:sz w:val="20"/>
                <w:szCs w:val="20"/>
              </w:rPr>
              <w:t>0.21910</w:t>
            </w:r>
          </w:p>
        </w:tc>
        <w:tc>
          <w:tcPr>
            <w:tcW w:w="1044" w:type="pct"/>
            <w:tcBorders>
              <w:left w:val="nil"/>
              <w:bottom w:val="single" w:sz="4" w:space="0" w:color="000000"/>
              <w:right w:val="nil"/>
            </w:tcBorders>
            <w:shd w:val="clear" w:color="auto" w:fill="auto"/>
            <w:vAlign w:val="bottom"/>
          </w:tcPr>
          <w:p w:rsidR="0037515D" w:rsidRDefault="0037515D" w:rsidP="006C43CF">
            <w:pPr>
              <w:spacing w:line="240" w:lineRule="auto"/>
              <w:ind w:firstLine="0"/>
              <w:jc w:val="right"/>
              <w:rPr>
                <w:sz w:val="20"/>
                <w:szCs w:val="20"/>
              </w:rPr>
            </w:pPr>
            <w:r>
              <w:rPr>
                <w:sz w:val="20"/>
                <w:szCs w:val="20"/>
              </w:rPr>
              <w:t>1.05479</w:t>
            </w:r>
          </w:p>
        </w:tc>
        <w:tc>
          <w:tcPr>
            <w:tcW w:w="677" w:type="pct"/>
            <w:tcBorders>
              <w:left w:val="nil"/>
              <w:bottom w:val="single" w:sz="4" w:space="0" w:color="000000"/>
              <w:right w:val="nil"/>
            </w:tcBorders>
            <w:shd w:val="clear" w:color="auto" w:fill="auto"/>
            <w:vAlign w:val="bottom"/>
          </w:tcPr>
          <w:p w:rsidR="0037515D" w:rsidRDefault="0037515D" w:rsidP="006C43CF">
            <w:pPr>
              <w:spacing w:line="240" w:lineRule="auto"/>
              <w:ind w:firstLine="0"/>
              <w:jc w:val="right"/>
              <w:rPr>
                <w:sz w:val="20"/>
                <w:szCs w:val="20"/>
              </w:rPr>
            </w:pPr>
            <w:r>
              <w:rPr>
                <w:sz w:val="20"/>
                <w:szCs w:val="20"/>
              </w:rPr>
              <w:t>0.00029</w:t>
            </w:r>
          </w:p>
        </w:tc>
      </w:tr>
      <w:tr w:rsidR="004010AA" w:rsidTr="004328DA">
        <w:trPr>
          <w:trHeight w:val="243"/>
        </w:trPr>
        <w:tc>
          <w:tcPr>
            <w:tcW w:w="614" w:type="pct"/>
            <w:tcBorders>
              <w:top w:val="single" w:sz="4" w:space="0" w:color="000000"/>
              <w:left w:val="nil"/>
              <w:bottom w:val="nil"/>
              <w:right w:val="nil"/>
            </w:tcBorders>
            <w:shd w:val="clear" w:color="auto" w:fill="auto"/>
            <w:vAlign w:val="bottom"/>
          </w:tcPr>
          <w:p w:rsidR="004010AA" w:rsidRDefault="004010AA" w:rsidP="006C43CF">
            <w:pPr>
              <w:spacing w:line="240" w:lineRule="auto"/>
              <w:ind w:firstLine="0"/>
              <w:rPr>
                <w:color w:val="000000"/>
                <w:sz w:val="20"/>
                <w:szCs w:val="20"/>
              </w:rPr>
            </w:pPr>
            <w:r>
              <w:rPr>
                <w:color w:val="000000"/>
                <w:sz w:val="20"/>
                <w:szCs w:val="20"/>
              </w:rPr>
              <w:t>Chi</w:t>
            </w:r>
            <w:r>
              <w:rPr>
                <w:color w:val="000000"/>
                <w:sz w:val="20"/>
                <w:szCs w:val="20"/>
                <w:vertAlign w:val="superscript"/>
              </w:rPr>
              <w:t>2</w:t>
            </w:r>
          </w:p>
        </w:tc>
        <w:tc>
          <w:tcPr>
            <w:tcW w:w="2665" w:type="pct"/>
            <w:gridSpan w:val="4"/>
            <w:tcBorders>
              <w:top w:val="single" w:sz="4" w:space="0" w:color="000000"/>
              <w:left w:val="nil"/>
              <w:bottom w:val="nil"/>
              <w:right w:val="nil"/>
            </w:tcBorders>
            <w:shd w:val="clear" w:color="auto" w:fill="auto"/>
            <w:vAlign w:val="bottom"/>
          </w:tcPr>
          <w:p w:rsidR="004010AA" w:rsidRDefault="004010AA" w:rsidP="006C43CF">
            <w:pPr>
              <w:spacing w:line="240" w:lineRule="auto"/>
              <w:ind w:firstLine="0"/>
              <w:jc w:val="center"/>
              <w:rPr>
                <w:sz w:val="20"/>
                <w:szCs w:val="20"/>
              </w:rPr>
            </w:pPr>
            <w:r>
              <w:rPr>
                <w:sz w:val="20"/>
                <w:szCs w:val="20"/>
              </w:rPr>
              <w:t>46321.75</w:t>
            </w:r>
          </w:p>
        </w:tc>
        <w:tc>
          <w:tcPr>
            <w:tcW w:w="1721" w:type="pct"/>
            <w:gridSpan w:val="2"/>
            <w:tcBorders>
              <w:top w:val="single" w:sz="4" w:space="0" w:color="000000"/>
              <w:left w:val="nil"/>
              <w:bottom w:val="nil"/>
              <w:right w:val="nil"/>
            </w:tcBorders>
            <w:shd w:val="clear" w:color="auto" w:fill="auto"/>
            <w:vAlign w:val="bottom"/>
          </w:tcPr>
          <w:p w:rsidR="004010AA" w:rsidRDefault="004010AA" w:rsidP="006C43CF">
            <w:pPr>
              <w:spacing w:line="240" w:lineRule="auto"/>
              <w:ind w:firstLine="0"/>
              <w:jc w:val="center"/>
              <w:rPr>
                <w:color w:val="000000"/>
                <w:sz w:val="20"/>
                <w:szCs w:val="20"/>
              </w:rPr>
            </w:pPr>
            <w:r>
              <w:rPr>
                <w:color w:val="000000"/>
                <w:sz w:val="20"/>
                <w:szCs w:val="20"/>
              </w:rPr>
              <w:t>14009.13</w:t>
            </w:r>
          </w:p>
        </w:tc>
      </w:tr>
      <w:tr w:rsidR="004010AA" w:rsidTr="004328DA">
        <w:trPr>
          <w:trHeight w:val="243"/>
        </w:trPr>
        <w:tc>
          <w:tcPr>
            <w:tcW w:w="614" w:type="pct"/>
            <w:tcBorders>
              <w:top w:val="nil"/>
              <w:left w:val="nil"/>
              <w:bottom w:val="nil"/>
              <w:right w:val="nil"/>
            </w:tcBorders>
            <w:shd w:val="clear" w:color="auto" w:fill="auto"/>
            <w:vAlign w:val="bottom"/>
          </w:tcPr>
          <w:p w:rsidR="004010AA" w:rsidRDefault="004010AA" w:rsidP="006C43CF">
            <w:pPr>
              <w:spacing w:line="240" w:lineRule="auto"/>
              <w:ind w:firstLine="0"/>
              <w:rPr>
                <w:sz w:val="20"/>
                <w:szCs w:val="20"/>
              </w:rPr>
            </w:pPr>
            <w:r>
              <w:rPr>
                <w:sz w:val="20"/>
                <w:szCs w:val="20"/>
              </w:rPr>
              <w:t>Prob</w:t>
            </w:r>
          </w:p>
        </w:tc>
        <w:tc>
          <w:tcPr>
            <w:tcW w:w="2665" w:type="pct"/>
            <w:gridSpan w:val="4"/>
            <w:tcBorders>
              <w:top w:val="nil"/>
              <w:left w:val="nil"/>
              <w:bottom w:val="nil"/>
              <w:right w:val="nil"/>
            </w:tcBorders>
            <w:shd w:val="clear" w:color="auto" w:fill="auto"/>
            <w:vAlign w:val="bottom"/>
          </w:tcPr>
          <w:p w:rsidR="004010AA" w:rsidRDefault="004010AA" w:rsidP="006C43CF">
            <w:pPr>
              <w:spacing w:line="240" w:lineRule="auto"/>
              <w:ind w:firstLine="0"/>
              <w:jc w:val="center"/>
              <w:rPr>
                <w:sz w:val="20"/>
                <w:szCs w:val="20"/>
              </w:rPr>
            </w:pPr>
            <w:r>
              <w:rPr>
                <w:sz w:val="20"/>
                <w:szCs w:val="20"/>
              </w:rPr>
              <w:t>0.000</w:t>
            </w:r>
          </w:p>
        </w:tc>
        <w:tc>
          <w:tcPr>
            <w:tcW w:w="1721" w:type="pct"/>
            <w:gridSpan w:val="2"/>
            <w:tcBorders>
              <w:top w:val="nil"/>
              <w:left w:val="nil"/>
              <w:bottom w:val="nil"/>
              <w:right w:val="nil"/>
            </w:tcBorders>
            <w:shd w:val="clear" w:color="auto" w:fill="auto"/>
            <w:vAlign w:val="bottom"/>
          </w:tcPr>
          <w:p w:rsidR="004010AA" w:rsidRDefault="004010AA" w:rsidP="006C43CF">
            <w:pPr>
              <w:spacing w:line="240" w:lineRule="auto"/>
              <w:ind w:firstLine="0"/>
              <w:jc w:val="center"/>
              <w:rPr>
                <w:color w:val="000000"/>
                <w:sz w:val="20"/>
                <w:szCs w:val="20"/>
              </w:rPr>
            </w:pPr>
            <w:r>
              <w:rPr>
                <w:color w:val="000000"/>
                <w:sz w:val="20"/>
                <w:szCs w:val="20"/>
              </w:rPr>
              <w:t>0.000</w:t>
            </w:r>
          </w:p>
        </w:tc>
      </w:tr>
      <w:tr w:rsidR="004010AA" w:rsidTr="004328DA">
        <w:trPr>
          <w:trHeight w:val="88"/>
        </w:trPr>
        <w:tc>
          <w:tcPr>
            <w:tcW w:w="614" w:type="pct"/>
            <w:tcBorders>
              <w:top w:val="nil"/>
              <w:left w:val="nil"/>
              <w:bottom w:val="nil"/>
              <w:right w:val="nil"/>
            </w:tcBorders>
            <w:shd w:val="clear" w:color="auto" w:fill="auto"/>
            <w:vAlign w:val="bottom"/>
          </w:tcPr>
          <w:p w:rsidR="004010AA" w:rsidRDefault="004010AA" w:rsidP="006C43CF">
            <w:pPr>
              <w:spacing w:line="240" w:lineRule="auto"/>
              <w:ind w:firstLine="0"/>
              <w:rPr>
                <w:sz w:val="20"/>
                <w:szCs w:val="20"/>
              </w:rPr>
            </w:pPr>
            <w:r>
              <w:rPr>
                <w:sz w:val="20"/>
                <w:szCs w:val="20"/>
              </w:rPr>
              <w:t xml:space="preserve">Pseudo </w:t>
            </w:r>
            <m:oMath>
              <m:sSup>
                <m:sSupPr>
                  <m:ctrlPr>
                    <w:rPr>
                      <w:rFonts w:ascii="Cambria Math" w:eastAsia="Cambria Math" w:hAnsi="Cambria Math" w:cs="Cambria Math"/>
                      <w:sz w:val="20"/>
                      <w:szCs w:val="20"/>
                    </w:rPr>
                  </m:ctrlPr>
                </m:sSupPr>
                <m:e>
                  <m:r>
                    <w:rPr>
                      <w:rFonts w:ascii="Cambria Math" w:eastAsia="Cambria Math" w:hAnsi="Cambria Math" w:cs="Cambria Math"/>
                      <w:sz w:val="20"/>
                      <w:szCs w:val="20"/>
                    </w:rPr>
                    <m:t>R</m:t>
                  </m:r>
                </m:e>
                <m:sup>
                  <m:r>
                    <w:rPr>
                      <w:rFonts w:ascii="Cambria Math" w:eastAsia="Cambria Math" w:hAnsi="Cambria Math" w:cs="Cambria Math"/>
                      <w:sz w:val="20"/>
                      <w:szCs w:val="20"/>
                    </w:rPr>
                    <m:t>2</m:t>
                  </m:r>
                </m:sup>
              </m:sSup>
            </m:oMath>
          </w:p>
        </w:tc>
        <w:tc>
          <w:tcPr>
            <w:tcW w:w="2665" w:type="pct"/>
            <w:gridSpan w:val="4"/>
            <w:tcBorders>
              <w:top w:val="nil"/>
              <w:left w:val="nil"/>
              <w:bottom w:val="nil"/>
              <w:right w:val="nil"/>
            </w:tcBorders>
            <w:shd w:val="clear" w:color="auto" w:fill="auto"/>
            <w:vAlign w:val="bottom"/>
          </w:tcPr>
          <w:p w:rsidR="004010AA" w:rsidRDefault="004010AA" w:rsidP="006C43CF">
            <w:pPr>
              <w:spacing w:line="240" w:lineRule="auto"/>
              <w:ind w:firstLine="0"/>
              <w:jc w:val="center"/>
              <w:rPr>
                <w:sz w:val="20"/>
                <w:szCs w:val="20"/>
              </w:rPr>
            </w:pPr>
            <w:r>
              <w:rPr>
                <w:sz w:val="20"/>
                <w:szCs w:val="20"/>
              </w:rPr>
              <w:t>0.0005</w:t>
            </w:r>
          </w:p>
        </w:tc>
        <w:tc>
          <w:tcPr>
            <w:tcW w:w="1721" w:type="pct"/>
            <w:gridSpan w:val="2"/>
            <w:tcBorders>
              <w:top w:val="nil"/>
              <w:left w:val="nil"/>
              <w:bottom w:val="nil"/>
              <w:right w:val="nil"/>
            </w:tcBorders>
            <w:shd w:val="clear" w:color="auto" w:fill="auto"/>
            <w:vAlign w:val="bottom"/>
          </w:tcPr>
          <w:p w:rsidR="004010AA" w:rsidRDefault="004010AA" w:rsidP="006C43CF">
            <w:pPr>
              <w:spacing w:line="240" w:lineRule="auto"/>
              <w:ind w:firstLine="0"/>
              <w:jc w:val="center"/>
              <w:rPr>
                <w:color w:val="000000"/>
                <w:sz w:val="20"/>
                <w:szCs w:val="20"/>
              </w:rPr>
            </w:pPr>
            <w:r>
              <w:rPr>
                <w:color w:val="000000"/>
                <w:sz w:val="20"/>
                <w:szCs w:val="20"/>
              </w:rPr>
              <w:t>0.0003</w:t>
            </w:r>
          </w:p>
        </w:tc>
      </w:tr>
      <w:tr w:rsidR="004010AA" w:rsidTr="004328DA">
        <w:trPr>
          <w:trHeight w:val="243"/>
        </w:trPr>
        <w:tc>
          <w:tcPr>
            <w:tcW w:w="614" w:type="pct"/>
            <w:tcBorders>
              <w:top w:val="nil"/>
              <w:left w:val="nil"/>
              <w:bottom w:val="nil"/>
              <w:right w:val="nil"/>
            </w:tcBorders>
            <w:shd w:val="clear" w:color="auto" w:fill="auto"/>
            <w:vAlign w:val="bottom"/>
          </w:tcPr>
          <w:p w:rsidR="004010AA" w:rsidRDefault="004010AA" w:rsidP="006C43CF">
            <w:pPr>
              <w:spacing w:line="240" w:lineRule="auto"/>
              <w:ind w:firstLine="0"/>
              <w:rPr>
                <w:sz w:val="20"/>
                <w:szCs w:val="20"/>
              </w:rPr>
            </w:pPr>
            <w:r>
              <w:rPr>
                <w:sz w:val="20"/>
                <w:szCs w:val="20"/>
              </w:rPr>
              <w:t>LR</w:t>
            </w:r>
          </w:p>
        </w:tc>
        <w:tc>
          <w:tcPr>
            <w:tcW w:w="2665" w:type="pct"/>
            <w:gridSpan w:val="4"/>
            <w:tcBorders>
              <w:top w:val="nil"/>
              <w:left w:val="nil"/>
              <w:bottom w:val="nil"/>
              <w:right w:val="nil"/>
            </w:tcBorders>
            <w:shd w:val="clear" w:color="auto" w:fill="auto"/>
            <w:vAlign w:val="bottom"/>
          </w:tcPr>
          <w:p w:rsidR="004010AA" w:rsidRDefault="004010AA" w:rsidP="006C43CF">
            <w:pPr>
              <w:spacing w:line="240" w:lineRule="auto"/>
              <w:ind w:firstLine="0"/>
              <w:jc w:val="center"/>
              <w:rPr>
                <w:sz w:val="20"/>
                <w:szCs w:val="20"/>
              </w:rPr>
            </w:pPr>
            <w:r>
              <w:rPr>
                <w:sz w:val="20"/>
                <w:szCs w:val="20"/>
              </w:rPr>
              <w:t>-6.898</w:t>
            </w:r>
            <m:oMath>
              <m:sSup>
                <m:sSupPr>
                  <m:ctrlPr>
                    <w:rPr>
                      <w:rFonts w:ascii="Cambria Math" w:eastAsia="Cambria Math" w:hAnsi="Cambria Math" w:cs="Cambria Math"/>
                      <w:color w:val="000000"/>
                      <w:sz w:val="20"/>
                      <w:szCs w:val="20"/>
                    </w:rPr>
                  </m:ctrlPr>
                </m:sSupPr>
                <m:e>
                  <m:r>
                    <w:rPr>
                      <w:rFonts w:ascii="Cambria Math" w:eastAsia="Cambria Math" w:hAnsi="Cambria Math" w:cs="Cambria Math"/>
                      <w:color w:val="000000"/>
                      <w:sz w:val="20"/>
                      <w:szCs w:val="20"/>
                    </w:rPr>
                    <m:t>e</m:t>
                  </m:r>
                </m:e>
                <m:sup>
                  <m:r>
                    <w:rPr>
                      <w:rFonts w:ascii="Cambria Math" w:eastAsia="Cambria Math" w:hAnsi="Cambria Math" w:cs="Cambria Math"/>
                      <w:color w:val="000000"/>
                      <w:sz w:val="20"/>
                      <w:szCs w:val="20"/>
                    </w:rPr>
                    <m:t>+7</m:t>
                  </m:r>
                </m:sup>
              </m:sSup>
            </m:oMath>
          </w:p>
        </w:tc>
        <w:tc>
          <w:tcPr>
            <w:tcW w:w="1721" w:type="pct"/>
            <w:gridSpan w:val="2"/>
            <w:tcBorders>
              <w:top w:val="nil"/>
              <w:left w:val="nil"/>
              <w:bottom w:val="nil"/>
              <w:right w:val="nil"/>
            </w:tcBorders>
            <w:shd w:val="clear" w:color="auto" w:fill="auto"/>
            <w:vAlign w:val="bottom"/>
          </w:tcPr>
          <w:p w:rsidR="004010AA" w:rsidRDefault="004010AA" w:rsidP="006C43CF">
            <w:pPr>
              <w:spacing w:line="240" w:lineRule="auto"/>
              <w:ind w:firstLine="0"/>
              <w:jc w:val="center"/>
              <w:rPr>
                <w:color w:val="000000"/>
                <w:sz w:val="20"/>
                <w:szCs w:val="20"/>
              </w:rPr>
            </w:pPr>
            <w:r>
              <w:rPr>
                <w:color w:val="000000"/>
                <w:sz w:val="20"/>
                <w:szCs w:val="20"/>
              </w:rPr>
              <w:t>-2.108</w:t>
            </w:r>
            <m:oMath>
              <m:sSup>
                <m:sSupPr>
                  <m:ctrlPr>
                    <w:rPr>
                      <w:rFonts w:ascii="Cambria Math" w:eastAsia="Cambria Math" w:hAnsi="Cambria Math" w:cs="Cambria Math"/>
                      <w:color w:val="000000"/>
                      <w:sz w:val="20"/>
                      <w:szCs w:val="20"/>
                    </w:rPr>
                  </m:ctrlPr>
                </m:sSupPr>
                <m:e>
                  <m:r>
                    <w:rPr>
                      <w:rFonts w:ascii="Cambria Math" w:eastAsia="Cambria Math" w:hAnsi="Cambria Math" w:cs="Cambria Math"/>
                      <w:color w:val="000000"/>
                      <w:sz w:val="20"/>
                      <w:szCs w:val="20"/>
                    </w:rPr>
                    <m:t>e</m:t>
                  </m:r>
                </m:e>
                <m:sup>
                  <m:r>
                    <w:rPr>
                      <w:rFonts w:ascii="Cambria Math" w:eastAsia="Cambria Math" w:hAnsi="Cambria Math" w:cs="Cambria Math"/>
                      <w:color w:val="000000"/>
                      <w:sz w:val="20"/>
                      <w:szCs w:val="20"/>
                    </w:rPr>
                    <m:t>+7</m:t>
                  </m:r>
                </m:sup>
              </m:sSup>
            </m:oMath>
          </w:p>
        </w:tc>
      </w:tr>
      <w:tr w:rsidR="004010AA" w:rsidTr="004328DA">
        <w:trPr>
          <w:trHeight w:val="243"/>
        </w:trPr>
        <w:tc>
          <w:tcPr>
            <w:tcW w:w="614" w:type="pct"/>
            <w:tcBorders>
              <w:top w:val="nil"/>
              <w:left w:val="nil"/>
              <w:right w:val="nil"/>
            </w:tcBorders>
            <w:shd w:val="clear" w:color="auto" w:fill="auto"/>
            <w:vAlign w:val="bottom"/>
          </w:tcPr>
          <w:p w:rsidR="004010AA" w:rsidRDefault="004010AA" w:rsidP="006C43CF">
            <w:pPr>
              <w:spacing w:line="240" w:lineRule="auto"/>
              <w:ind w:firstLine="0"/>
              <w:rPr>
                <w:sz w:val="20"/>
                <w:szCs w:val="20"/>
              </w:rPr>
            </w:pPr>
            <w:r>
              <w:rPr>
                <w:sz w:val="20"/>
                <w:szCs w:val="20"/>
              </w:rPr>
              <w:t>AIC</w:t>
            </w:r>
          </w:p>
        </w:tc>
        <w:tc>
          <w:tcPr>
            <w:tcW w:w="2665" w:type="pct"/>
            <w:gridSpan w:val="4"/>
            <w:tcBorders>
              <w:top w:val="nil"/>
              <w:left w:val="nil"/>
              <w:right w:val="nil"/>
            </w:tcBorders>
            <w:shd w:val="clear" w:color="auto" w:fill="auto"/>
            <w:vAlign w:val="bottom"/>
          </w:tcPr>
          <w:p w:rsidR="004010AA" w:rsidRDefault="004010AA" w:rsidP="006C43CF">
            <w:pPr>
              <w:spacing w:line="240" w:lineRule="auto"/>
              <w:ind w:firstLine="0"/>
              <w:jc w:val="center"/>
              <w:rPr>
                <w:sz w:val="20"/>
                <w:szCs w:val="20"/>
              </w:rPr>
            </w:pPr>
            <w:r>
              <w:rPr>
                <w:sz w:val="20"/>
                <w:szCs w:val="20"/>
              </w:rPr>
              <w:t>1.38</w:t>
            </w:r>
            <m:oMath>
              <m:sSup>
                <m:sSupPr>
                  <m:ctrlPr>
                    <w:rPr>
                      <w:rFonts w:ascii="Cambria Math" w:eastAsia="Cambria Math" w:hAnsi="Cambria Math" w:cs="Cambria Math"/>
                      <w:color w:val="000000"/>
                      <w:sz w:val="20"/>
                      <w:szCs w:val="20"/>
                    </w:rPr>
                  </m:ctrlPr>
                </m:sSupPr>
                <m:e>
                  <m:r>
                    <w:rPr>
                      <w:rFonts w:ascii="Cambria Math" w:eastAsia="Cambria Math" w:hAnsi="Cambria Math" w:cs="Cambria Math"/>
                      <w:color w:val="000000"/>
                      <w:sz w:val="20"/>
                      <w:szCs w:val="20"/>
                    </w:rPr>
                    <m:t>e</m:t>
                  </m:r>
                </m:e>
                <m:sup>
                  <m:r>
                    <w:rPr>
                      <w:rFonts w:ascii="Cambria Math" w:eastAsia="Cambria Math" w:hAnsi="Cambria Math" w:cs="Cambria Math"/>
                      <w:color w:val="000000"/>
                      <w:sz w:val="20"/>
                      <w:szCs w:val="20"/>
                    </w:rPr>
                    <m:t>+8</m:t>
                  </m:r>
                </m:sup>
              </m:sSup>
            </m:oMath>
          </w:p>
        </w:tc>
        <w:tc>
          <w:tcPr>
            <w:tcW w:w="1721" w:type="pct"/>
            <w:gridSpan w:val="2"/>
            <w:tcBorders>
              <w:top w:val="nil"/>
              <w:left w:val="nil"/>
              <w:right w:val="nil"/>
            </w:tcBorders>
            <w:shd w:val="clear" w:color="auto" w:fill="auto"/>
            <w:vAlign w:val="bottom"/>
          </w:tcPr>
          <w:p w:rsidR="004010AA" w:rsidRDefault="004010AA" w:rsidP="006C43CF">
            <w:pPr>
              <w:spacing w:line="240" w:lineRule="auto"/>
              <w:ind w:firstLine="0"/>
              <w:jc w:val="center"/>
              <w:rPr>
                <w:color w:val="000000"/>
                <w:sz w:val="20"/>
                <w:szCs w:val="20"/>
              </w:rPr>
            </w:pPr>
            <w:r>
              <w:rPr>
                <w:color w:val="000000"/>
                <w:sz w:val="20"/>
                <w:szCs w:val="20"/>
              </w:rPr>
              <w:t>4.22</w:t>
            </w:r>
            <m:oMath>
              <m:sSup>
                <m:sSupPr>
                  <m:ctrlPr>
                    <w:rPr>
                      <w:rFonts w:ascii="Cambria Math" w:eastAsia="Cambria Math" w:hAnsi="Cambria Math" w:cs="Cambria Math"/>
                      <w:color w:val="000000"/>
                      <w:sz w:val="20"/>
                      <w:szCs w:val="20"/>
                    </w:rPr>
                  </m:ctrlPr>
                </m:sSupPr>
                <m:e>
                  <m:r>
                    <w:rPr>
                      <w:rFonts w:ascii="Cambria Math" w:eastAsia="Cambria Math" w:hAnsi="Cambria Math" w:cs="Cambria Math"/>
                      <w:color w:val="000000"/>
                      <w:sz w:val="20"/>
                      <w:szCs w:val="20"/>
                    </w:rPr>
                    <m:t>e</m:t>
                  </m:r>
                </m:e>
                <m:sup>
                  <m:r>
                    <w:rPr>
                      <w:rFonts w:ascii="Cambria Math" w:eastAsia="Cambria Math" w:hAnsi="Cambria Math" w:cs="Cambria Math"/>
                      <w:color w:val="000000"/>
                      <w:sz w:val="20"/>
                      <w:szCs w:val="20"/>
                    </w:rPr>
                    <m:t>+7</m:t>
                  </m:r>
                </m:sup>
              </m:sSup>
            </m:oMath>
          </w:p>
        </w:tc>
      </w:tr>
      <w:tr w:rsidR="004010AA" w:rsidTr="004328DA">
        <w:trPr>
          <w:trHeight w:val="243"/>
        </w:trPr>
        <w:tc>
          <w:tcPr>
            <w:tcW w:w="614" w:type="pct"/>
            <w:tcBorders>
              <w:top w:val="nil"/>
              <w:left w:val="nil"/>
              <w:bottom w:val="single" w:sz="4" w:space="0" w:color="000000"/>
              <w:right w:val="nil"/>
            </w:tcBorders>
            <w:shd w:val="clear" w:color="auto" w:fill="auto"/>
            <w:vAlign w:val="bottom"/>
          </w:tcPr>
          <w:p w:rsidR="004010AA" w:rsidRDefault="004010AA" w:rsidP="006C43CF">
            <w:pPr>
              <w:spacing w:line="240" w:lineRule="auto"/>
              <w:ind w:firstLine="0"/>
              <w:rPr>
                <w:color w:val="000000"/>
                <w:sz w:val="20"/>
                <w:szCs w:val="20"/>
              </w:rPr>
            </w:pPr>
            <w:r>
              <w:rPr>
                <w:sz w:val="20"/>
                <w:szCs w:val="20"/>
              </w:rPr>
              <w:t>BIC</w:t>
            </w:r>
          </w:p>
        </w:tc>
        <w:tc>
          <w:tcPr>
            <w:tcW w:w="2665" w:type="pct"/>
            <w:gridSpan w:val="4"/>
            <w:tcBorders>
              <w:top w:val="nil"/>
              <w:left w:val="nil"/>
              <w:bottom w:val="single" w:sz="4" w:space="0" w:color="000000"/>
              <w:right w:val="nil"/>
            </w:tcBorders>
            <w:shd w:val="clear" w:color="auto" w:fill="auto"/>
            <w:vAlign w:val="bottom"/>
          </w:tcPr>
          <w:p w:rsidR="004010AA" w:rsidRDefault="004010AA" w:rsidP="006C43CF">
            <w:pPr>
              <w:spacing w:line="240" w:lineRule="auto"/>
              <w:ind w:firstLine="0"/>
              <w:jc w:val="center"/>
              <w:rPr>
                <w:sz w:val="20"/>
                <w:szCs w:val="20"/>
              </w:rPr>
            </w:pPr>
            <w:r>
              <w:rPr>
                <w:sz w:val="20"/>
                <w:szCs w:val="20"/>
              </w:rPr>
              <w:t>13.8</w:t>
            </w:r>
            <m:oMath>
              <m:sSup>
                <m:sSupPr>
                  <m:ctrlPr>
                    <w:rPr>
                      <w:rFonts w:ascii="Cambria Math" w:eastAsia="Cambria Math" w:hAnsi="Cambria Math" w:cs="Cambria Math"/>
                      <w:color w:val="000000"/>
                      <w:sz w:val="20"/>
                      <w:szCs w:val="20"/>
                    </w:rPr>
                  </m:ctrlPr>
                </m:sSupPr>
                <m:e>
                  <m:r>
                    <w:rPr>
                      <w:rFonts w:ascii="Cambria Math" w:eastAsia="Cambria Math" w:hAnsi="Cambria Math" w:cs="Cambria Math"/>
                      <w:color w:val="000000"/>
                      <w:sz w:val="20"/>
                      <w:szCs w:val="20"/>
                    </w:rPr>
                    <m:t>e</m:t>
                  </m:r>
                </m:e>
                <m:sup>
                  <m:r>
                    <w:rPr>
                      <w:rFonts w:ascii="Cambria Math" w:eastAsia="Cambria Math" w:hAnsi="Cambria Math" w:cs="Cambria Math"/>
                      <w:color w:val="000000"/>
                      <w:sz w:val="20"/>
                      <w:szCs w:val="20"/>
                    </w:rPr>
                    <m:t>+7</m:t>
                  </m:r>
                </m:sup>
              </m:sSup>
            </m:oMath>
          </w:p>
        </w:tc>
        <w:tc>
          <w:tcPr>
            <w:tcW w:w="1721" w:type="pct"/>
            <w:gridSpan w:val="2"/>
            <w:tcBorders>
              <w:top w:val="nil"/>
              <w:left w:val="nil"/>
              <w:bottom w:val="single" w:sz="4" w:space="0" w:color="000000"/>
              <w:right w:val="nil"/>
            </w:tcBorders>
            <w:shd w:val="clear" w:color="auto" w:fill="auto"/>
            <w:vAlign w:val="bottom"/>
          </w:tcPr>
          <w:p w:rsidR="004010AA" w:rsidRDefault="004010AA" w:rsidP="006C43CF">
            <w:pPr>
              <w:spacing w:line="240" w:lineRule="auto"/>
              <w:ind w:firstLine="0"/>
              <w:jc w:val="center"/>
              <w:rPr>
                <w:color w:val="000000"/>
                <w:sz w:val="20"/>
                <w:szCs w:val="20"/>
              </w:rPr>
            </w:pPr>
            <w:r>
              <w:rPr>
                <w:color w:val="000000"/>
                <w:sz w:val="20"/>
                <w:szCs w:val="20"/>
              </w:rPr>
              <w:t>4.22</w:t>
            </w:r>
            <m:oMath>
              <m:sSup>
                <m:sSupPr>
                  <m:ctrlPr>
                    <w:rPr>
                      <w:rFonts w:ascii="Cambria Math" w:eastAsia="Cambria Math" w:hAnsi="Cambria Math" w:cs="Cambria Math"/>
                      <w:color w:val="000000"/>
                      <w:sz w:val="20"/>
                      <w:szCs w:val="20"/>
                    </w:rPr>
                  </m:ctrlPr>
                </m:sSupPr>
                <m:e>
                  <m:r>
                    <w:rPr>
                      <w:rFonts w:ascii="Cambria Math" w:eastAsia="Cambria Math" w:hAnsi="Cambria Math" w:cs="Cambria Math"/>
                      <w:color w:val="000000"/>
                      <w:sz w:val="20"/>
                      <w:szCs w:val="20"/>
                    </w:rPr>
                    <m:t>e</m:t>
                  </m:r>
                </m:e>
                <m:sup>
                  <m:r>
                    <w:rPr>
                      <w:rFonts w:ascii="Cambria Math" w:eastAsia="Cambria Math" w:hAnsi="Cambria Math" w:cs="Cambria Math"/>
                      <w:color w:val="000000"/>
                      <w:sz w:val="20"/>
                      <w:szCs w:val="20"/>
                    </w:rPr>
                    <m:t>+7</m:t>
                  </m:r>
                </m:sup>
              </m:sSup>
            </m:oMath>
          </w:p>
        </w:tc>
      </w:tr>
    </w:tbl>
    <w:p w:rsidR="009D2B51" w:rsidRPr="009D2B51" w:rsidRDefault="009D2B51" w:rsidP="004010AA">
      <w:pPr>
        <w:ind w:firstLine="0"/>
        <w:rPr>
          <w:shd w:val="clear" w:color="auto" w:fill="FFFFFF"/>
        </w:rPr>
      </w:pPr>
      <w:r w:rsidRPr="00E12FEC">
        <w:rPr>
          <w:b/>
          <w:shd w:val="clear" w:color="auto" w:fill="FFFFFF"/>
        </w:rPr>
        <w:t>Not:</w:t>
      </w:r>
      <w:r w:rsidRPr="009D2B51">
        <w:rPr>
          <w:shd w:val="clear" w:color="auto" w:fill="FFFFFF"/>
        </w:rPr>
        <w:t xml:space="preserve"> *** 0,01 istatistiksel anlamlılık seviyesini göstermektedir.</w:t>
      </w:r>
    </w:p>
    <w:p w:rsidR="009D2B51" w:rsidRDefault="009D2B51" w:rsidP="004010AA">
      <w:pPr>
        <w:rPr>
          <w:shd w:val="clear" w:color="auto" w:fill="FFFFFF"/>
        </w:rPr>
      </w:pPr>
    </w:p>
    <w:p w:rsidR="009D2B51" w:rsidRPr="009D2B51" w:rsidRDefault="00056671" w:rsidP="004010AA">
      <w:pPr>
        <w:rPr>
          <w:shd w:val="clear" w:color="auto" w:fill="FFFFFF"/>
        </w:rPr>
      </w:pPr>
      <w:r>
        <w:rPr>
          <w:shd w:val="clear" w:color="auto" w:fill="FFFFFF"/>
        </w:rPr>
        <w:t>Tobit ve Çift E</w:t>
      </w:r>
      <w:r w:rsidR="009D2B51" w:rsidRPr="009D2B51">
        <w:rPr>
          <w:shd w:val="clear" w:color="auto" w:fill="FFFFFF"/>
        </w:rPr>
        <w:t>şik modellerinin tahmin sonuçlarının yer aldığı Tablo3’te, tahmin edilen katsayıların tamamı istatistiksel olarak anlamlı bulunmuştur. Çift eşik modelinde hanehalklarının sigara tüketimi iki aşamalı olarak tahmin edilmiştir. İlk aşamada sigarayı satın alma kararı (katılım), ikinci aşamada da sigaradan ne kadar tüketileceği kararı (tüketim) tahmin edilmiştir. Buna göre, hanehalkı gelir düzeyinin katılım karar aşamasına negatif yönde etkisi olurken, tüketim karar aşamasına pozitif yönde etkisi olduğu belirlenmiştir. Hanehalkı reisinin yaşının artması hem katılım kararını hem de tüketim seviyesini ters yönde etkilediği görülmektedir. Medeni durum değişkenine bakıldığında ise evli hanehalklarının sigaraya başlama ve sigara tüketim kararı üzerine etkisinin negatif yönde olduğu gözlemlenmektedir.</w:t>
      </w:r>
    </w:p>
    <w:p w:rsidR="009D2B51" w:rsidRPr="009D2B51" w:rsidRDefault="009D2B51" w:rsidP="00EC06FA">
      <w:pPr>
        <w:rPr>
          <w:shd w:val="clear" w:color="auto" w:fill="FFFFFF"/>
        </w:rPr>
      </w:pPr>
      <w:r w:rsidRPr="009D2B51">
        <w:rPr>
          <w:shd w:val="clear" w:color="auto" w:fill="FFFFFF"/>
        </w:rPr>
        <w:t xml:space="preserve">Sigara katılım ve tüketim kararları üzerinde etkisi olabilecek bir diğer değişken olarak hanehalkı reisinin eğitim durumu analiz edildiğinde; ilkokul veya ortaokul mezunu olan hanehalkı reisinin hem sigara kullanım kararında hem de sigaraya yapılan harcama seviyesinde negatif yönlü bir ilişki tespit edilmiştir. Hanehalkı reisinin cinsiyetinin sigara kullanım kararına negatif yönde harcama düzeyine ise pozitif yönde </w:t>
      </w:r>
      <w:r w:rsidRPr="009D2B51">
        <w:rPr>
          <w:shd w:val="clear" w:color="auto" w:fill="FFFFFF"/>
        </w:rPr>
        <w:lastRenderedPageBreak/>
        <w:t xml:space="preserve">bir etkisi olduğu tahmin edilmiştir. Hanehalkı büyüklüğünün sigara tüketimine olan etkisine bakıldığında ise hem katılım kararına hem de harcama seviyesine etkisi negatif yönde olmaktadır. </w:t>
      </w:r>
    </w:p>
    <w:p w:rsidR="009D2B51" w:rsidRPr="009D2B51" w:rsidRDefault="009D2B51" w:rsidP="00EC06FA">
      <w:pPr>
        <w:rPr>
          <w:shd w:val="clear" w:color="auto" w:fill="FFFFFF"/>
        </w:rPr>
      </w:pPr>
      <w:r w:rsidRPr="009D2B51">
        <w:rPr>
          <w:shd w:val="clear" w:color="auto" w:fill="FFFFFF"/>
        </w:rPr>
        <w:t>Tobit yöntemi kullanılarak elde edilen model tahmin katsayıları incelendiğinde, hanehalkı sigara tüketimi; yaş, cinsiyet, eğitim düzeyi, hanehalkı büyüklüğü ve gelir değişkenleri ile negatif yönde etkilenirken medeni durum değişkeni ile pozitif yönde etkilenmektedir.</w:t>
      </w:r>
    </w:p>
    <w:p w:rsidR="009D2B51" w:rsidRPr="009D2B51" w:rsidRDefault="009D2B51" w:rsidP="004010AA">
      <w:pPr>
        <w:rPr>
          <w:shd w:val="clear" w:color="auto" w:fill="FFFFFF"/>
        </w:rPr>
      </w:pPr>
      <w:r w:rsidRPr="009D2B51">
        <w:rPr>
          <w:shd w:val="clear" w:color="auto" w:fill="FFFFFF"/>
        </w:rPr>
        <w:t xml:space="preserve">Tobit yöntemi kullanılarak elde edilen katsayılar ile ve </w:t>
      </w:r>
      <w:r w:rsidR="00056671">
        <w:rPr>
          <w:shd w:val="clear" w:color="auto" w:fill="FFFFFF"/>
        </w:rPr>
        <w:t>Çift E</w:t>
      </w:r>
      <w:r w:rsidRPr="009D2B51">
        <w:rPr>
          <w:shd w:val="clear" w:color="auto" w:fill="FFFFFF"/>
        </w:rPr>
        <w:t xml:space="preserve">şik yöntemi sonucunda bulunan katılım kararı katsayıları birbirine çok yakın iken çift eşik yönteminde tahmin edilen tüketim karar katsayıları arasında önemli ölçüde farklılıklar tespit edilmiştir. Çift </w:t>
      </w:r>
      <w:r w:rsidR="00056671">
        <w:rPr>
          <w:shd w:val="clear" w:color="auto" w:fill="FFFFFF"/>
        </w:rPr>
        <w:t>E</w:t>
      </w:r>
      <w:r w:rsidRPr="009D2B51">
        <w:rPr>
          <w:shd w:val="clear" w:color="auto" w:fill="FFFFFF"/>
        </w:rPr>
        <w:t>şik yönteminde tüketim kararlarına ait tahmin edilen katsayıların yüksek olması analize konu olan değişkenler açısından hanehalklarının tüketim ve katılım kararları üzerindeki etkisinin farklı olduğunu göstermektedir.</w:t>
      </w:r>
    </w:p>
    <w:p w:rsidR="009D2B51" w:rsidRPr="009D2B51" w:rsidRDefault="009D2B51" w:rsidP="004010AA">
      <w:pPr>
        <w:rPr>
          <w:shd w:val="clear" w:color="auto" w:fill="FFFFFF"/>
        </w:rPr>
      </w:pPr>
      <w:r w:rsidRPr="009D2B51">
        <w:rPr>
          <w:shd w:val="clear" w:color="auto" w:fill="FFFFFF"/>
        </w:rPr>
        <w:t>Modelde seçilen değişkenlerin katılım karar ve tüketim karar aşamalarına olan etki</w:t>
      </w:r>
      <w:r w:rsidR="00056671">
        <w:rPr>
          <w:shd w:val="clear" w:color="auto" w:fill="FFFFFF"/>
        </w:rPr>
        <w:t>sinin farklı olacağını savunan Çift E</w:t>
      </w:r>
      <w:r w:rsidRPr="009D2B51">
        <w:rPr>
          <w:shd w:val="clear" w:color="auto" w:fill="FFFFFF"/>
        </w:rPr>
        <w:t>şik modeli ile aynı değişkenlerin sigara katılım ve tüketimine olan etkisinin aynı büyüklüklerde olacağını savunan Tobit yaklaşımları model uyum iyiliği kriterlerine göre karşılaştırıldığında, hem LR test istatistiği hem de Akaike (AIC) ve Bayesyen (BIC) bilgi kriter değerleri Tobit modelinin daha uyumlu olduğunu göstermektedir (küçük değer alan bilgi kriteri diğer modele göre daha uyumludur). Tablo 3’te LR test istatistiği, Akaike (AIC) ve Bayesyen (BIC) bilgi kriterlerinin Tobit modeli için daha küçük değer</w:t>
      </w:r>
      <w:r w:rsidR="00056671">
        <w:rPr>
          <w:shd w:val="clear" w:color="auto" w:fill="FFFFFF"/>
        </w:rPr>
        <w:t>ler aldığı görülmektedir. Çift E</w:t>
      </w:r>
      <w:r w:rsidRPr="009D2B51">
        <w:rPr>
          <w:shd w:val="clear" w:color="auto" w:fill="FFFFFF"/>
        </w:rPr>
        <w:t>şik modelinde görüleceği üzere analizde kullanılan değişkenler ve elde edilen katsayılar hem katılım kararı hem de tüketim kararı için farklı büyüklüklerde ve istatistiksel ol</w:t>
      </w:r>
      <w:r w:rsidR="00056671">
        <w:rPr>
          <w:shd w:val="clear" w:color="auto" w:fill="FFFFFF"/>
        </w:rPr>
        <w:t>arak anlamlı bulunmuştur. Çift E</w:t>
      </w:r>
      <w:r w:rsidRPr="009D2B51">
        <w:rPr>
          <w:shd w:val="clear" w:color="auto" w:fill="FFFFFF"/>
        </w:rPr>
        <w:t xml:space="preserve">şik modelinin en önemli </w:t>
      </w:r>
      <w:r w:rsidR="00056671">
        <w:rPr>
          <w:shd w:val="clear" w:color="auto" w:fill="FFFFFF"/>
        </w:rPr>
        <w:t>avantajı</w:t>
      </w:r>
      <w:r w:rsidRPr="009D2B51">
        <w:rPr>
          <w:shd w:val="clear" w:color="auto" w:fill="FFFFFF"/>
        </w:rPr>
        <w:t xml:space="preserve">; model değişkenlerinin katılım ve tüketim karar aşamaları üzerine etkisinin farklı olmasıdır. </w:t>
      </w:r>
    </w:p>
    <w:p w:rsidR="009D2B51" w:rsidRPr="009D2B51" w:rsidRDefault="00056671" w:rsidP="00EC06FA">
      <w:pPr>
        <w:rPr>
          <w:shd w:val="clear" w:color="auto" w:fill="FFFFFF"/>
        </w:rPr>
      </w:pPr>
      <w:r>
        <w:rPr>
          <w:shd w:val="clear" w:color="auto" w:fill="FFFFFF"/>
        </w:rPr>
        <w:t>Tablo 3’e göre Çift E</w:t>
      </w:r>
      <w:r w:rsidR="009D2B51" w:rsidRPr="009D2B51">
        <w:rPr>
          <w:shd w:val="clear" w:color="auto" w:fill="FFFFFF"/>
        </w:rPr>
        <w:t>şik modelinde tüketim karar aşamasındaki katsayı değerleri yüksek sonuçlar verme</w:t>
      </w:r>
      <w:r>
        <w:rPr>
          <w:shd w:val="clear" w:color="auto" w:fill="FFFFFF"/>
        </w:rPr>
        <w:t>ktedir. Bu farklılığın sebebi, Çift E</w:t>
      </w:r>
      <w:r w:rsidR="009D2B51" w:rsidRPr="009D2B51">
        <w:rPr>
          <w:shd w:val="clear" w:color="auto" w:fill="FFFFFF"/>
        </w:rPr>
        <w:t xml:space="preserve">şik modelindeki tüketim karar aşamasının harcamalar cinsinden olmasıdır. Bu durumda katsayı değerlerindeki yüksek oranda artışların fiyat değişimleri nedeniyle olabileceği düşünülmektedir. </w:t>
      </w:r>
    </w:p>
    <w:p w:rsidR="009D2B51" w:rsidRDefault="00056671" w:rsidP="00EC06FA">
      <w:pPr>
        <w:rPr>
          <w:shd w:val="clear" w:color="auto" w:fill="FFFFFF"/>
        </w:rPr>
      </w:pPr>
      <w:r>
        <w:rPr>
          <w:shd w:val="clear" w:color="auto" w:fill="FFFFFF"/>
        </w:rPr>
        <w:t>Literatürde Tobit ve Çift E</w:t>
      </w:r>
      <w:r w:rsidR="009D2B51" w:rsidRPr="009D2B51">
        <w:rPr>
          <w:shd w:val="clear" w:color="auto" w:fill="FFFFFF"/>
        </w:rPr>
        <w:t xml:space="preserve">şik modelleri için tahmin edilen değişken katsayılarının doğrudan yorumlanması çalışmalarda etkinlik kayıplarına yol açmaktadır. </w:t>
      </w:r>
      <w:r w:rsidR="009D2B51" w:rsidRPr="009D2B51">
        <w:rPr>
          <w:shd w:val="clear" w:color="auto" w:fill="FFFFFF"/>
        </w:rPr>
        <w:lastRenderedPageBreak/>
        <w:t>Bu nedenle söz konusu yöntemler için marjinal etki değerlerinin saptanması gerekmektedir.</w:t>
      </w:r>
    </w:p>
    <w:p w:rsidR="009D2B51" w:rsidRDefault="004010AA" w:rsidP="004010AA">
      <w:pPr>
        <w:ind w:firstLine="0"/>
        <w:jc w:val="center"/>
        <w:rPr>
          <w:b/>
          <w:shd w:val="clear" w:color="auto" w:fill="FFFFFF"/>
        </w:rPr>
      </w:pPr>
      <w:bookmarkStart w:id="24" w:name="_Toc30503447"/>
      <w:r w:rsidRPr="004010AA">
        <w:rPr>
          <w:b/>
        </w:rPr>
        <w:t xml:space="preserve">Tablo </w:t>
      </w:r>
      <w:r w:rsidRPr="004010AA">
        <w:rPr>
          <w:b/>
        </w:rPr>
        <w:fldChar w:fldCharType="begin"/>
      </w:r>
      <w:r w:rsidRPr="004010AA">
        <w:rPr>
          <w:b/>
        </w:rPr>
        <w:instrText xml:space="preserve"> SEQ Tablo \* ARABIC </w:instrText>
      </w:r>
      <w:r w:rsidRPr="004010AA">
        <w:rPr>
          <w:b/>
        </w:rPr>
        <w:fldChar w:fldCharType="separate"/>
      </w:r>
      <w:r w:rsidR="00BF7F92">
        <w:rPr>
          <w:b/>
          <w:noProof/>
        </w:rPr>
        <w:t>4</w:t>
      </w:r>
      <w:r w:rsidRPr="004010AA">
        <w:rPr>
          <w:b/>
        </w:rPr>
        <w:fldChar w:fldCharType="end"/>
      </w:r>
      <w:r w:rsidRPr="004010AA">
        <w:rPr>
          <w:b/>
        </w:rPr>
        <w:t xml:space="preserve">. </w:t>
      </w:r>
      <w:r w:rsidR="009D2B51" w:rsidRPr="004010AA">
        <w:rPr>
          <w:b/>
          <w:shd w:val="clear" w:color="auto" w:fill="FFFFFF"/>
        </w:rPr>
        <w:t>Marjinal Etkiler</w:t>
      </w:r>
      <w:bookmarkEnd w:id="24"/>
    </w:p>
    <w:tbl>
      <w:tblPr>
        <w:tblW w:w="5000" w:type="pct"/>
        <w:tblLook w:val="0400" w:firstRow="0" w:lastRow="0" w:firstColumn="0" w:lastColumn="0" w:noHBand="0" w:noVBand="1"/>
      </w:tblPr>
      <w:tblGrid>
        <w:gridCol w:w="1338"/>
        <w:gridCol w:w="1803"/>
        <w:gridCol w:w="1744"/>
        <w:gridCol w:w="1918"/>
        <w:gridCol w:w="1917"/>
      </w:tblGrid>
      <w:tr w:rsidR="004010AA" w:rsidTr="004010AA">
        <w:trPr>
          <w:trHeight w:val="264"/>
        </w:trPr>
        <w:tc>
          <w:tcPr>
            <w:tcW w:w="767" w:type="pct"/>
            <w:tcBorders>
              <w:top w:val="single" w:sz="4" w:space="0" w:color="000000"/>
              <w:left w:val="nil"/>
              <w:bottom w:val="single" w:sz="4" w:space="0" w:color="000000"/>
              <w:right w:val="nil"/>
            </w:tcBorders>
            <w:shd w:val="clear" w:color="auto" w:fill="auto"/>
            <w:vAlign w:val="bottom"/>
          </w:tcPr>
          <w:p w:rsidR="004010AA" w:rsidRDefault="004010AA" w:rsidP="006C43CF">
            <w:pPr>
              <w:pBdr>
                <w:top w:val="nil"/>
                <w:left w:val="nil"/>
                <w:bottom w:val="nil"/>
                <w:right w:val="nil"/>
                <w:between w:val="nil"/>
              </w:pBdr>
              <w:spacing w:line="240" w:lineRule="auto"/>
              <w:ind w:firstLine="0"/>
              <w:jc w:val="center"/>
              <w:rPr>
                <w:b/>
                <w:color w:val="000000"/>
                <w:sz w:val="20"/>
                <w:szCs w:val="20"/>
              </w:rPr>
            </w:pPr>
          </w:p>
        </w:tc>
        <w:tc>
          <w:tcPr>
            <w:tcW w:w="2034" w:type="pct"/>
            <w:gridSpan w:val="2"/>
            <w:tcBorders>
              <w:top w:val="single" w:sz="4" w:space="0" w:color="000000"/>
              <w:left w:val="nil"/>
              <w:bottom w:val="single" w:sz="4" w:space="0" w:color="000000"/>
              <w:right w:val="nil"/>
            </w:tcBorders>
            <w:shd w:val="clear" w:color="auto" w:fill="auto"/>
            <w:vAlign w:val="bottom"/>
          </w:tcPr>
          <w:p w:rsidR="004010AA" w:rsidRDefault="004010AA" w:rsidP="006C43CF">
            <w:pPr>
              <w:pBdr>
                <w:top w:val="nil"/>
                <w:left w:val="nil"/>
                <w:bottom w:val="nil"/>
                <w:right w:val="nil"/>
                <w:between w:val="nil"/>
              </w:pBdr>
              <w:spacing w:line="240" w:lineRule="auto"/>
              <w:ind w:firstLine="0"/>
              <w:jc w:val="center"/>
              <w:rPr>
                <w:b/>
                <w:color w:val="000000"/>
                <w:sz w:val="20"/>
                <w:szCs w:val="20"/>
              </w:rPr>
            </w:pPr>
            <w:r>
              <w:rPr>
                <w:b/>
                <w:color w:val="000000"/>
                <w:sz w:val="20"/>
                <w:szCs w:val="20"/>
              </w:rPr>
              <w:t>Çift Eşik</w:t>
            </w:r>
          </w:p>
        </w:tc>
        <w:tc>
          <w:tcPr>
            <w:tcW w:w="2199" w:type="pct"/>
            <w:gridSpan w:val="2"/>
            <w:tcBorders>
              <w:top w:val="single" w:sz="4" w:space="0" w:color="000000"/>
              <w:left w:val="nil"/>
              <w:bottom w:val="single" w:sz="4" w:space="0" w:color="000000"/>
              <w:right w:val="nil"/>
            </w:tcBorders>
            <w:shd w:val="clear" w:color="auto" w:fill="auto"/>
            <w:vAlign w:val="bottom"/>
          </w:tcPr>
          <w:p w:rsidR="004010AA" w:rsidRDefault="004010AA" w:rsidP="006C43CF">
            <w:pPr>
              <w:pBdr>
                <w:top w:val="nil"/>
                <w:left w:val="nil"/>
                <w:bottom w:val="nil"/>
                <w:right w:val="nil"/>
                <w:between w:val="nil"/>
              </w:pBdr>
              <w:spacing w:line="240" w:lineRule="auto"/>
              <w:ind w:firstLine="0"/>
              <w:jc w:val="center"/>
              <w:rPr>
                <w:b/>
                <w:color w:val="000000"/>
                <w:sz w:val="20"/>
                <w:szCs w:val="20"/>
              </w:rPr>
            </w:pPr>
            <w:r>
              <w:rPr>
                <w:b/>
                <w:color w:val="000000"/>
                <w:sz w:val="20"/>
                <w:szCs w:val="20"/>
              </w:rPr>
              <w:t>Tobit</w:t>
            </w:r>
          </w:p>
        </w:tc>
      </w:tr>
      <w:tr w:rsidR="004010AA" w:rsidTr="004010AA">
        <w:trPr>
          <w:trHeight w:val="74"/>
        </w:trPr>
        <w:tc>
          <w:tcPr>
            <w:tcW w:w="767" w:type="pct"/>
            <w:tcBorders>
              <w:top w:val="single" w:sz="4" w:space="0" w:color="000000"/>
              <w:left w:val="nil"/>
              <w:bottom w:val="single" w:sz="4" w:space="0" w:color="000000"/>
              <w:right w:val="nil"/>
            </w:tcBorders>
            <w:shd w:val="clear" w:color="auto" w:fill="auto"/>
            <w:vAlign w:val="bottom"/>
          </w:tcPr>
          <w:p w:rsidR="004010AA" w:rsidRDefault="004010AA" w:rsidP="006C43CF">
            <w:pPr>
              <w:spacing w:line="240" w:lineRule="auto"/>
              <w:ind w:firstLine="0"/>
              <w:jc w:val="center"/>
              <w:rPr>
                <w:color w:val="000000"/>
                <w:sz w:val="20"/>
                <w:szCs w:val="20"/>
              </w:rPr>
            </w:pPr>
          </w:p>
        </w:tc>
        <w:tc>
          <w:tcPr>
            <w:tcW w:w="1034" w:type="pct"/>
            <w:tcBorders>
              <w:top w:val="single" w:sz="4" w:space="0" w:color="000000"/>
              <w:left w:val="nil"/>
              <w:bottom w:val="single" w:sz="4" w:space="0" w:color="000000"/>
              <w:right w:val="nil"/>
            </w:tcBorders>
            <w:shd w:val="clear" w:color="auto" w:fill="auto"/>
            <w:vAlign w:val="bottom"/>
          </w:tcPr>
          <w:p w:rsidR="004010AA" w:rsidRDefault="004010AA" w:rsidP="00056671">
            <w:pPr>
              <w:spacing w:line="240" w:lineRule="auto"/>
              <w:ind w:firstLine="0"/>
              <w:jc w:val="right"/>
              <w:rPr>
                <w:color w:val="000000"/>
                <w:sz w:val="20"/>
                <w:szCs w:val="20"/>
              </w:rPr>
            </w:pPr>
            <w:r>
              <w:rPr>
                <w:color w:val="000000"/>
                <w:sz w:val="20"/>
                <w:szCs w:val="20"/>
              </w:rPr>
              <w:t>dy/dx</w:t>
            </w:r>
          </w:p>
        </w:tc>
        <w:tc>
          <w:tcPr>
            <w:tcW w:w="1000" w:type="pct"/>
            <w:tcBorders>
              <w:top w:val="single" w:sz="4" w:space="0" w:color="000000"/>
              <w:left w:val="nil"/>
              <w:bottom w:val="single" w:sz="4" w:space="0" w:color="000000"/>
              <w:right w:val="nil"/>
            </w:tcBorders>
            <w:shd w:val="clear" w:color="auto" w:fill="auto"/>
            <w:vAlign w:val="bottom"/>
          </w:tcPr>
          <w:p w:rsidR="004010AA" w:rsidRDefault="004010AA" w:rsidP="00056671">
            <w:pPr>
              <w:spacing w:line="240" w:lineRule="auto"/>
              <w:ind w:firstLine="0"/>
              <w:jc w:val="right"/>
              <w:rPr>
                <w:color w:val="000000"/>
                <w:sz w:val="20"/>
                <w:szCs w:val="20"/>
              </w:rPr>
            </w:pPr>
            <w:r>
              <w:rPr>
                <w:color w:val="000000"/>
                <w:sz w:val="20"/>
                <w:szCs w:val="20"/>
              </w:rPr>
              <w:t>Std Hata</w:t>
            </w:r>
          </w:p>
        </w:tc>
        <w:tc>
          <w:tcPr>
            <w:tcW w:w="1100" w:type="pct"/>
            <w:tcBorders>
              <w:top w:val="single" w:sz="4" w:space="0" w:color="000000"/>
              <w:left w:val="nil"/>
              <w:bottom w:val="single" w:sz="4" w:space="0" w:color="000000"/>
              <w:right w:val="nil"/>
            </w:tcBorders>
            <w:shd w:val="clear" w:color="auto" w:fill="auto"/>
            <w:vAlign w:val="bottom"/>
          </w:tcPr>
          <w:p w:rsidR="004010AA" w:rsidRDefault="004010AA" w:rsidP="00056671">
            <w:pPr>
              <w:spacing w:line="240" w:lineRule="auto"/>
              <w:ind w:firstLine="0"/>
              <w:jc w:val="right"/>
              <w:rPr>
                <w:color w:val="000000"/>
                <w:sz w:val="20"/>
                <w:szCs w:val="20"/>
              </w:rPr>
            </w:pPr>
            <w:r>
              <w:rPr>
                <w:color w:val="000000"/>
                <w:sz w:val="20"/>
                <w:szCs w:val="20"/>
              </w:rPr>
              <w:t>dy/dx</w:t>
            </w:r>
          </w:p>
        </w:tc>
        <w:tc>
          <w:tcPr>
            <w:tcW w:w="1099" w:type="pct"/>
            <w:tcBorders>
              <w:top w:val="single" w:sz="4" w:space="0" w:color="000000"/>
              <w:left w:val="nil"/>
              <w:bottom w:val="single" w:sz="4" w:space="0" w:color="000000"/>
              <w:right w:val="nil"/>
            </w:tcBorders>
            <w:shd w:val="clear" w:color="auto" w:fill="auto"/>
            <w:vAlign w:val="bottom"/>
          </w:tcPr>
          <w:p w:rsidR="004010AA" w:rsidRDefault="004010AA" w:rsidP="00056671">
            <w:pPr>
              <w:spacing w:line="240" w:lineRule="auto"/>
              <w:ind w:firstLine="0"/>
              <w:jc w:val="right"/>
              <w:rPr>
                <w:color w:val="000000"/>
                <w:sz w:val="20"/>
                <w:szCs w:val="20"/>
              </w:rPr>
            </w:pPr>
            <w:r>
              <w:rPr>
                <w:color w:val="000000"/>
                <w:sz w:val="20"/>
                <w:szCs w:val="20"/>
              </w:rPr>
              <w:t>Std. Hata</w:t>
            </w:r>
          </w:p>
        </w:tc>
      </w:tr>
      <w:tr w:rsidR="004010AA" w:rsidTr="004010AA">
        <w:trPr>
          <w:trHeight w:val="264"/>
        </w:trPr>
        <w:tc>
          <w:tcPr>
            <w:tcW w:w="767" w:type="pct"/>
            <w:tcBorders>
              <w:top w:val="single" w:sz="4" w:space="0" w:color="000000"/>
              <w:left w:val="nil"/>
              <w:bottom w:val="nil"/>
              <w:right w:val="nil"/>
            </w:tcBorders>
            <w:shd w:val="clear" w:color="auto" w:fill="auto"/>
            <w:vAlign w:val="bottom"/>
          </w:tcPr>
          <w:p w:rsidR="004010AA" w:rsidRDefault="004010AA" w:rsidP="006C43CF">
            <w:pPr>
              <w:spacing w:line="240" w:lineRule="auto"/>
              <w:ind w:firstLine="0"/>
              <w:rPr>
                <w:b/>
                <w:color w:val="000000"/>
                <w:sz w:val="20"/>
                <w:szCs w:val="20"/>
              </w:rPr>
            </w:pPr>
            <w:r>
              <w:rPr>
                <w:b/>
                <w:color w:val="000000"/>
                <w:sz w:val="20"/>
                <w:szCs w:val="20"/>
              </w:rPr>
              <w:t>Yaş</w:t>
            </w:r>
          </w:p>
        </w:tc>
        <w:tc>
          <w:tcPr>
            <w:tcW w:w="1034" w:type="pct"/>
            <w:tcBorders>
              <w:top w:val="single" w:sz="4" w:space="0" w:color="000000"/>
              <w:left w:val="nil"/>
              <w:bottom w:val="nil"/>
              <w:right w:val="nil"/>
            </w:tcBorders>
            <w:shd w:val="clear" w:color="auto" w:fill="auto"/>
            <w:vAlign w:val="bottom"/>
          </w:tcPr>
          <w:p w:rsidR="004010AA" w:rsidRDefault="004010AA" w:rsidP="006C43CF">
            <w:pPr>
              <w:spacing w:line="240" w:lineRule="auto"/>
              <w:ind w:firstLine="0"/>
              <w:jc w:val="right"/>
              <w:rPr>
                <w:color w:val="000000"/>
                <w:sz w:val="20"/>
                <w:szCs w:val="20"/>
              </w:rPr>
            </w:pPr>
            <w:r>
              <w:rPr>
                <w:color w:val="000000"/>
                <w:sz w:val="20"/>
                <w:szCs w:val="20"/>
              </w:rPr>
              <w:t>-1.1295***</w:t>
            </w:r>
          </w:p>
        </w:tc>
        <w:tc>
          <w:tcPr>
            <w:tcW w:w="1000" w:type="pct"/>
            <w:tcBorders>
              <w:top w:val="single" w:sz="4" w:space="0" w:color="000000"/>
              <w:left w:val="nil"/>
              <w:bottom w:val="nil"/>
              <w:right w:val="nil"/>
            </w:tcBorders>
            <w:shd w:val="clear" w:color="auto" w:fill="auto"/>
            <w:vAlign w:val="bottom"/>
          </w:tcPr>
          <w:p w:rsidR="004010AA" w:rsidRDefault="004010AA" w:rsidP="006C43CF">
            <w:pPr>
              <w:spacing w:line="240" w:lineRule="auto"/>
              <w:ind w:firstLine="0"/>
              <w:jc w:val="right"/>
              <w:rPr>
                <w:color w:val="000000"/>
                <w:sz w:val="20"/>
                <w:szCs w:val="20"/>
              </w:rPr>
            </w:pPr>
            <w:r>
              <w:rPr>
                <w:color w:val="000000"/>
                <w:sz w:val="20"/>
                <w:szCs w:val="20"/>
              </w:rPr>
              <w:t>0.0219424</w:t>
            </w:r>
          </w:p>
        </w:tc>
        <w:tc>
          <w:tcPr>
            <w:tcW w:w="1100" w:type="pct"/>
            <w:tcBorders>
              <w:top w:val="single" w:sz="4" w:space="0" w:color="000000"/>
              <w:left w:val="nil"/>
              <w:bottom w:val="nil"/>
              <w:right w:val="nil"/>
            </w:tcBorders>
            <w:shd w:val="clear" w:color="auto" w:fill="auto"/>
            <w:vAlign w:val="bottom"/>
          </w:tcPr>
          <w:p w:rsidR="004010AA" w:rsidRDefault="004010AA" w:rsidP="006C43CF">
            <w:pPr>
              <w:spacing w:line="240" w:lineRule="auto"/>
              <w:ind w:firstLine="0"/>
              <w:jc w:val="right"/>
              <w:rPr>
                <w:color w:val="000000"/>
                <w:sz w:val="20"/>
                <w:szCs w:val="20"/>
              </w:rPr>
            </w:pPr>
            <w:r>
              <w:rPr>
                <w:color w:val="000000"/>
                <w:sz w:val="20"/>
                <w:szCs w:val="20"/>
              </w:rPr>
              <w:t>-0.0031***</w:t>
            </w:r>
          </w:p>
        </w:tc>
        <w:tc>
          <w:tcPr>
            <w:tcW w:w="1099" w:type="pct"/>
            <w:tcBorders>
              <w:top w:val="single" w:sz="4" w:space="0" w:color="000000"/>
              <w:left w:val="nil"/>
              <w:bottom w:val="nil"/>
              <w:right w:val="nil"/>
            </w:tcBorders>
            <w:shd w:val="clear" w:color="auto" w:fill="auto"/>
            <w:vAlign w:val="bottom"/>
          </w:tcPr>
          <w:p w:rsidR="004010AA" w:rsidRDefault="004010AA" w:rsidP="006C43CF">
            <w:pPr>
              <w:spacing w:line="240" w:lineRule="auto"/>
              <w:ind w:firstLine="0"/>
              <w:jc w:val="right"/>
              <w:rPr>
                <w:sz w:val="20"/>
                <w:szCs w:val="20"/>
              </w:rPr>
            </w:pPr>
            <w:r>
              <w:rPr>
                <w:sz w:val="20"/>
                <w:szCs w:val="20"/>
              </w:rPr>
              <w:t>0.00007</w:t>
            </w:r>
          </w:p>
        </w:tc>
      </w:tr>
      <w:tr w:rsidR="004010AA" w:rsidTr="004010AA">
        <w:trPr>
          <w:trHeight w:val="264"/>
        </w:trPr>
        <w:tc>
          <w:tcPr>
            <w:tcW w:w="767" w:type="pct"/>
            <w:tcBorders>
              <w:top w:val="nil"/>
              <w:left w:val="nil"/>
              <w:bottom w:val="nil"/>
              <w:right w:val="nil"/>
            </w:tcBorders>
            <w:shd w:val="clear" w:color="auto" w:fill="auto"/>
            <w:vAlign w:val="bottom"/>
          </w:tcPr>
          <w:p w:rsidR="004010AA" w:rsidRDefault="004010AA" w:rsidP="006C43CF">
            <w:pPr>
              <w:spacing w:line="240" w:lineRule="auto"/>
              <w:ind w:firstLine="0"/>
              <w:rPr>
                <w:b/>
                <w:color w:val="000000"/>
                <w:sz w:val="20"/>
                <w:szCs w:val="20"/>
              </w:rPr>
            </w:pPr>
            <w:r>
              <w:rPr>
                <w:b/>
                <w:color w:val="000000"/>
                <w:sz w:val="20"/>
                <w:szCs w:val="20"/>
              </w:rPr>
              <w:t>Cinsiyet</w:t>
            </w:r>
          </w:p>
        </w:tc>
        <w:tc>
          <w:tcPr>
            <w:tcW w:w="1034" w:type="pct"/>
            <w:tcBorders>
              <w:top w:val="nil"/>
              <w:left w:val="nil"/>
              <w:bottom w:val="nil"/>
              <w:right w:val="nil"/>
            </w:tcBorders>
            <w:shd w:val="clear" w:color="auto" w:fill="auto"/>
            <w:vAlign w:val="bottom"/>
          </w:tcPr>
          <w:p w:rsidR="004010AA" w:rsidRDefault="004010AA" w:rsidP="006C43CF">
            <w:pPr>
              <w:spacing w:line="240" w:lineRule="auto"/>
              <w:ind w:firstLine="0"/>
              <w:jc w:val="right"/>
              <w:rPr>
                <w:color w:val="000000"/>
                <w:sz w:val="20"/>
                <w:szCs w:val="20"/>
              </w:rPr>
            </w:pPr>
            <w:r>
              <w:rPr>
                <w:color w:val="000000"/>
                <w:sz w:val="20"/>
                <w:szCs w:val="20"/>
              </w:rPr>
              <w:t>0.2224**</w:t>
            </w:r>
          </w:p>
        </w:tc>
        <w:tc>
          <w:tcPr>
            <w:tcW w:w="1000" w:type="pct"/>
            <w:tcBorders>
              <w:top w:val="nil"/>
              <w:left w:val="nil"/>
              <w:bottom w:val="nil"/>
              <w:right w:val="nil"/>
            </w:tcBorders>
            <w:shd w:val="clear" w:color="auto" w:fill="auto"/>
            <w:vAlign w:val="bottom"/>
          </w:tcPr>
          <w:p w:rsidR="004010AA" w:rsidRDefault="004010AA" w:rsidP="006C43CF">
            <w:pPr>
              <w:spacing w:line="240" w:lineRule="auto"/>
              <w:ind w:firstLine="0"/>
              <w:jc w:val="right"/>
              <w:rPr>
                <w:color w:val="000000"/>
                <w:sz w:val="20"/>
                <w:szCs w:val="20"/>
              </w:rPr>
            </w:pPr>
            <w:r>
              <w:rPr>
                <w:color w:val="000000"/>
                <w:sz w:val="20"/>
                <w:szCs w:val="20"/>
              </w:rPr>
              <w:t>0.1128496</w:t>
            </w:r>
          </w:p>
        </w:tc>
        <w:tc>
          <w:tcPr>
            <w:tcW w:w="1100" w:type="pct"/>
            <w:tcBorders>
              <w:top w:val="nil"/>
              <w:left w:val="nil"/>
              <w:bottom w:val="nil"/>
              <w:right w:val="nil"/>
            </w:tcBorders>
            <w:shd w:val="clear" w:color="auto" w:fill="auto"/>
            <w:vAlign w:val="bottom"/>
          </w:tcPr>
          <w:p w:rsidR="004010AA" w:rsidRDefault="004010AA" w:rsidP="006C43CF">
            <w:pPr>
              <w:spacing w:line="240" w:lineRule="auto"/>
              <w:ind w:firstLine="0"/>
              <w:jc w:val="right"/>
              <w:rPr>
                <w:color w:val="000000"/>
                <w:sz w:val="20"/>
                <w:szCs w:val="20"/>
              </w:rPr>
            </w:pPr>
            <w:r>
              <w:rPr>
                <w:color w:val="000000"/>
                <w:sz w:val="20"/>
                <w:szCs w:val="20"/>
              </w:rPr>
              <w:t>-0.0132***</w:t>
            </w:r>
          </w:p>
        </w:tc>
        <w:tc>
          <w:tcPr>
            <w:tcW w:w="1099" w:type="pct"/>
            <w:tcBorders>
              <w:top w:val="nil"/>
              <w:left w:val="nil"/>
              <w:bottom w:val="nil"/>
              <w:right w:val="nil"/>
            </w:tcBorders>
            <w:shd w:val="clear" w:color="auto" w:fill="auto"/>
            <w:vAlign w:val="bottom"/>
          </w:tcPr>
          <w:p w:rsidR="004010AA" w:rsidRDefault="004010AA" w:rsidP="006C43CF">
            <w:pPr>
              <w:spacing w:line="240" w:lineRule="auto"/>
              <w:ind w:firstLine="0"/>
              <w:jc w:val="right"/>
              <w:rPr>
                <w:sz w:val="20"/>
                <w:szCs w:val="20"/>
              </w:rPr>
            </w:pPr>
            <w:r>
              <w:rPr>
                <w:sz w:val="20"/>
                <w:szCs w:val="20"/>
              </w:rPr>
              <w:t>0.00035</w:t>
            </w:r>
          </w:p>
        </w:tc>
      </w:tr>
      <w:tr w:rsidR="004010AA" w:rsidTr="004010AA">
        <w:trPr>
          <w:trHeight w:val="264"/>
        </w:trPr>
        <w:tc>
          <w:tcPr>
            <w:tcW w:w="767" w:type="pct"/>
            <w:tcBorders>
              <w:top w:val="nil"/>
              <w:left w:val="nil"/>
              <w:bottom w:val="nil"/>
              <w:right w:val="nil"/>
            </w:tcBorders>
            <w:shd w:val="clear" w:color="auto" w:fill="auto"/>
            <w:vAlign w:val="bottom"/>
          </w:tcPr>
          <w:p w:rsidR="004010AA" w:rsidRDefault="004010AA" w:rsidP="006C43CF">
            <w:pPr>
              <w:spacing w:line="240" w:lineRule="auto"/>
              <w:ind w:firstLine="0"/>
              <w:rPr>
                <w:b/>
                <w:color w:val="000000"/>
                <w:sz w:val="20"/>
                <w:szCs w:val="20"/>
              </w:rPr>
            </w:pPr>
            <w:r>
              <w:rPr>
                <w:b/>
                <w:color w:val="000000"/>
                <w:sz w:val="20"/>
                <w:szCs w:val="20"/>
              </w:rPr>
              <w:t xml:space="preserve">Medeni </w:t>
            </w:r>
          </w:p>
        </w:tc>
        <w:tc>
          <w:tcPr>
            <w:tcW w:w="1034" w:type="pct"/>
            <w:tcBorders>
              <w:top w:val="nil"/>
              <w:left w:val="nil"/>
              <w:bottom w:val="nil"/>
              <w:right w:val="nil"/>
            </w:tcBorders>
            <w:shd w:val="clear" w:color="auto" w:fill="auto"/>
            <w:vAlign w:val="bottom"/>
          </w:tcPr>
          <w:p w:rsidR="004010AA" w:rsidRDefault="004010AA" w:rsidP="006C43CF">
            <w:pPr>
              <w:spacing w:line="240" w:lineRule="auto"/>
              <w:ind w:firstLine="0"/>
              <w:jc w:val="right"/>
              <w:rPr>
                <w:color w:val="000000"/>
                <w:sz w:val="20"/>
                <w:szCs w:val="20"/>
              </w:rPr>
            </w:pPr>
            <w:r>
              <w:rPr>
                <w:color w:val="000000"/>
                <w:sz w:val="20"/>
                <w:szCs w:val="20"/>
              </w:rPr>
              <w:t>-2.7604***</w:t>
            </w:r>
          </w:p>
        </w:tc>
        <w:tc>
          <w:tcPr>
            <w:tcW w:w="1000" w:type="pct"/>
            <w:tcBorders>
              <w:top w:val="nil"/>
              <w:left w:val="nil"/>
              <w:bottom w:val="nil"/>
              <w:right w:val="nil"/>
            </w:tcBorders>
            <w:shd w:val="clear" w:color="auto" w:fill="auto"/>
            <w:vAlign w:val="bottom"/>
          </w:tcPr>
          <w:p w:rsidR="004010AA" w:rsidRDefault="004010AA" w:rsidP="006C43CF">
            <w:pPr>
              <w:spacing w:line="240" w:lineRule="auto"/>
              <w:ind w:firstLine="0"/>
              <w:jc w:val="right"/>
              <w:rPr>
                <w:color w:val="000000"/>
                <w:sz w:val="20"/>
                <w:szCs w:val="20"/>
              </w:rPr>
            </w:pPr>
            <w:r>
              <w:rPr>
                <w:color w:val="000000"/>
                <w:sz w:val="20"/>
                <w:szCs w:val="20"/>
              </w:rPr>
              <w:t>0.1044915</w:t>
            </w:r>
          </w:p>
        </w:tc>
        <w:tc>
          <w:tcPr>
            <w:tcW w:w="1100" w:type="pct"/>
            <w:tcBorders>
              <w:top w:val="nil"/>
              <w:left w:val="nil"/>
              <w:bottom w:val="nil"/>
              <w:right w:val="nil"/>
            </w:tcBorders>
            <w:shd w:val="clear" w:color="auto" w:fill="auto"/>
            <w:vAlign w:val="bottom"/>
          </w:tcPr>
          <w:p w:rsidR="004010AA" w:rsidRDefault="004010AA" w:rsidP="006C43CF">
            <w:pPr>
              <w:spacing w:line="240" w:lineRule="auto"/>
              <w:ind w:firstLine="0"/>
              <w:jc w:val="right"/>
              <w:rPr>
                <w:color w:val="000000"/>
                <w:sz w:val="20"/>
                <w:szCs w:val="20"/>
              </w:rPr>
            </w:pPr>
            <w:r>
              <w:rPr>
                <w:color w:val="000000"/>
                <w:sz w:val="20"/>
                <w:szCs w:val="20"/>
              </w:rPr>
              <w:t>0.0079***</w:t>
            </w:r>
          </w:p>
        </w:tc>
        <w:tc>
          <w:tcPr>
            <w:tcW w:w="1099" w:type="pct"/>
            <w:tcBorders>
              <w:top w:val="nil"/>
              <w:left w:val="nil"/>
              <w:bottom w:val="nil"/>
              <w:right w:val="nil"/>
            </w:tcBorders>
            <w:shd w:val="clear" w:color="auto" w:fill="auto"/>
            <w:vAlign w:val="bottom"/>
          </w:tcPr>
          <w:p w:rsidR="004010AA" w:rsidRDefault="004010AA" w:rsidP="006C43CF">
            <w:pPr>
              <w:spacing w:line="240" w:lineRule="auto"/>
              <w:ind w:firstLine="0"/>
              <w:jc w:val="right"/>
              <w:rPr>
                <w:sz w:val="20"/>
                <w:szCs w:val="20"/>
              </w:rPr>
            </w:pPr>
            <w:r>
              <w:rPr>
                <w:sz w:val="20"/>
                <w:szCs w:val="20"/>
              </w:rPr>
              <w:t>0.00031</w:t>
            </w:r>
          </w:p>
        </w:tc>
      </w:tr>
      <w:tr w:rsidR="004010AA" w:rsidTr="004010AA">
        <w:trPr>
          <w:trHeight w:val="264"/>
        </w:trPr>
        <w:tc>
          <w:tcPr>
            <w:tcW w:w="767" w:type="pct"/>
            <w:tcBorders>
              <w:top w:val="nil"/>
              <w:left w:val="nil"/>
              <w:bottom w:val="nil"/>
              <w:right w:val="nil"/>
            </w:tcBorders>
            <w:shd w:val="clear" w:color="auto" w:fill="auto"/>
            <w:vAlign w:val="bottom"/>
          </w:tcPr>
          <w:p w:rsidR="004010AA" w:rsidRDefault="004010AA" w:rsidP="006C43CF">
            <w:pPr>
              <w:spacing w:line="240" w:lineRule="auto"/>
              <w:ind w:firstLine="0"/>
              <w:rPr>
                <w:b/>
                <w:color w:val="000000"/>
                <w:sz w:val="20"/>
                <w:szCs w:val="20"/>
              </w:rPr>
            </w:pPr>
            <w:r>
              <w:rPr>
                <w:b/>
                <w:color w:val="000000"/>
                <w:sz w:val="20"/>
                <w:szCs w:val="20"/>
              </w:rPr>
              <w:t>Eğitim</w:t>
            </w:r>
          </w:p>
        </w:tc>
        <w:tc>
          <w:tcPr>
            <w:tcW w:w="1034" w:type="pct"/>
            <w:tcBorders>
              <w:top w:val="nil"/>
              <w:left w:val="nil"/>
              <w:bottom w:val="nil"/>
              <w:right w:val="nil"/>
            </w:tcBorders>
            <w:shd w:val="clear" w:color="auto" w:fill="auto"/>
            <w:vAlign w:val="bottom"/>
          </w:tcPr>
          <w:p w:rsidR="004010AA" w:rsidRDefault="004010AA" w:rsidP="006C43CF">
            <w:pPr>
              <w:spacing w:line="240" w:lineRule="auto"/>
              <w:ind w:firstLine="0"/>
              <w:jc w:val="right"/>
              <w:rPr>
                <w:color w:val="000000"/>
                <w:sz w:val="20"/>
                <w:szCs w:val="20"/>
              </w:rPr>
            </w:pPr>
            <w:r>
              <w:rPr>
                <w:color w:val="000000"/>
                <w:sz w:val="20"/>
                <w:szCs w:val="20"/>
              </w:rPr>
              <w:t>-3.9884***</w:t>
            </w:r>
          </w:p>
        </w:tc>
        <w:tc>
          <w:tcPr>
            <w:tcW w:w="1000" w:type="pct"/>
            <w:tcBorders>
              <w:top w:val="nil"/>
              <w:left w:val="nil"/>
              <w:bottom w:val="nil"/>
              <w:right w:val="nil"/>
            </w:tcBorders>
            <w:shd w:val="clear" w:color="auto" w:fill="auto"/>
            <w:vAlign w:val="bottom"/>
          </w:tcPr>
          <w:p w:rsidR="004010AA" w:rsidRDefault="004010AA" w:rsidP="006C43CF">
            <w:pPr>
              <w:spacing w:line="240" w:lineRule="auto"/>
              <w:ind w:firstLine="0"/>
              <w:jc w:val="right"/>
              <w:rPr>
                <w:color w:val="000000"/>
                <w:sz w:val="20"/>
                <w:szCs w:val="20"/>
              </w:rPr>
            </w:pPr>
            <w:r>
              <w:rPr>
                <w:color w:val="000000"/>
                <w:sz w:val="20"/>
                <w:szCs w:val="20"/>
              </w:rPr>
              <w:t>0.0377085</w:t>
            </w:r>
          </w:p>
        </w:tc>
        <w:tc>
          <w:tcPr>
            <w:tcW w:w="1100" w:type="pct"/>
            <w:tcBorders>
              <w:top w:val="nil"/>
              <w:left w:val="nil"/>
              <w:bottom w:val="nil"/>
              <w:right w:val="nil"/>
            </w:tcBorders>
            <w:shd w:val="clear" w:color="auto" w:fill="auto"/>
            <w:vAlign w:val="bottom"/>
          </w:tcPr>
          <w:p w:rsidR="004010AA" w:rsidRDefault="004010AA" w:rsidP="006C43CF">
            <w:pPr>
              <w:spacing w:line="240" w:lineRule="auto"/>
              <w:ind w:firstLine="0"/>
              <w:jc w:val="right"/>
              <w:rPr>
                <w:color w:val="000000"/>
                <w:sz w:val="20"/>
                <w:szCs w:val="20"/>
              </w:rPr>
            </w:pPr>
            <w:r>
              <w:rPr>
                <w:color w:val="000000"/>
                <w:sz w:val="20"/>
                <w:szCs w:val="20"/>
              </w:rPr>
              <w:t>-0.0102***</w:t>
            </w:r>
          </w:p>
        </w:tc>
        <w:tc>
          <w:tcPr>
            <w:tcW w:w="1099" w:type="pct"/>
            <w:tcBorders>
              <w:top w:val="nil"/>
              <w:left w:val="nil"/>
              <w:bottom w:val="nil"/>
              <w:right w:val="nil"/>
            </w:tcBorders>
            <w:shd w:val="clear" w:color="auto" w:fill="auto"/>
            <w:vAlign w:val="bottom"/>
          </w:tcPr>
          <w:p w:rsidR="004010AA" w:rsidRDefault="004010AA" w:rsidP="006C43CF">
            <w:pPr>
              <w:spacing w:line="240" w:lineRule="auto"/>
              <w:ind w:firstLine="0"/>
              <w:jc w:val="right"/>
              <w:rPr>
                <w:sz w:val="20"/>
                <w:szCs w:val="20"/>
              </w:rPr>
            </w:pPr>
            <w:r>
              <w:rPr>
                <w:sz w:val="20"/>
                <w:szCs w:val="20"/>
              </w:rPr>
              <w:t>0.00011</w:t>
            </w:r>
          </w:p>
        </w:tc>
      </w:tr>
      <w:tr w:rsidR="004010AA" w:rsidTr="004010AA">
        <w:trPr>
          <w:trHeight w:val="264"/>
        </w:trPr>
        <w:tc>
          <w:tcPr>
            <w:tcW w:w="767" w:type="pct"/>
            <w:tcBorders>
              <w:top w:val="nil"/>
              <w:left w:val="nil"/>
              <w:right w:val="nil"/>
            </w:tcBorders>
            <w:shd w:val="clear" w:color="auto" w:fill="auto"/>
            <w:vAlign w:val="bottom"/>
          </w:tcPr>
          <w:p w:rsidR="004010AA" w:rsidRDefault="00056671" w:rsidP="006C43CF">
            <w:pPr>
              <w:spacing w:line="240" w:lineRule="auto"/>
              <w:ind w:firstLine="0"/>
              <w:rPr>
                <w:b/>
                <w:color w:val="000000"/>
                <w:sz w:val="20"/>
                <w:szCs w:val="20"/>
              </w:rPr>
            </w:pPr>
            <w:r>
              <w:rPr>
                <w:b/>
                <w:color w:val="000000"/>
                <w:sz w:val="20"/>
                <w:szCs w:val="20"/>
              </w:rPr>
              <w:t>HHB</w:t>
            </w:r>
          </w:p>
        </w:tc>
        <w:tc>
          <w:tcPr>
            <w:tcW w:w="1034" w:type="pct"/>
            <w:tcBorders>
              <w:top w:val="nil"/>
              <w:left w:val="nil"/>
              <w:right w:val="nil"/>
            </w:tcBorders>
            <w:shd w:val="clear" w:color="auto" w:fill="auto"/>
            <w:vAlign w:val="bottom"/>
          </w:tcPr>
          <w:p w:rsidR="004010AA" w:rsidRDefault="004010AA" w:rsidP="006C43CF">
            <w:pPr>
              <w:spacing w:line="240" w:lineRule="auto"/>
              <w:ind w:firstLine="0"/>
              <w:jc w:val="right"/>
              <w:rPr>
                <w:color w:val="000000"/>
                <w:sz w:val="20"/>
                <w:szCs w:val="20"/>
              </w:rPr>
            </w:pPr>
            <w:r>
              <w:rPr>
                <w:color w:val="000000"/>
                <w:sz w:val="20"/>
                <w:szCs w:val="20"/>
              </w:rPr>
              <w:t>-3.4938***</w:t>
            </w:r>
          </w:p>
        </w:tc>
        <w:tc>
          <w:tcPr>
            <w:tcW w:w="1000" w:type="pct"/>
            <w:tcBorders>
              <w:top w:val="nil"/>
              <w:left w:val="nil"/>
              <w:right w:val="nil"/>
            </w:tcBorders>
            <w:shd w:val="clear" w:color="auto" w:fill="auto"/>
            <w:vAlign w:val="bottom"/>
          </w:tcPr>
          <w:p w:rsidR="004010AA" w:rsidRDefault="004010AA" w:rsidP="006C43CF">
            <w:pPr>
              <w:spacing w:line="240" w:lineRule="auto"/>
              <w:ind w:firstLine="0"/>
              <w:jc w:val="right"/>
              <w:rPr>
                <w:color w:val="000000"/>
                <w:sz w:val="20"/>
                <w:szCs w:val="20"/>
              </w:rPr>
            </w:pPr>
            <w:r>
              <w:rPr>
                <w:color w:val="000000"/>
                <w:sz w:val="20"/>
                <w:szCs w:val="20"/>
              </w:rPr>
              <w:t>0.419007</w:t>
            </w:r>
          </w:p>
        </w:tc>
        <w:tc>
          <w:tcPr>
            <w:tcW w:w="1100" w:type="pct"/>
            <w:tcBorders>
              <w:top w:val="nil"/>
              <w:left w:val="nil"/>
              <w:right w:val="nil"/>
            </w:tcBorders>
            <w:shd w:val="clear" w:color="auto" w:fill="auto"/>
            <w:vAlign w:val="bottom"/>
          </w:tcPr>
          <w:p w:rsidR="004010AA" w:rsidRDefault="004010AA" w:rsidP="006C43CF">
            <w:pPr>
              <w:spacing w:line="240" w:lineRule="auto"/>
              <w:ind w:firstLine="0"/>
              <w:jc w:val="right"/>
              <w:rPr>
                <w:color w:val="000000"/>
                <w:sz w:val="20"/>
                <w:szCs w:val="20"/>
              </w:rPr>
            </w:pPr>
            <w:r>
              <w:rPr>
                <w:color w:val="000000"/>
                <w:sz w:val="20"/>
                <w:szCs w:val="20"/>
              </w:rPr>
              <w:t>-0.0021***</w:t>
            </w:r>
          </w:p>
        </w:tc>
        <w:tc>
          <w:tcPr>
            <w:tcW w:w="1099" w:type="pct"/>
            <w:tcBorders>
              <w:top w:val="nil"/>
              <w:left w:val="nil"/>
              <w:right w:val="nil"/>
            </w:tcBorders>
            <w:shd w:val="clear" w:color="auto" w:fill="auto"/>
            <w:vAlign w:val="bottom"/>
          </w:tcPr>
          <w:p w:rsidR="004010AA" w:rsidRDefault="004010AA" w:rsidP="006C43CF">
            <w:pPr>
              <w:spacing w:line="240" w:lineRule="auto"/>
              <w:ind w:firstLine="0"/>
              <w:jc w:val="right"/>
              <w:rPr>
                <w:sz w:val="20"/>
                <w:szCs w:val="20"/>
              </w:rPr>
            </w:pPr>
            <w:r>
              <w:rPr>
                <w:sz w:val="20"/>
                <w:szCs w:val="20"/>
              </w:rPr>
              <w:t>0.00012</w:t>
            </w:r>
          </w:p>
        </w:tc>
      </w:tr>
      <w:tr w:rsidR="004010AA" w:rsidTr="004010AA">
        <w:trPr>
          <w:trHeight w:val="264"/>
        </w:trPr>
        <w:tc>
          <w:tcPr>
            <w:tcW w:w="767" w:type="pct"/>
            <w:tcBorders>
              <w:top w:val="nil"/>
              <w:left w:val="nil"/>
              <w:bottom w:val="single" w:sz="4" w:space="0" w:color="000000"/>
              <w:right w:val="nil"/>
            </w:tcBorders>
            <w:shd w:val="clear" w:color="auto" w:fill="auto"/>
            <w:vAlign w:val="bottom"/>
          </w:tcPr>
          <w:p w:rsidR="004010AA" w:rsidRDefault="004010AA" w:rsidP="006C43CF">
            <w:pPr>
              <w:spacing w:line="240" w:lineRule="auto"/>
              <w:ind w:firstLine="0"/>
              <w:rPr>
                <w:b/>
                <w:color w:val="000000"/>
                <w:sz w:val="20"/>
                <w:szCs w:val="20"/>
              </w:rPr>
            </w:pPr>
            <w:r>
              <w:rPr>
                <w:b/>
                <w:color w:val="000000"/>
                <w:sz w:val="20"/>
                <w:szCs w:val="20"/>
              </w:rPr>
              <w:t>Gelir</w:t>
            </w:r>
          </w:p>
        </w:tc>
        <w:tc>
          <w:tcPr>
            <w:tcW w:w="1034" w:type="pct"/>
            <w:tcBorders>
              <w:top w:val="nil"/>
              <w:left w:val="nil"/>
              <w:bottom w:val="single" w:sz="4" w:space="0" w:color="000000"/>
              <w:right w:val="nil"/>
            </w:tcBorders>
            <w:shd w:val="clear" w:color="auto" w:fill="auto"/>
            <w:vAlign w:val="bottom"/>
          </w:tcPr>
          <w:p w:rsidR="004010AA" w:rsidRDefault="004010AA" w:rsidP="006C43CF">
            <w:pPr>
              <w:spacing w:line="240" w:lineRule="auto"/>
              <w:ind w:firstLine="0"/>
              <w:jc w:val="right"/>
              <w:rPr>
                <w:color w:val="000000"/>
                <w:sz w:val="20"/>
                <w:szCs w:val="20"/>
              </w:rPr>
            </w:pPr>
            <w:r>
              <w:rPr>
                <w:color w:val="000000"/>
                <w:sz w:val="20"/>
                <w:szCs w:val="20"/>
              </w:rPr>
              <w:t>0.0000574 ***</w:t>
            </w:r>
          </w:p>
        </w:tc>
        <w:tc>
          <w:tcPr>
            <w:tcW w:w="1000" w:type="pct"/>
            <w:tcBorders>
              <w:top w:val="nil"/>
              <w:left w:val="nil"/>
              <w:bottom w:val="single" w:sz="4" w:space="0" w:color="000000"/>
              <w:right w:val="nil"/>
            </w:tcBorders>
            <w:shd w:val="clear" w:color="auto" w:fill="auto"/>
            <w:vAlign w:val="bottom"/>
          </w:tcPr>
          <w:p w:rsidR="004010AA" w:rsidRDefault="004010AA" w:rsidP="006C43CF">
            <w:pPr>
              <w:spacing w:line="240" w:lineRule="auto"/>
              <w:ind w:firstLine="0"/>
              <w:jc w:val="right"/>
              <w:rPr>
                <w:color w:val="000000"/>
                <w:sz w:val="20"/>
                <w:szCs w:val="20"/>
              </w:rPr>
            </w:pPr>
            <w:r>
              <w:rPr>
                <w:color w:val="000000"/>
                <w:sz w:val="20"/>
                <w:szCs w:val="20"/>
              </w:rPr>
              <w:t>7.95</w:t>
            </w:r>
            <m:oMath>
              <m:sSup>
                <m:sSupPr>
                  <m:ctrlPr>
                    <w:rPr>
                      <w:rFonts w:ascii="Cambria Math" w:eastAsia="Cambria Math" w:hAnsi="Cambria Math" w:cs="Cambria Math"/>
                      <w:color w:val="000000"/>
                      <w:sz w:val="20"/>
                      <w:szCs w:val="20"/>
                    </w:rPr>
                  </m:ctrlPr>
                </m:sSupPr>
                <m:e>
                  <m:r>
                    <w:rPr>
                      <w:rFonts w:ascii="Cambria Math" w:eastAsia="Cambria Math" w:hAnsi="Cambria Math" w:cs="Cambria Math"/>
                      <w:color w:val="000000"/>
                      <w:sz w:val="20"/>
                      <w:szCs w:val="20"/>
                    </w:rPr>
                    <m:t>e</m:t>
                  </m:r>
                </m:e>
                <m:sup>
                  <m:r>
                    <w:rPr>
                      <w:rFonts w:ascii="Cambria Math" w:eastAsia="Cambria Math" w:hAnsi="Cambria Math" w:cs="Cambria Math"/>
                      <w:color w:val="000000"/>
                      <w:sz w:val="20"/>
                      <w:szCs w:val="20"/>
                    </w:rPr>
                    <m:t>-07</m:t>
                  </m:r>
                </m:sup>
              </m:sSup>
            </m:oMath>
          </w:p>
        </w:tc>
        <w:tc>
          <w:tcPr>
            <w:tcW w:w="1100" w:type="pct"/>
            <w:tcBorders>
              <w:top w:val="nil"/>
              <w:left w:val="nil"/>
              <w:bottom w:val="single" w:sz="4" w:space="0" w:color="000000"/>
              <w:right w:val="nil"/>
            </w:tcBorders>
            <w:shd w:val="clear" w:color="auto" w:fill="auto"/>
            <w:vAlign w:val="bottom"/>
          </w:tcPr>
          <w:p w:rsidR="004010AA" w:rsidRDefault="004010AA" w:rsidP="006C43CF">
            <w:pPr>
              <w:spacing w:line="240" w:lineRule="auto"/>
              <w:ind w:firstLine="0"/>
              <w:jc w:val="right"/>
              <w:rPr>
                <w:color w:val="000000"/>
                <w:sz w:val="20"/>
                <w:szCs w:val="20"/>
              </w:rPr>
            </w:pPr>
            <w:r>
              <w:rPr>
                <w:color w:val="000000"/>
                <w:sz w:val="20"/>
                <w:szCs w:val="20"/>
              </w:rPr>
              <w:t>-3.46</w:t>
            </w:r>
            <m:oMath>
              <m:sSup>
                <m:sSupPr>
                  <m:ctrlPr>
                    <w:rPr>
                      <w:rFonts w:ascii="Cambria Math" w:eastAsia="Cambria Math" w:hAnsi="Cambria Math" w:cs="Cambria Math"/>
                      <w:color w:val="000000"/>
                      <w:sz w:val="20"/>
                      <w:szCs w:val="20"/>
                    </w:rPr>
                  </m:ctrlPr>
                </m:sSupPr>
                <m:e>
                  <m:r>
                    <w:rPr>
                      <w:rFonts w:ascii="Cambria Math" w:eastAsia="Cambria Math" w:hAnsi="Cambria Math" w:cs="Cambria Math"/>
                      <w:color w:val="000000"/>
                      <w:sz w:val="20"/>
                      <w:szCs w:val="20"/>
                    </w:rPr>
                    <m:t>e</m:t>
                  </m:r>
                </m:e>
                <m:sup>
                  <m:r>
                    <w:rPr>
                      <w:rFonts w:ascii="Cambria Math" w:eastAsia="Cambria Math" w:hAnsi="Cambria Math" w:cs="Cambria Math"/>
                      <w:color w:val="000000"/>
                      <w:sz w:val="20"/>
                      <w:szCs w:val="20"/>
                    </w:rPr>
                    <m:t>-08</m:t>
                  </m:r>
                </m:sup>
              </m:sSup>
            </m:oMath>
            <w:r>
              <w:rPr>
                <w:color w:val="000000"/>
                <w:sz w:val="20"/>
                <w:szCs w:val="20"/>
              </w:rPr>
              <w:t>***</w:t>
            </w:r>
          </w:p>
        </w:tc>
        <w:tc>
          <w:tcPr>
            <w:tcW w:w="1099" w:type="pct"/>
            <w:tcBorders>
              <w:top w:val="nil"/>
              <w:left w:val="nil"/>
              <w:bottom w:val="single" w:sz="4" w:space="0" w:color="000000"/>
              <w:right w:val="nil"/>
            </w:tcBorders>
            <w:shd w:val="clear" w:color="auto" w:fill="auto"/>
            <w:vAlign w:val="bottom"/>
          </w:tcPr>
          <w:p w:rsidR="004010AA" w:rsidRDefault="004010AA" w:rsidP="006C43CF">
            <w:pPr>
              <w:spacing w:line="240" w:lineRule="auto"/>
              <w:ind w:firstLine="0"/>
              <w:jc w:val="right"/>
              <w:rPr>
                <w:sz w:val="20"/>
                <w:szCs w:val="20"/>
              </w:rPr>
            </w:pPr>
            <w:r>
              <w:rPr>
                <w:sz w:val="20"/>
                <w:szCs w:val="20"/>
              </w:rPr>
              <w:t>0.00000</w:t>
            </w:r>
          </w:p>
        </w:tc>
      </w:tr>
    </w:tbl>
    <w:p w:rsidR="009D2B51" w:rsidRPr="009D2B51" w:rsidRDefault="009D2B51" w:rsidP="00824583">
      <w:pPr>
        <w:ind w:firstLine="0"/>
        <w:rPr>
          <w:shd w:val="clear" w:color="auto" w:fill="FFFFFF"/>
        </w:rPr>
      </w:pPr>
      <w:r w:rsidRPr="00E12FEC">
        <w:rPr>
          <w:b/>
          <w:shd w:val="clear" w:color="auto" w:fill="FFFFFF"/>
        </w:rPr>
        <w:t>Not:</w:t>
      </w:r>
      <w:r w:rsidRPr="009D2B51">
        <w:rPr>
          <w:shd w:val="clear" w:color="auto" w:fill="FFFFFF"/>
        </w:rPr>
        <w:t>*,**,*** sırasıyla 0,10; 0,05 ve 0,01 istatistiksel anlamlılık seviyesi göstermektedir.</w:t>
      </w:r>
    </w:p>
    <w:p w:rsidR="00824583" w:rsidRPr="009D2B51" w:rsidRDefault="00824583" w:rsidP="00824583">
      <w:pPr>
        <w:rPr>
          <w:shd w:val="clear" w:color="auto" w:fill="FFFFFF"/>
        </w:rPr>
      </w:pPr>
    </w:p>
    <w:p w:rsidR="009D2B51" w:rsidRPr="009D2B51" w:rsidRDefault="009D2B51" w:rsidP="00824583">
      <w:pPr>
        <w:rPr>
          <w:shd w:val="clear" w:color="auto" w:fill="FFFFFF"/>
        </w:rPr>
      </w:pPr>
      <w:r w:rsidRPr="009D2B51">
        <w:rPr>
          <w:shd w:val="clear" w:color="auto" w:fill="FFFFFF"/>
        </w:rPr>
        <w:t>Marjinal etkilerin incelendiği Tablo 4’te yer alan Çift Eşik model sonuçlar</w:t>
      </w:r>
      <w:r w:rsidR="00F000F4">
        <w:rPr>
          <w:shd w:val="clear" w:color="auto" w:fill="FFFFFF"/>
        </w:rPr>
        <w:t>ına göre; yaş değişkenindeki %1’</w:t>
      </w:r>
      <w:r w:rsidRPr="009D2B51">
        <w:rPr>
          <w:shd w:val="clear" w:color="auto" w:fill="FFFFFF"/>
        </w:rPr>
        <w:t>lik bir artış sigara tüketiminin %112 azalmasına</w:t>
      </w:r>
      <w:r w:rsidR="003A2A11">
        <w:rPr>
          <w:shd w:val="clear" w:color="auto" w:fill="FFFFFF"/>
        </w:rPr>
        <w:t xml:space="preserve"> neden olmaktadır. Medeni durum</w:t>
      </w:r>
      <w:r w:rsidRPr="009D2B51">
        <w:rPr>
          <w:shd w:val="clear" w:color="auto" w:fill="FFFFFF"/>
        </w:rPr>
        <w:t xml:space="preserve"> için hes</w:t>
      </w:r>
      <w:r w:rsidR="003A2A11">
        <w:rPr>
          <w:shd w:val="clear" w:color="auto" w:fill="FFFFFF"/>
        </w:rPr>
        <w:t>a</w:t>
      </w:r>
      <w:r w:rsidRPr="009D2B51">
        <w:rPr>
          <w:shd w:val="clear" w:color="auto" w:fill="FFFFFF"/>
        </w:rPr>
        <w:t>planan marjinal etkiler, evliliğin sigara tüketimini %276 azalttığını göstermektedir. Cinsiyetin erkek olması halinde ise sigara tüketiminin %0.22 arttığı görülmektedir. Hanehalklarının eğitim seviyesi arttıkça sigara tüketiminin %398 azaldığı ve bu değişkenin diğer değişkenlere oranla sigara tüketimine olan etkisinin daha büyük olduğu sonucuna varılmıştır. Hanehalkı büyüklüğü açısından sigara tüketimi değerlendirildiğinde, hanedeki birey sayısı arttıkça sigara tüketimi %349 azalmaktadır. Ayrıca, hanehalklarının gelir seviyesindeki %1‘lik bir artışın sigara tüketimini %0.00005 oranında arttırdığı gözlemlenmektedir.</w:t>
      </w:r>
    </w:p>
    <w:p w:rsidR="009D2B51" w:rsidRPr="009D2B51" w:rsidRDefault="009D2B51" w:rsidP="00824583">
      <w:pPr>
        <w:rPr>
          <w:shd w:val="clear" w:color="auto" w:fill="FFFFFF"/>
        </w:rPr>
      </w:pPr>
      <w:r w:rsidRPr="009D2B51">
        <w:rPr>
          <w:shd w:val="clear" w:color="auto" w:fill="FFFFFF"/>
        </w:rPr>
        <w:t xml:space="preserve">Tablo 4’te yer alan Tobit modeli sonuçlarına göre, değişkenlerindeki %1’lik bir artışın marjinal etkileri incelendiğinde sigara tüketimini negatif yönde etkileyen değişkenler sırasıyla; yaş, cinsiyet, eğitim seviyesi, hanehalkı büyüklüğü ve gelirdir. Sigara tüketen bireyin yaşı arttıkça tüketimin %0.003 oranında azaldığı ve bu oranın Jones modeline göre karşılaştırıldığında etkisinin daha düşük olduğu tespit edilmiştir. Cinsiyet değişkenin erkek olması halinde sigara tüketiminin %0.013 azaldığı görülmektedir. Bu değişkenin Çift Eşik modelinde sigara tüketimine olan etkisi pozitif yönde ve büyük oranda olmuştur. Eğitim seviyesi artan bireylerin sigara tüketimini %0.010 oranında azalttığı ve bu oranın etkisinin Çift Eşik modeline göre kıyaslandığında daha düşük olduğu gözlemlenmektedir. Tobit modeli sonuçları hanedeki çocuk sayısının artmasının sigara tüketiminin %0.02 azalmasına etki ettiğini </w:t>
      </w:r>
      <w:r w:rsidRPr="009D2B51">
        <w:rPr>
          <w:shd w:val="clear" w:color="auto" w:fill="FFFFFF"/>
        </w:rPr>
        <w:lastRenderedPageBreak/>
        <w:t>göstermektedir. Ayrıca, gelir düzeyinin artması Tobit modelinde sigara tüketimini %346 azaltmıştır. Bu değişkenin sigara tüketimine olan etkisi Çift Eşik modeline göre kıyaslandığında; büyük oranda ve negatif yönde bulunmuştur. Sigara tüketimini pozitif yönde etkileyen medeni durum değişkeni; bireylerin evli olması durumuna göre sigara tüketiminde %0.007’lik bir artış etkisi yaratmaktadır. Bu etkinin Çift Eşik modeli ile karşılaştırıldığında sigara tüketimine olan etkisinin pozitif yönde ve küçük oranda olduğu tespit edilmiştir.</w:t>
      </w:r>
    </w:p>
    <w:p w:rsidR="00F141C5" w:rsidRDefault="00F141C5">
      <w:pPr>
        <w:spacing w:after="160" w:line="259" w:lineRule="auto"/>
        <w:ind w:firstLine="0"/>
        <w:jc w:val="left"/>
        <w:rPr>
          <w:shd w:val="clear" w:color="auto" w:fill="FFFFFF"/>
        </w:rPr>
      </w:pPr>
      <w:r>
        <w:rPr>
          <w:shd w:val="clear" w:color="auto" w:fill="FFFFFF"/>
        </w:rPr>
        <w:br w:type="page"/>
      </w:r>
    </w:p>
    <w:p w:rsidR="00824583" w:rsidRDefault="00824583" w:rsidP="00EC06FA">
      <w:pPr>
        <w:rPr>
          <w:shd w:val="clear" w:color="auto" w:fill="FFFFFF"/>
        </w:rPr>
      </w:pPr>
    </w:p>
    <w:p w:rsidR="00824583" w:rsidRDefault="00824583" w:rsidP="00EC06FA">
      <w:pPr>
        <w:rPr>
          <w:shd w:val="clear" w:color="auto" w:fill="FFFFFF"/>
        </w:rPr>
      </w:pPr>
    </w:p>
    <w:p w:rsidR="009D2B51" w:rsidRPr="009D2B51" w:rsidRDefault="006C43CF" w:rsidP="00824583">
      <w:pPr>
        <w:pStyle w:val="Balk1"/>
        <w:rPr>
          <w:shd w:val="clear" w:color="auto" w:fill="FFFFFF"/>
        </w:rPr>
      </w:pPr>
      <w:bookmarkStart w:id="25" w:name="_Toc34134594"/>
      <w:r>
        <w:rPr>
          <w:shd w:val="clear" w:color="auto" w:fill="FFFFFF"/>
        </w:rPr>
        <w:t>SONUÇ VE</w:t>
      </w:r>
      <w:r w:rsidR="009D2B51" w:rsidRPr="009D2B51">
        <w:rPr>
          <w:shd w:val="clear" w:color="auto" w:fill="FFFFFF"/>
        </w:rPr>
        <w:t xml:space="preserve"> DEĞERLENDİRME</w:t>
      </w:r>
      <w:bookmarkEnd w:id="25"/>
    </w:p>
    <w:p w:rsidR="009D2B51" w:rsidRPr="009D2B51" w:rsidRDefault="009D2B51" w:rsidP="00EC06FA">
      <w:pPr>
        <w:rPr>
          <w:shd w:val="clear" w:color="auto" w:fill="FFFFFF"/>
        </w:rPr>
      </w:pPr>
      <w:r w:rsidRPr="009D2B51">
        <w:rPr>
          <w:shd w:val="clear" w:color="auto" w:fill="FFFFFF"/>
        </w:rPr>
        <w:t xml:space="preserve">Bu çalışmada Türkiye’de yerleşik hanehalklarının yapmış olduğu sigara tüketiminin sosyo-ekonomik ve demografik belirleyicileri 2014 Hanehalkı Bütçe Anketi veri seti üzerinden Tobit ve Çift Eşik modelleri yardımı ile analiz edilmiştir. LR test istatistiği ve model uyum iyiliği kriterlerine göre Tobit modelinin Çift Eşik modeline kıyasla daha uyumlu olduğu sonucuna varılmıştır. Ancak çalışmada Çift Eşik modelinin veri seti değişkenlerinin, katılım ve tüketim karar aşamaları üzerine etkisinin farklı olduğu ve tahmin edilen katsayıların istatistiksel olarak anlamlı olması nedeniyle Çift Eşik model sonuçlarının Tobit modeline göre daha tutarlı olduğu kabul edilmiştir. </w:t>
      </w:r>
    </w:p>
    <w:p w:rsidR="009D2B51" w:rsidRPr="009D2B51" w:rsidRDefault="009D2B51" w:rsidP="00EC06FA">
      <w:pPr>
        <w:rPr>
          <w:shd w:val="clear" w:color="auto" w:fill="FFFFFF"/>
        </w:rPr>
      </w:pPr>
      <w:r w:rsidRPr="009D2B51">
        <w:rPr>
          <w:shd w:val="clear" w:color="auto" w:fill="FFFFFF"/>
        </w:rPr>
        <w:t>Yapılan ekonometrik analizler neticesinde bireylerin yaşı arttıkça sigara tüketiminin azaldığı sonucuna varılmıştır. Ülkemizde sigaraya genellikle ergenlik ve gençlik dönemlerinde başlanmaktadır. Gençlerin bu dönemlerde karar verme yetilerinin gelişmemesinden dolayı ailelere büyük sorumluluklar düşmektedir. Hem ebeveynlerin hem de çocukların sigaranın kısa sürede bağımlılık yaratıcı bir madde olduğu ve sağlığa olan zararları hakkında psikolojik destek alması gerekliliği büyük önem taşımaktadır. Yüz yüze iletişim kurmak ve aile ile iş birliği sağlamak gibi politikalara öncelik verilmelidir. Elde edilen bu sonuç, literatürde Aristei ve Pieroni (2008), Blaylock ve Blisard (1992) ve Fry ve Pashardes (1994) çalışmaları ile paralellik göstermektedir.</w:t>
      </w:r>
    </w:p>
    <w:p w:rsidR="009D2B51" w:rsidRPr="009D2B51" w:rsidRDefault="009D2B51" w:rsidP="00824583">
      <w:pPr>
        <w:rPr>
          <w:shd w:val="clear" w:color="auto" w:fill="FFFFFF"/>
        </w:rPr>
      </w:pPr>
      <w:r w:rsidRPr="009D2B51">
        <w:rPr>
          <w:shd w:val="clear" w:color="auto" w:fill="FFFFFF"/>
        </w:rPr>
        <w:t>Hanedeki eğitim seviyesi arttıkça bireylerin daha bilinçli olması ve sağlık durumları ile ilgili olarak daha özenli olmaları beklenmektedir. Bireyin eğitim seviyesinin arttıkça bağımlılık yapıcı maddelere olan tüketme eğiliminin azaldığı ve özellikle sigara tüketimine olan istek derecesinin azaldığı literatürdeki birçok çalışmada gözlemlenmiştir. Keeler vd. (2001) ve Harris ve Zhao (2007) gibi yazarların çalışmalarında benzer sonuçlara rastlanmaktadır. Bu tez çalışmasında, eğitim düzeyi arttıkça sigara tüketiminin yaklaşık olarak dört kat azaldığı tespit edilmiştir. Eğitim değişkeninin sigara tüketimi üzerindeki etkisi diğer sosyoekonomik değişkenlere kıyasla en yüksek seviyede olduğu gözlemlenmiştir. Bu anlamda, bireylerin sigaranın zararlarına karşı bilinçlendirilmesi ve toplumun eğitim seviyesinin yükseltilmesi gibi politikalara öncelik verilmelidir.</w:t>
      </w:r>
    </w:p>
    <w:p w:rsidR="009D2B51" w:rsidRPr="009D2B51" w:rsidRDefault="009D2B51" w:rsidP="00824583">
      <w:pPr>
        <w:rPr>
          <w:shd w:val="clear" w:color="auto" w:fill="FFFFFF"/>
        </w:rPr>
      </w:pPr>
      <w:r w:rsidRPr="009D2B51">
        <w:rPr>
          <w:shd w:val="clear" w:color="auto" w:fill="FFFFFF"/>
        </w:rPr>
        <w:lastRenderedPageBreak/>
        <w:t xml:space="preserve">Haneye yeni katılan bebeğe zarar vereceği düşüncesi ile hareket eden yetişkinin sigara tüketimini azaltması beklenmektedir. Haneye yeni katılan bireyin anne ve babasını rol model olarak alabileceği düşüncesi sigara tüketiminin önlenmesi açısından ebeveynlere büyük sorumluluk yüklemektedir. Çalışmada hem Çift Eşik hem de Tobit model sonuçlarına göre, hanehalkı büyüklüğünün sigara tüketimi üzerinde etkili olduğu ve ailedeki çocuk sayısı arttıkça sigara tüketiminin azaldığı tespit edilmiştir. </w:t>
      </w:r>
    </w:p>
    <w:p w:rsidR="009D2B51" w:rsidRPr="009D2B51" w:rsidRDefault="009D2B51" w:rsidP="00824583">
      <w:pPr>
        <w:rPr>
          <w:shd w:val="clear" w:color="auto" w:fill="FFFFFF"/>
        </w:rPr>
      </w:pPr>
      <w:r w:rsidRPr="009D2B51">
        <w:rPr>
          <w:rFonts w:hint="eastAsia"/>
          <w:shd w:val="clear" w:color="auto" w:fill="FFFFFF"/>
        </w:rPr>
        <w:t>Ü</w:t>
      </w:r>
      <w:r w:rsidRPr="009D2B51">
        <w:rPr>
          <w:shd w:val="clear" w:color="auto" w:fill="FFFFFF"/>
        </w:rPr>
        <w:t xml:space="preserve">lkelerin ekonomik refah düzeyleri sigara tüketimini etkilemektedir. Çift Eşik modeli tahmin sonucunda elde edilen bulgulara göre; ülkelerin gelir düzeyi arttıkça sigara tüketimi %0.00005 oranında artmaktadır. Bu sonuç Dikmen (2005) çalışması ile paralellik göstermektedir. </w:t>
      </w:r>
    </w:p>
    <w:p w:rsidR="009D2B51" w:rsidRDefault="009D2B51" w:rsidP="00824583">
      <w:pPr>
        <w:rPr>
          <w:shd w:val="clear" w:color="auto" w:fill="FFFFFF"/>
        </w:rPr>
      </w:pPr>
      <w:r w:rsidRPr="009D2B51">
        <w:rPr>
          <w:shd w:val="clear" w:color="auto" w:fill="FFFFFF"/>
        </w:rPr>
        <w:t xml:space="preserve">Bütün bu bulgular göz önüne alındığında, politika yapıcı tarafından uygulanan sigara tüketimini azaltmaya yönelik politikaların etkinliğinin arttırılması, bireylerin sigaranın zararlarına karşı bilinçlendirilmesi ve toplumun eğitim seviyesinin yükseltilmesi gerekmektedir. </w:t>
      </w:r>
    </w:p>
    <w:p w:rsidR="00F141C5" w:rsidRDefault="00F141C5">
      <w:pPr>
        <w:spacing w:after="160" w:line="259" w:lineRule="auto"/>
        <w:ind w:firstLine="0"/>
        <w:jc w:val="left"/>
        <w:rPr>
          <w:shd w:val="clear" w:color="auto" w:fill="FFFFFF"/>
        </w:rPr>
      </w:pPr>
      <w:r>
        <w:rPr>
          <w:shd w:val="clear" w:color="auto" w:fill="FFFFFF"/>
        </w:rPr>
        <w:br w:type="page"/>
      </w:r>
    </w:p>
    <w:p w:rsidR="00824583" w:rsidRPr="009D2B51" w:rsidRDefault="00824583" w:rsidP="00824583">
      <w:pPr>
        <w:rPr>
          <w:shd w:val="clear" w:color="auto" w:fill="FFFFFF"/>
        </w:rPr>
      </w:pPr>
    </w:p>
    <w:p w:rsidR="009D2B51" w:rsidRPr="009D2B51" w:rsidRDefault="009D2B51" w:rsidP="00EC06FA">
      <w:pPr>
        <w:rPr>
          <w:shd w:val="clear" w:color="auto" w:fill="FFFFFF"/>
        </w:rPr>
      </w:pPr>
    </w:p>
    <w:p w:rsidR="009D2B51" w:rsidRPr="009D2B51" w:rsidRDefault="009D2B51" w:rsidP="00824583">
      <w:pPr>
        <w:pStyle w:val="Balk1"/>
        <w:rPr>
          <w:shd w:val="clear" w:color="auto" w:fill="FFFFFF"/>
        </w:rPr>
      </w:pPr>
      <w:bookmarkStart w:id="26" w:name="_Toc34134595"/>
      <w:r w:rsidRPr="009D2B51">
        <w:rPr>
          <w:shd w:val="clear" w:color="auto" w:fill="FFFFFF"/>
        </w:rPr>
        <w:t>KAYNAKÇA</w:t>
      </w:r>
      <w:bookmarkEnd w:id="26"/>
    </w:p>
    <w:p w:rsidR="000E3E30" w:rsidRPr="00115FA3" w:rsidRDefault="000E3E30" w:rsidP="000E3E30">
      <w:pPr>
        <w:spacing w:after="240"/>
        <w:ind w:left="709" w:hanging="709"/>
      </w:pPr>
      <w:r w:rsidRPr="00115FA3">
        <w:rPr>
          <w:shd w:val="clear" w:color="auto" w:fill="FFFFFF"/>
        </w:rPr>
        <w:t>ADDA Jerome and CORNAGLİA Francesca; (2010), “The Effect of Bans and Taxes on Passive Smoking,” </w:t>
      </w:r>
      <w:r w:rsidRPr="00115FA3">
        <w:rPr>
          <w:b/>
          <w:iCs/>
          <w:shd w:val="clear" w:color="auto" w:fill="FFFFFF"/>
        </w:rPr>
        <w:t>American Economic Journal: Applied Economics</w:t>
      </w:r>
      <w:r w:rsidRPr="00115FA3">
        <w:rPr>
          <w:shd w:val="clear" w:color="auto" w:fill="FFFFFF"/>
        </w:rPr>
        <w:t>, </w:t>
      </w:r>
      <w:r w:rsidRPr="00115FA3">
        <w:rPr>
          <w:iCs/>
          <w:shd w:val="clear" w:color="auto" w:fill="FFFFFF"/>
        </w:rPr>
        <w:t>2</w:t>
      </w:r>
      <w:r w:rsidRPr="00115FA3">
        <w:rPr>
          <w:shd w:val="clear" w:color="auto" w:fill="FFFFFF"/>
        </w:rPr>
        <w:t>(1), pp.1-32.</w:t>
      </w:r>
    </w:p>
    <w:p w:rsidR="000E3E30" w:rsidRPr="00115FA3" w:rsidRDefault="000E3E30" w:rsidP="000E3E30">
      <w:pPr>
        <w:spacing w:after="240"/>
        <w:ind w:left="709" w:hanging="709"/>
      </w:pPr>
      <w:r w:rsidRPr="00115FA3">
        <w:rPr>
          <w:color w:val="222222"/>
          <w:shd w:val="clear" w:color="auto" w:fill="FFFFFF"/>
        </w:rPr>
        <w:t xml:space="preserve">AKSOY Adem, BİLGİC Abdulbaki, YEN T. Steven </w:t>
      </w:r>
      <w:r w:rsidR="00767F56">
        <w:rPr>
          <w:color w:val="222222"/>
          <w:shd w:val="clear" w:color="auto" w:fill="FFFFFF"/>
        </w:rPr>
        <w:t>ve</w:t>
      </w:r>
      <w:r w:rsidRPr="00115FA3">
        <w:rPr>
          <w:color w:val="222222"/>
          <w:shd w:val="clear" w:color="auto" w:fill="FFFFFF"/>
        </w:rPr>
        <w:t xml:space="preserve"> URAK Faruk; (2019), “Determinants of Household Alcohol and Tobacco Expenditures in Turkey”, </w:t>
      </w:r>
      <w:r w:rsidRPr="00115FA3">
        <w:rPr>
          <w:b/>
          <w:iCs/>
          <w:color w:val="222222"/>
          <w:shd w:val="clear" w:color="auto" w:fill="FFFFFF"/>
        </w:rPr>
        <w:t>Journal of Family and Economic Issues</w:t>
      </w:r>
      <w:r w:rsidRPr="00115FA3">
        <w:rPr>
          <w:color w:val="222222"/>
          <w:shd w:val="clear" w:color="auto" w:fill="FFFFFF"/>
        </w:rPr>
        <w:t>, pp.1-14.</w:t>
      </w:r>
    </w:p>
    <w:p w:rsidR="000E3E30" w:rsidRPr="00115FA3" w:rsidRDefault="000E3E30" w:rsidP="000E3E30">
      <w:pPr>
        <w:pStyle w:val="DipnotMetni"/>
        <w:spacing w:after="240"/>
        <w:ind w:left="709" w:hanging="709"/>
        <w:rPr>
          <w:rFonts w:ascii="Times New Roman" w:hAnsi="Times New Roman"/>
          <w:sz w:val="24"/>
          <w:szCs w:val="24"/>
          <w:shd w:val="clear" w:color="auto" w:fill="FFFFFF"/>
        </w:rPr>
      </w:pPr>
      <w:r w:rsidRPr="00115FA3">
        <w:rPr>
          <w:rFonts w:ascii="Times New Roman" w:hAnsi="Times New Roman"/>
          <w:sz w:val="24"/>
          <w:szCs w:val="24"/>
        </w:rPr>
        <w:t xml:space="preserve">ALAM Y. Ali, IQBAL Azhar, MOHAMUD B. Khalif, LAPORTE E. Ronald, AHMED Ashfaq </w:t>
      </w:r>
      <w:r w:rsidR="00767F56">
        <w:rPr>
          <w:rFonts w:ascii="Times New Roman" w:hAnsi="Times New Roman"/>
          <w:sz w:val="24"/>
          <w:szCs w:val="24"/>
        </w:rPr>
        <w:t>ve</w:t>
      </w:r>
      <w:r w:rsidRPr="00115FA3">
        <w:rPr>
          <w:rFonts w:ascii="Times New Roman" w:hAnsi="Times New Roman"/>
          <w:sz w:val="24"/>
          <w:szCs w:val="24"/>
        </w:rPr>
        <w:t xml:space="preserve"> NİSHTAR Sania; (2008), “ </w:t>
      </w:r>
      <w:r w:rsidRPr="00115FA3">
        <w:rPr>
          <w:rFonts w:ascii="Times New Roman" w:hAnsi="Times New Roman"/>
          <w:sz w:val="24"/>
          <w:szCs w:val="24"/>
          <w:shd w:val="clear" w:color="auto" w:fill="FFFFFF"/>
        </w:rPr>
        <w:t>Investigating Socio-Eco</w:t>
      </w:r>
      <w:r w:rsidR="00767F56">
        <w:rPr>
          <w:rFonts w:ascii="Times New Roman" w:hAnsi="Times New Roman"/>
          <w:sz w:val="24"/>
          <w:szCs w:val="24"/>
          <w:shd w:val="clear" w:color="auto" w:fill="FFFFFF"/>
        </w:rPr>
        <w:t>nomic-Demographic Determinants o</w:t>
      </w:r>
      <w:r w:rsidRPr="00115FA3">
        <w:rPr>
          <w:rFonts w:ascii="Times New Roman" w:hAnsi="Times New Roman"/>
          <w:sz w:val="24"/>
          <w:szCs w:val="24"/>
          <w:shd w:val="clear" w:color="auto" w:fill="FFFFFF"/>
        </w:rPr>
        <w:t>f Tobacco</w:t>
      </w:r>
      <w:r w:rsidR="00767F56">
        <w:rPr>
          <w:rFonts w:ascii="Times New Roman" w:hAnsi="Times New Roman"/>
          <w:sz w:val="24"/>
          <w:szCs w:val="24"/>
          <w:shd w:val="clear" w:color="auto" w:fill="FFFFFF"/>
        </w:rPr>
        <w:t xml:space="preserve"> Use i</w:t>
      </w:r>
      <w:r w:rsidRPr="00115FA3">
        <w:rPr>
          <w:rFonts w:ascii="Times New Roman" w:hAnsi="Times New Roman"/>
          <w:sz w:val="24"/>
          <w:szCs w:val="24"/>
          <w:shd w:val="clear" w:color="auto" w:fill="FFFFFF"/>
        </w:rPr>
        <w:t xml:space="preserve">n Rawalpindi, Pakistan”, </w:t>
      </w:r>
      <w:r w:rsidRPr="00115FA3">
        <w:rPr>
          <w:rFonts w:ascii="Times New Roman" w:hAnsi="Times New Roman"/>
          <w:b/>
          <w:iCs/>
          <w:sz w:val="24"/>
          <w:szCs w:val="24"/>
          <w:shd w:val="clear" w:color="auto" w:fill="FFFFFF"/>
        </w:rPr>
        <w:t>BMC Public Health</w:t>
      </w:r>
      <w:r w:rsidRPr="00115FA3">
        <w:rPr>
          <w:rFonts w:ascii="Times New Roman" w:hAnsi="Times New Roman"/>
          <w:iCs/>
          <w:sz w:val="24"/>
          <w:szCs w:val="24"/>
          <w:shd w:val="clear" w:color="auto" w:fill="FFFFFF"/>
        </w:rPr>
        <w:t>, 8</w:t>
      </w:r>
      <w:r w:rsidRPr="00115FA3">
        <w:rPr>
          <w:rFonts w:ascii="Times New Roman" w:hAnsi="Times New Roman"/>
          <w:sz w:val="24"/>
          <w:szCs w:val="24"/>
          <w:shd w:val="clear" w:color="auto" w:fill="FFFFFF"/>
        </w:rPr>
        <w:t>(1), pp.50.</w:t>
      </w:r>
    </w:p>
    <w:p w:rsidR="000E3E30" w:rsidRPr="00115FA3" w:rsidRDefault="000E3E30" w:rsidP="000E3E30">
      <w:pPr>
        <w:spacing w:after="240"/>
        <w:ind w:left="709" w:hanging="709"/>
      </w:pPr>
      <w:r w:rsidRPr="00115FA3">
        <w:t>ALI Abdifatah ve BİLGİÇ Abdülbaki; (2016), “</w:t>
      </w:r>
      <w:r w:rsidR="00767F56">
        <w:rPr>
          <w:shd w:val="clear" w:color="auto" w:fill="FFFFFF"/>
        </w:rPr>
        <w:t>Factors I</w:t>
      </w:r>
      <w:r w:rsidRPr="00115FA3">
        <w:rPr>
          <w:shd w:val="clear" w:color="auto" w:fill="FFFFFF"/>
        </w:rPr>
        <w:t>nfluencing on Cigarette Consumption in Turkey: A Double-hurdle Censored Model With Pooled Data”, In </w:t>
      </w:r>
      <w:r w:rsidRPr="00115FA3">
        <w:rPr>
          <w:iCs/>
          <w:shd w:val="clear" w:color="auto" w:fill="FFFFFF"/>
        </w:rPr>
        <w:t>12th National Agricultural Economics Meeting, 25-27 Mayıs, Isparta</w:t>
      </w:r>
    </w:p>
    <w:p w:rsidR="000E3E30" w:rsidRPr="00115FA3" w:rsidRDefault="000E3E30" w:rsidP="000E3E30">
      <w:pPr>
        <w:spacing w:after="240"/>
        <w:ind w:left="709" w:hanging="709"/>
      </w:pPr>
      <w:r w:rsidRPr="00115FA3">
        <w:rPr>
          <w:shd w:val="clear" w:color="auto" w:fill="FFFFFF"/>
        </w:rPr>
        <w:t xml:space="preserve">ANGER Silke, KVASNİCKA Michael </w:t>
      </w:r>
      <w:r w:rsidR="00767F56">
        <w:rPr>
          <w:shd w:val="clear" w:color="auto" w:fill="FFFFFF"/>
        </w:rPr>
        <w:t>ve</w:t>
      </w:r>
      <w:r w:rsidRPr="00115FA3">
        <w:rPr>
          <w:shd w:val="clear" w:color="auto" w:fill="FFFFFF"/>
        </w:rPr>
        <w:t xml:space="preserve"> SİEDLER Thomas; (2011). “One Last Puff? Public Smoking Bans </w:t>
      </w:r>
      <w:r w:rsidR="00767F56">
        <w:rPr>
          <w:shd w:val="clear" w:color="auto" w:fill="FFFFFF"/>
        </w:rPr>
        <w:t>and</w:t>
      </w:r>
      <w:r w:rsidRPr="00115FA3">
        <w:rPr>
          <w:shd w:val="clear" w:color="auto" w:fill="FFFFFF"/>
        </w:rPr>
        <w:t xml:space="preserve"> Smoking Behavior,” </w:t>
      </w:r>
      <w:r w:rsidRPr="00115FA3">
        <w:rPr>
          <w:b/>
          <w:iCs/>
          <w:shd w:val="clear" w:color="auto" w:fill="FFFFFF"/>
        </w:rPr>
        <w:t>Journal of Health Economics</w:t>
      </w:r>
      <w:r w:rsidRPr="00115FA3">
        <w:rPr>
          <w:shd w:val="clear" w:color="auto" w:fill="FFFFFF"/>
        </w:rPr>
        <w:t>, </w:t>
      </w:r>
      <w:r w:rsidRPr="00115FA3">
        <w:rPr>
          <w:iCs/>
          <w:shd w:val="clear" w:color="auto" w:fill="FFFFFF"/>
        </w:rPr>
        <w:t>30</w:t>
      </w:r>
      <w:r w:rsidRPr="00115FA3">
        <w:rPr>
          <w:shd w:val="clear" w:color="auto" w:fill="FFFFFF"/>
        </w:rPr>
        <w:t>(3), pp.591-601.</w:t>
      </w:r>
    </w:p>
    <w:p w:rsidR="000E3E30" w:rsidRDefault="00767F56" w:rsidP="000E3E30">
      <w:pPr>
        <w:spacing w:after="240"/>
        <w:ind w:left="709" w:hanging="709"/>
      </w:pPr>
      <w:r>
        <w:t>ARISTEI</w:t>
      </w:r>
      <w:r w:rsidR="000E3E30" w:rsidRPr="00115FA3">
        <w:t xml:space="preserve"> David </w:t>
      </w:r>
      <w:r>
        <w:t>ve</w:t>
      </w:r>
      <w:r w:rsidR="000E3E30" w:rsidRPr="00115FA3">
        <w:t xml:space="preserve"> PİERONİ Luca; (2008) “A Double Hurdle Approach to Modelling Tobacco Consumption in Italy”, </w:t>
      </w:r>
      <w:r w:rsidR="000E3E30" w:rsidRPr="00115FA3">
        <w:rPr>
          <w:b/>
        </w:rPr>
        <w:t>Applied Economics</w:t>
      </w:r>
      <w:r w:rsidR="000E3E30" w:rsidRPr="00115FA3">
        <w:t>, 40(19), pp.2463-2476.</w:t>
      </w:r>
    </w:p>
    <w:p w:rsidR="0081380A" w:rsidRPr="0081380A" w:rsidRDefault="0081380A" w:rsidP="0081380A">
      <w:pPr>
        <w:spacing w:after="240"/>
        <w:ind w:left="709" w:hanging="709"/>
      </w:pPr>
      <w:r>
        <w:t>AVCI Orçun ve DEMİRCİ Zeynep; (2017), “</w:t>
      </w:r>
      <w:r w:rsidRPr="0081380A">
        <w:rPr>
          <w:color w:val="333333"/>
          <w:shd w:val="clear" w:color="auto" w:fill="FFFFFF"/>
        </w:rPr>
        <w:t>Türkiye’de Günah Vergisi Olarak Ötv Iıı Sayılı Listenin İncelenmesi”,</w:t>
      </w:r>
      <w:r>
        <w:rPr>
          <w:color w:val="333333"/>
          <w:shd w:val="clear" w:color="auto" w:fill="FFFFFF"/>
        </w:rPr>
        <w:t xml:space="preserve"> </w:t>
      </w:r>
      <w:r w:rsidRPr="0081380A">
        <w:rPr>
          <w:b/>
          <w:color w:val="333333"/>
          <w:shd w:val="clear" w:color="auto" w:fill="FFFFFF"/>
        </w:rPr>
        <w:t>Maliye Araştırmaları – 1</w:t>
      </w:r>
      <w:r>
        <w:rPr>
          <w:color w:val="333333"/>
          <w:shd w:val="clear" w:color="auto" w:fill="FFFFFF"/>
        </w:rPr>
        <w:t>, ss.47-60.</w:t>
      </w:r>
    </w:p>
    <w:p w:rsidR="000E3E30" w:rsidRPr="00115FA3" w:rsidRDefault="000E3E30" w:rsidP="000E3E30">
      <w:pPr>
        <w:spacing w:after="240"/>
        <w:ind w:left="709" w:hanging="709"/>
      </w:pPr>
      <w:r w:rsidRPr="00115FA3">
        <w:rPr>
          <w:shd w:val="clear" w:color="auto" w:fill="FFFFFF"/>
        </w:rPr>
        <w:t>BARZEL Yoram; (1976), “</w:t>
      </w:r>
      <w:r w:rsidR="00767F56">
        <w:rPr>
          <w:color w:val="222222"/>
          <w:shd w:val="clear" w:color="auto" w:fill="FFFFFF"/>
        </w:rPr>
        <w:t>An Alternative Approach to the Analysis o</w:t>
      </w:r>
      <w:r w:rsidRPr="00115FA3">
        <w:rPr>
          <w:color w:val="222222"/>
          <w:shd w:val="clear" w:color="auto" w:fill="FFFFFF"/>
        </w:rPr>
        <w:t xml:space="preserve">f Taxation”, </w:t>
      </w:r>
      <w:r w:rsidRPr="00115FA3">
        <w:rPr>
          <w:b/>
          <w:iCs/>
          <w:color w:val="222222"/>
          <w:shd w:val="clear" w:color="auto" w:fill="FFFFFF"/>
        </w:rPr>
        <w:t>Journal of Political Economy</w:t>
      </w:r>
      <w:r w:rsidRPr="00115FA3">
        <w:rPr>
          <w:iCs/>
          <w:color w:val="222222"/>
          <w:shd w:val="clear" w:color="auto" w:fill="FFFFFF"/>
        </w:rPr>
        <w:t>, 84</w:t>
      </w:r>
      <w:r w:rsidRPr="00115FA3">
        <w:rPr>
          <w:color w:val="222222"/>
          <w:shd w:val="clear" w:color="auto" w:fill="FFFFFF"/>
        </w:rPr>
        <w:t>(6), pp.1177-1197.</w:t>
      </w:r>
    </w:p>
    <w:p w:rsidR="000E3E30" w:rsidRPr="00115FA3" w:rsidRDefault="000E3E30" w:rsidP="000E3E30">
      <w:pPr>
        <w:spacing w:after="240"/>
        <w:ind w:left="709" w:hanging="709"/>
      </w:pPr>
      <w:r w:rsidRPr="00115FA3">
        <w:rPr>
          <w:color w:val="222222"/>
          <w:shd w:val="clear" w:color="auto" w:fill="FFFFFF"/>
        </w:rPr>
        <w:lastRenderedPageBreak/>
        <w:t xml:space="preserve">BİLGİC Abdulbaki </w:t>
      </w:r>
      <w:r w:rsidR="00767F56">
        <w:rPr>
          <w:color w:val="222222"/>
          <w:shd w:val="clear" w:color="auto" w:fill="FFFFFF"/>
        </w:rPr>
        <w:t>ve</w:t>
      </w:r>
      <w:r w:rsidRPr="00115FA3">
        <w:rPr>
          <w:color w:val="222222"/>
          <w:shd w:val="clear" w:color="auto" w:fill="FFFFFF"/>
        </w:rPr>
        <w:t xml:space="preserve"> YEN T. Steven; (2015</w:t>
      </w:r>
      <w:r w:rsidR="00767F56">
        <w:rPr>
          <w:color w:val="222222"/>
          <w:shd w:val="clear" w:color="auto" w:fill="FFFFFF"/>
        </w:rPr>
        <w:t>), “Household Alcohol a</w:t>
      </w:r>
      <w:r w:rsidRPr="00115FA3">
        <w:rPr>
          <w:color w:val="222222"/>
          <w:shd w:val="clear" w:color="auto" w:fill="FFFFFF"/>
        </w:rPr>
        <w:t xml:space="preserve">nd Tobacco Expenditures </w:t>
      </w:r>
      <w:r w:rsidR="00767F56">
        <w:rPr>
          <w:color w:val="222222"/>
          <w:shd w:val="clear" w:color="auto" w:fill="FFFFFF"/>
        </w:rPr>
        <w:t>i</w:t>
      </w:r>
      <w:r w:rsidRPr="00115FA3">
        <w:rPr>
          <w:color w:val="222222"/>
          <w:shd w:val="clear" w:color="auto" w:fill="FFFFFF"/>
        </w:rPr>
        <w:t xml:space="preserve">n Turkey: A Sample‐Selection System Approach”, </w:t>
      </w:r>
      <w:r w:rsidRPr="00115FA3">
        <w:rPr>
          <w:b/>
          <w:iCs/>
          <w:color w:val="222222"/>
          <w:shd w:val="clear" w:color="auto" w:fill="FFFFFF"/>
        </w:rPr>
        <w:t>Contemporary Economic Policy</w:t>
      </w:r>
      <w:r w:rsidRPr="00115FA3">
        <w:rPr>
          <w:color w:val="222222"/>
          <w:shd w:val="clear" w:color="auto" w:fill="FFFFFF"/>
        </w:rPr>
        <w:t xml:space="preserve">, </w:t>
      </w:r>
      <w:r w:rsidRPr="00115FA3">
        <w:rPr>
          <w:i/>
          <w:iCs/>
          <w:color w:val="222222"/>
          <w:shd w:val="clear" w:color="auto" w:fill="FFFFFF"/>
        </w:rPr>
        <w:t>33</w:t>
      </w:r>
      <w:r w:rsidRPr="00115FA3">
        <w:rPr>
          <w:color w:val="222222"/>
          <w:shd w:val="clear" w:color="auto" w:fill="FFFFFF"/>
        </w:rPr>
        <w:t>(3), pp.571-585.</w:t>
      </w:r>
    </w:p>
    <w:p w:rsidR="000E3E30" w:rsidRPr="00115FA3" w:rsidRDefault="000E3E30" w:rsidP="000E3E30">
      <w:pPr>
        <w:spacing w:after="240"/>
        <w:ind w:left="709" w:hanging="709"/>
      </w:pPr>
      <w:r w:rsidRPr="00115FA3">
        <w:t>BİLGİC Abdulbaki, FLORKOWSK</w:t>
      </w:r>
      <w:r w:rsidR="00767F56">
        <w:t>I</w:t>
      </w:r>
      <w:r w:rsidRPr="00115FA3">
        <w:t xml:space="preserve"> J. Wojciech </w:t>
      </w:r>
      <w:r w:rsidR="00767F56">
        <w:t>ve</w:t>
      </w:r>
      <w:r w:rsidRPr="00115FA3">
        <w:t xml:space="preserve"> AKBAY Cuma; (2010), “</w:t>
      </w:r>
      <w:r w:rsidR="00767F56">
        <w:rPr>
          <w:color w:val="222222"/>
          <w:shd w:val="clear" w:color="auto" w:fill="FFFFFF"/>
        </w:rPr>
        <w:t>Demand For Cigarettes i</w:t>
      </w:r>
      <w:r w:rsidRPr="00115FA3">
        <w:rPr>
          <w:color w:val="222222"/>
          <w:shd w:val="clear" w:color="auto" w:fill="FFFFFF"/>
        </w:rPr>
        <w:t>n Turkey: An Applicatio</w:t>
      </w:r>
      <w:r w:rsidR="00767F56">
        <w:rPr>
          <w:color w:val="222222"/>
          <w:shd w:val="clear" w:color="auto" w:fill="FFFFFF"/>
        </w:rPr>
        <w:t>n o</w:t>
      </w:r>
      <w:r w:rsidRPr="00115FA3">
        <w:rPr>
          <w:color w:val="222222"/>
          <w:shd w:val="clear" w:color="auto" w:fill="FFFFFF"/>
        </w:rPr>
        <w:t xml:space="preserve">f Count Data Models”, </w:t>
      </w:r>
      <w:r w:rsidRPr="00115FA3">
        <w:rPr>
          <w:b/>
          <w:iCs/>
          <w:color w:val="222222"/>
          <w:shd w:val="clear" w:color="auto" w:fill="FFFFFF"/>
        </w:rPr>
        <w:t>Empirical Economics</w:t>
      </w:r>
      <w:r w:rsidRPr="00115FA3">
        <w:rPr>
          <w:iCs/>
          <w:color w:val="222222"/>
          <w:shd w:val="clear" w:color="auto" w:fill="FFFFFF"/>
        </w:rPr>
        <w:t xml:space="preserve">, </w:t>
      </w:r>
      <w:r w:rsidRPr="00115FA3">
        <w:rPr>
          <w:i/>
          <w:iCs/>
          <w:color w:val="222222"/>
          <w:shd w:val="clear" w:color="auto" w:fill="FFFFFF"/>
        </w:rPr>
        <w:t>39</w:t>
      </w:r>
      <w:r w:rsidRPr="00115FA3">
        <w:rPr>
          <w:color w:val="222222"/>
          <w:shd w:val="clear" w:color="auto" w:fill="FFFFFF"/>
        </w:rPr>
        <w:t>(3), pp.733-765.</w:t>
      </w:r>
    </w:p>
    <w:p w:rsidR="000E3E30" w:rsidRPr="00115FA3" w:rsidRDefault="00767F56" w:rsidP="000E3E30">
      <w:pPr>
        <w:spacing w:after="240"/>
        <w:ind w:left="709" w:hanging="709"/>
      </w:pPr>
      <w:r>
        <w:rPr>
          <w:shd w:val="clear" w:color="auto" w:fill="FFFFFF"/>
        </w:rPr>
        <w:t>BI</w:t>
      </w:r>
      <w:r w:rsidR="000E3E30" w:rsidRPr="00115FA3">
        <w:rPr>
          <w:shd w:val="clear" w:color="auto" w:fill="FFFFFF"/>
        </w:rPr>
        <w:t xml:space="preserve">TLER Marianne P., </w:t>
      </w:r>
      <w:r w:rsidR="000E3E30" w:rsidRPr="00115FA3">
        <w:t>CARPENTER</w:t>
      </w:r>
      <w:r w:rsidR="000E3E30" w:rsidRPr="00115FA3">
        <w:rPr>
          <w:shd w:val="clear" w:color="auto" w:fill="FFFFFF"/>
        </w:rPr>
        <w:t xml:space="preserve"> Christopher S., </w:t>
      </w:r>
      <w:r>
        <w:rPr>
          <w:shd w:val="clear" w:color="auto" w:fill="FFFFFF"/>
        </w:rPr>
        <w:t>ve</w:t>
      </w:r>
      <w:r w:rsidR="000E3E30" w:rsidRPr="00115FA3">
        <w:rPr>
          <w:shd w:val="clear" w:color="auto" w:fill="FFFFFF"/>
        </w:rPr>
        <w:t xml:space="preserve"> ZAVODNY Madeline; (2010), “Effects of Venue‐Specific State Clean İndoor Air Laws on Smoking‐Related Outcomes,” </w:t>
      </w:r>
      <w:r w:rsidR="000E3E30" w:rsidRPr="00115FA3">
        <w:rPr>
          <w:b/>
          <w:iCs/>
          <w:shd w:val="clear" w:color="auto" w:fill="FFFFFF"/>
        </w:rPr>
        <w:t>Health Economics</w:t>
      </w:r>
      <w:r w:rsidR="000E3E30" w:rsidRPr="00115FA3">
        <w:rPr>
          <w:shd w:val="clear" w:color="auto" w:fill="FFFFFF"/>
        </w:rPr>
        <w:t>, </w:t>
      </w:r>
      <w:r w:rsidR="000E3E30" w:rsidRPr="00115FA3">
        <w:rPr>
          <w:iCs/>
          <w:shd w:val="clear" w:color="auto" w:fill="FFFFFF"/>
        </w:rPr>
        <w:t>19</w:t>
      </w:r>
      <w:r w:rsidR="000E3E30" w:rsidRPr="00115FA3">
        <w:rPr>
          <w:shd w:val="clear" w:color="auto" w:fill="FFFFFF"/>
        </w:rPr>
        <w:t>(12), pp.1425-1440.</w:t>
      </w:r>
    </w:p>
    <w:p w:rsidR="000E3E30" w:rsidRPr="00115FA3" w:rsidRDefault="000E3E30" w:rsidP="000E3E30">
      <w:pPr>
        <w:spacing w:after="240"/>
        <w:ind w:left="709" w:hanging="709"/>
        <w:rPr>
          <w:shd w:val="clear" w:color="auto" w:fill="FFFFFF"/>
        </w:rPr>
      </w:pPr>
      <w:r w:rsidRPr="00115FA3">
        <w:t xml:space="preserve">BLAYLOCK James R. </w:t>
      </w:r>
      <w:r w:rsidR="00767F56">
        <w:t>ve</w:t>
      </w:r>
      <w:r w:rsidRPr="00115FA3">
        <w:t xml:space="preserve"> BLİSARD Noel W.; (1992), “</w:t>
      </w:r>
      <w:r w:rsidRPr="00115FA3">
        <w:rPr>
          <w:shd w:val="clear" w:color="auto" w:fill="FFFFFF"/>
        </w:rPr>
        <w:t>US C</w:t>
      </w:r>
      <w:r w:rsidR="00767F56">
        <w:rPr>
          <w:shd w:val="clear" w:color="auto" w:fill="FFFFFF"/>
        </w:rPr>
        <w:t>igarette Consumption: The Case o</w:t>
      </w:r>
      <w:r w:rsidRPr="00115FA3">
        <w:rPr>
          <w:shd w:val="clear" w:color="auto" w:fill="FFFFFF"/>
        </w:rPr>
        <w:t xml:space="preserve">f Low-İncome Women”, </w:t>
      </w:r>
      <w:r w:rsidRPr="00115FA3">
        <w:rPr>
          <w:b/>
          <w:iCs/>
          <w:shd w:val="clear" w:color="auto" w:fill="FFFFFF"/>
        </w:rPr>
        <w:t>American Journal of Agricultural Economics</w:t>
      </w:r>
      <w:r w:rsidRPr="00115FA3">
        <w:rPr>
          <w:iCs/>
          <w:shd w:val="clear" w:color="auto" w:fill="FFFFFF"/>
        </w:rPr>
        <w:t>, 74</w:t>
      </w:r>
      <w:r w:rsidRPr="00115FA3">
        <w:rPr>
          <w:shd w:val="clear" w:color="auto" w:fill="FFFFFF"/>
        </w:rPr>
        <w:t>(3), pp.698-705.</w:t>
      </w:r>
    </w:p>
    <w:p w:rsidR="000E3E30" w:rsidRPr="008F124C" w:rsidRDefault="000E3E30" w:rsidP="000E3E30">
      <w:pPr>
        <w:pStyle w:val="AralkYok"/>
        <w:spacing w:after="240"/>
        <w:ind w:left="709" w:hanging="709"/>
        <w:jc w:val="both"/>
        <w:rPr>
          <w:rFonts w:cs="Times New Roman"/>
          <w:b w:val="0"/>
          <w:szCs w:val="24"/>
        </w:rPr>
      </w:pPr>
      <w:r w:rsidRPr="008F124C">
        <w:rPr>
          <w:rFonts w:cs="Times New Roman"/>
          <w:b w:val="0"/>
          <w:szCs w:val="24"/>
          <w:shd w:val="clear" w:color="auto" w:fill="FFFFFF"/>
        </w:rPr>
        <w:t xml:space="preserve">BLAYLOCK R. James </w:t>
      </w:r>
      <w:r w:rsidR="00767F56">
        <w:rPr>
          <w:rFonts w:cs="Times New Roman"/>
          <w:b w:val="0"/>
          <w:szCs w:val="24"/>
          <w:shd w:val="clear" w:color="auto" w:fill="FFFFFF"/>
        </w:rPr>
        <w:t>ve</w:t>
      </w:r>
      <w:r w:rsidRPr="008F124C">
        <w:rPr>
          <w:rFonts w:cs="Times New Roman"/>
          <w:b w:val="0"/>
          <w:szCs w:val="24"/>
          <w:shd w:val="clear" w:color="auto" w:fill="FFFFFF"/>
        </w:rPr>
        <w:t xml:space="preserve"> B</w:t>
      </w:r>
      <w:r w:rsidR="00767F56">
        <w:rPr>
          <w:rFonts w:cs="Times New Roman"/>
          <w:b w:val="0"/>
          <w:szCs w:val="24"/>
          <w:shd w:val="clear" w:color="auto" w:fill="FFFFFF"/>
        </w:rPr>
        <w:t>LISARD W. Noel; (1993), “Women and t</w:t>
      </w:r>
      <w:r w:rsidRPr="008F124C">
        <w:rPr>
          <w:rFonts w:cs="Times New Roman"/>
          <w:b w:val="0"/>
          <w:szCs w:val="24"/>
          <w:shd w:val="clear" w:color="auto" w:fill="FFFFFF"/>
        </w:rPr>
        <w:t xml:space="preserve">he Demand </w:t>
      </w:r>
      <w:r w:rsidR="00767F56">
        <w:rPr>
          <w:rFonts w:cs="Times New Roman"/>
          <w:b w:val="0"/>
          <w:szCs w:val="24"/>
          <w:shd w:val="clear" w:color="auto" w:fill="FFFFFF"/>
        </w:rPr>
        <w:t>f</w:t>
      </w:r>
      <w:r w:rsidRPr="008F124C">
        <w:rPr>
          <w:rFonts w:cs="Times New Roman"/>
          <w:b w:val="0"/>
          <w:szCs w:val="24"/>
          <w:shd w:val="clear" w:color="auto" w:fill="FFFFFF"/>
        </w:rPr>
        <w:t>or Alcoh</w:t>
      </w:r>
      <w:r w:rsidR="00767F56">
        <w:rPr>
          <w:rFonts w:cs="Times New Roman"/>
          <w:b w:val="0"/>
          <w:szCs w:val="24"/>
          <w:shd w:val="clear" w:color="auto" w:fill="FFFFFF"/>
        </w:rPr>
        <w:t>ol: Estimating Participation a</w:t>
      </w:r>
      <w:r w:rsidRPr="008F124C">
        <w:rPr>
          <w:rFonts w:cs="Times New Roman"/>
          <w:b w:val="0"/>
          <w:szCs w:val="24"/>
          <w:shd w:val="clear" w:color="auto" w:fill="FFFFFF"/>
        </w:rPr>
        <w:t xml:space="preserve">nd Consumption”, </w:t>
      </w:r>
      <w:r w:rsidRPr="008F124C">
        <w:rPr>
          <w:rFonts w:cs="Times New Roman"/>
          <w:iCs/>
          <w:szCs w:val="24"/>
          <w:shd w:val="clear" w:color="auto" w:fill="FFFFFF"/>
        </w:rPr>
        <w:t>Journal of Consumer Affairs</w:t>
      </w:r>
      <w:r w:rsidRPr="008F124C">
        <w:rPr>
          <w:rFonts w:cs="Times New Roman"/>
          <w:b w:val="0"/>
          <w:szCs w:val="24"/>
          <w:shd w:val="clear" w:color="auto" w:fill="FFFFFF"/>
        </w:rPr>
        <w:t>, 27(2), pp. 319-334.</w:t>
      </w:r>
    </w:p>
    <w:p w:rsidR="000E3E30" w:rsidRPr="00115FA3" w:rsidRDefault="000E3E30" w:rsidP="000E3E30">
      <w:pPr>
        <w:spacing w:after="240"/>
        <w:ind w:left="709" w:hanging="709"/>
        <w:rPr>
          <w:shd w:val="clear" w:color="auto" w:fill="FFFFFF"/>
        </w:rPr>
      </w:pPr>
      <w:r w:rsidRPr="00115FA3">
        <w:t>BOES</w:t>
      </w:r>
      <w:r w:rsidRPr="00115FA3">
        <w:rPr>
          <w:shd w:val="clear" w:color="auto" w:fill="FFFFFF"/>
        </w:rPr>
        <w:t xml:space="preserve"> Stefan, MARTI Joachim, </w:t>
      </w:r>
      <w:r w:rsidR="00767F56">
        <w:rPr>
          <w:shd w:val="clear" w:color="auto" w:fill="FFFFFF"/>
        </w:rPr>
        <w:t>ve</w:t>
      </w:r>
      <w:r w:rsidRPr="00115FA3">
        <w:rPr>
          <w:shd w:val="clear" w:color="auto" w:fill="FFFFFF"/>
        </w:rPr>
        <w:t xml:space="preserve"> MACL</w:t>
      </w:r>
      <w:r w:rsidR="00767F56">
        <w:rPr>
          <w:shd w:val="clear" w:color="auto" w:fill="FFFFFF"/>
        </w:rPr>
        <w:t>EAN J. Catherine; (2015), “The I</w:t>
      </w:r>
      <w:r w:rsidRPr="00115FA3">
        <w:rPr>
          <w:shd w:val="clear" w:color="auto" w:fill="FFFFFF"/>
        </w:rPr>
        <w:t>mpact of Smoking Bans on Smoking and Consumer Behavior: Quasi‐Experimental Evidence From Switzerland,” </w:t>
      </w:r>
      <w:r w:rsidRPr="00115FA3">
        <w:rPr>
          <w:b/>
          <w:iCs/>
          <w:shd w:val="clear" w:color="auto" w:fill="FFFFFF"/>
        </w:rPr>
        <w:t>Health Economics</w:t>
      </w:r>
      <w:r w:rsidRPr="00115FA3">
        <w:rPr>
          <w:shd w:val="clear" w:color="auto" w:fill="FFFFFF"/>
        </w:rPr>
        <w:t>, </w:t>
      </w:r>
      <w:r w:rsidRPr="00115FA3">
        <w:rPr>
          <w:iCs/>
          <w:shd w:val="clear" w:color="auto" w:fill="FFFFFF"/>
        </w:rPr>
        <w:t>24</w:t>
      </w:r>
      <w:r w:rsidRPr="00115FA3">
        <w:rPr>
          <w:shd w:val="clear" w:color="auto" w:fill="FFFFFF"/>
        </w:rPr>
        <w:t>(11), pp.1502-1516.</w:t>
      </w:r>
    </w:p>
    <w:p w:rsidR="000E3E30" w:rsidRPr="00115FA3" w:rsidRDefault="000E3E30" w:rsidP="000E3E30">
      <w:pPr>
        <w:spacing w:after="240"/>
        <w:ind w:left="709" w:hanging="709"/>
      </w:pPr>
      <w:r w:rsidRPr="00115FA3">
        <w:t>ÇALIŞKAN Seval ve METİNTAŞ Selma; (2018), “</w:t>
      </w:r>
      <w:r w:rsidRPr="00115FA3">
        <w:rPr>
          <w:shd w:val="clear" w:color="auto" w:fill="FFFFFF"/>
        </w:rPr>
        <w:t xml:space="preserve">Dünyada Tütün Kontrol Uygulamalarının Küresel Ölçekte Değerlendirilmesi”, </w:t>
      </w:r>
      <w:r w:rsidRPr="00115FA3">
        <w:rPr>
          <w:b/>
          <w:iCs/>
          <w:shd w:val="clear" w:color="auto" w:fill="FFFFFF"/>
        </w:rPr>
        <w:t>Eskişehir Türk Dünyası Uygulama ve Araştırma Merkezi Halk Sağlığı Dergisi</w:t>
      </w:r>
      <w:r w:rsidRPr="00115FA3">
        <w:rPr>
          <w:iCs/>
          <w:shd w:val="clear" w:color="auto" w:fill="FFFFFF"/>
        </w:rPr>
        <w:t xml:space="preserve">, </w:t>
      </w:r>
      <w:r w:rsidRPr="00115FA3">
        <w:t>3(1), ss.32-41.</w:t>
      </w:r>
    </w:p>
    <w:p w:rsidR="000E3E30" w:rsidRDefault="000E3E30" w:rsidP="000E3E30">
      <w:pPr>
        <w:spacing w:after="240"/>
        <w:ind w:left="709" w:hanging="709"/>
        <w:rPr>
          <w:iCs/>
          <w:shd w:val="clear" w:color="auto" w:fill="FFFFFF"/>
        </w:rPr>
      </w:pPr>
      <w:r w:rsidRPr="00115FA3">
        <w:rPr>
          <w:shd w:val="clear" w:color="auto" w:fill="FFFFFF"/>
        </w:rPr>
        <w:t>ÇAMOĞLU S. Mutlu; (2013), “Türkiye’de Sigara Talebinin Analizi: İki aşamalı Heckman Süreci”, In </w:t>
      </w:r>
      <w:r w:rsidRPr="00115FA3">
        <w:rPr>
          <w:iCs/>
          <w:shd w:val="clear" w:color="auto" w:fill="FFFFFF"/>
        </w:rPr>
        <w:t xml:space="preserve">EY International Congress on Economics I (EYC2013), 24-25 Ekim, Ankara. </w:t>
      </w:r>
    </w:p>
    <w:tbl>
      <w:tblPr>
        <w:tblW w:w="6414" w:type="dxa"/>
        <w:shd w:val="clear" w:color="auto" w:fill="FFFFFF"/>
        <w:tblCellMar>
          <w:left w:w="0" w:type="dxa"/>
          <w:right w:w="0" w:type="dxa"/>
        </w:tblCellMar>
        <w:tblLook w:val="04A0" w:firstRow="1" w:lastRow="0" w:firstColumn="1" w:lastColumn="0" w:noHBand="0" w:noVBand="1"/>
      </w:tblPr>
      <w:tblGrid>
        <w:gridCol w:w="6414"/>
      </w:tblGrid>
      <w:tr w:rsidR="0009572E" w:rsidRPr="0009572E" w:rsidTr="00CD6CB9">
        <w:tc>
          <w:tcPr>
            <w:tcW w:w="0" w:type="auto"/>
            <w:shd w:val="clear" w:color="auto" w:fill="FFFFFF"/>
            <w:vAlign w:val="center"/>
            <w:hideMark/>
          </w:tcPr>
          <w:p w:rsidR="0009572E" w:rsidRPr="0009572E" w:rsidRDefault="0009572E" w:rsidP="0009572E">
            <w:pPr>
              <w:spacing w:line="240" w:lineRule="auto"/>
              <w:ind w:firstLine="0"/>
              <w:jc w:val="left"/>
              <w:rPr>
                <w:color w:val="auto"/>
                <w:sz w:val="20"/>
                <w:szCs w:val="20"/>
              </w:rPr>
            </w:pPr>
          </w:p>
        </w:tc>
      </w:tr>
    </w:tbl>
    <w:p w:rsidR="0009572E" w:rsidRPr="00115FA3" w:rsidRDefault="0009572E" w:rsidP="000E3E30">
      <w:pPr>
        <w:spacing w:after="240"/>
        <w:ind w:left="709" w:hanging="709"/>
        <w:rPr>
          <w:shd w:val="clear" w:color="auto" w:fill="FFFFFF"/>
        </w:rPr>
      </w:pPr>
      <w:r>
        <w:rPr>
          <w:shd w:val="clear" w:color="auto" w:fill="FFFFFF"/>
        </w:rPr>
        <w:t>ÇETİNKAYA Murat ve ERKAM Serkan; (2014), “</w:t>
      </w:r>
      <w:r>
        <w:t>Workplace Smoking Bans and Tobacco Consumption in Turkey: Evidence from 2003 2011 Household Budget Surveys</w:t>
      </w:r>
      <w:r>
        <w:rPr>
          <w:shd w:val="clear" w:color="auto" w:fill="FFFFFF"/>
        </w:rPr>
        <w:t xml:space="preserve">”, </w:t>
      </w:r>
      <w:r w:rsidRPr="0009572E">
        <w:rPr>
          <w:b/>
        </w:rPr>
        <w:t>The Empirical Economics Letters</w:t>
      </w:r>
      <w:r>
        <w:t>, 13(11), ss.1172-1177.</w:t>
      </w:r>
    </w:p>
    <w:p w:rsidR="000E3E30" w:rsidRPr="00115FA3" w:rsidRDefault="000E3E30" w:rsidP="000E3E30">
      <w:pPr>
        <w:spacing w:after="240"/>
        <w:ind w:left="709" w:hanging="709"/>
      </w:pPr>
      <w:r w:rsidRPr="00115FA3">
        <w:lastRenderedPageBreak/>
        <w:t>ÇETİN Murat ve ÖZKAN Ersan; (2018), “</w:t>
      </w:r>
      <w:r w:rsidRPr="00115FA3">
        <w:rPr>
          <w:color w:val="222222"/>
          <w:shd w:val="clear" w:color="auto" w:fill="FFFFFF"/>
        </w:rPr>
        <w:t>Türkiye’de</w:t>
      </w:r>
      <w:r w:rsidR="00767F56">
        <w:rPr>
          <w:color w:val="222222"/>
          <w:shd w:val="clear" w:color="auto" w:fill="FFFFFF"/>
        </w:rPr>
        <w:t xml:space="preserve"> Vergi-Tüketim İlişkisi: Alkol v</w:t>
      </w:r>
      <w:r w:rsidRPr="00115FA3">
        <w:rPr>
          <w:color w:val="222222"/>
          <w:shd w:val="clear" w:color="auto" w:fill="FFFFFF"/>
        </w:rPr>
        <w:t xml:space="preserve">e Tütün Ürünlerine Yönelik Bir Saha Araştırması”, </w:t>
      </w:r>
      <w:r w:rsidRPr="00115FA3">
        <w:rPr>
          <w:b/>
          <w:iCs/>
          <w:color w:val="222222"/>
          <w:shd w:val="clear" w:color="auto" w:fill="FFFFFF"/>
        </w:rPr>
        <w:t>Balıkesir Üniversitesi Sosyal Bilimler Enstitüsü Dergisi</w:t>
      </w:r>
      <w:r w:rsidRPr="00115FA3">
        <w:rPr>
          <w:iCs/>
          <w:color w:val="222222"/>
          <w:shd w:val="clear" w:color="auto" w:fill="FFFFFF"/>
        </w:rPr>
        <w:t xml:space="preserve">, </w:t>
      </w:r>
      <w:r w:rsidRPr="00115FA3">
        <w:rPr>
          <w:i/>
          <w:iCs/>
          <w:color w:val="222222"/>
          <w:shd w:val="clear" w:color="auto" w:fill="FFFFFF"/>
        </w:rPr>
        <w:t>21</w:t>
      </w:r>
      <w:r w:rsidRPr="00115FA3">
        <w:rPr>
          <w:color w:val="222222"/>
          <w:shd w:val="clear" w:color="auto" w:fill="FFFFFF"/>
        </w:rPr>
        <w:t>(40), ss.271-288.</w:t>
      </w:r>
    </w:p>
    <w:p w:rsidR="000E3E30" w:rsidRPr="00115FA3" w:rsidRDefault="000E3E30" w:rsidP="000E3E30">
      <w:pPr>
        <w:spacing w:after="240"/>
        <w:ind w:left="709" w:hanging="709"/>
        <w:rPr>
          <w:shd w:val="clear" w:color="auto" w:fill="FFFFFF"/>
        </w:rPr>
      </w:pPr>
      <w:r w:rsidRPr="00115FA3">
        <w:t>DE CHAISEMARTIN</w:t>
      </w:r>
      <w:r w:rsidRPr="00115FA3">
        <w:rPr>
          <w:shd w:val="clear" w:color="auto" w:fill="FFFFFF"/>
        </w:rPr>
        <w:t xml:space="preserve"> Clement, </w:t>
      </w:r>
      <w:r w:rsidRPr="00115FA3">
        <w:t>GEOFFARD</w:t>
      </w:r>
      <w:r w:rsidRPr="00115FA3">
        <w:rPr>
          <w:shd w:val="clear" w:color="auto" w:fill="FFFFFF"/>
        </w:rPr>
        <w:t xml:space="preserve"> P. Yves </w:t>
      </w:r>
      <w:r w:rsidR="00767F56">
        <w:rPr>
          <w:shd w:val="clear" w:color="auto" w:fill="FFFFFF"/>
        </w:rPr>
        <w:t>ve</w:t>
      </w:r>
      <w:r w:rsidRPr="00115FA3">
        <w:rPr>
          <w:shd w:val="clear" w:color="auto" w:fill="FFFFFF"/>
        </w:rPr>
        <w:t xml:space="preserve"> </w:t>
      </w:r>
      <w:r w:rsidRPr="00115FA3">
        <w:t>LE FAOU</w:t>
      </w:r>
      <w:r w:rsidRPr="00115FA3">
        <w:rPr>
          <w:shd w:val="clear" w:color="auto" w:fill="FFFFFF"/>
        </w:rPr>
        <w:t xml:space="preserve"> A. Laurence; (2011), “Workplace Smoking Ban Effects on Unhappy Smokers,” </w:t>
      </w:r>
      <w:r w:rsidRPr="00115FA3">
        <w:rPr>
          <w:b/>
          <w:iCs/>
          <w:shd w:val="clear" w:color="auto" w:fill="FFFFFF"/>
        </w:rPr>
        <w:t>Health Economics</w:t>
      </w:r>
      <w:r w:rsidRPr="00115FA3">
        <w:rPr>
          <w:shd w:val="clear" w:color="auto" w:fill="FFFFFF"/>
        </w:rPr>
        <w:t>, </w:t>
      </w:r>
      <w:r w:rsidRPr="00115FA3">
        <w:rPr>
          <w:iCs/>
          <w:shd w:val="clear" w:color="auto" w:fill="FFFFFF"/>
        </w:rPr>
        <w:t>20</w:t>
      </w:r>
      <w:r w:rsidRPr="00115FA3">
        <w:rPr>
          <w:shd w:val="clear" w:color="auto" w:fill="FFFFFF"/>
        </w:rPr>
        <w:t>(9), pp.1043-1055.</w:t>
      </w:r>
    </w:p>
    <w:p w:rsidR="000E3E30" w:rsidRPr="00767F56" w:rsidRDefault="000E3E30" w:rsidP="00767F56">
      <w:pPr>
        <w:pStyle w:val="AralkYok"/>
        <w:spacing w:after="240"/>
        <w:ind w:left="709" w:hanging="709"/>
        <w:jc w:val="both"/>
        <w:rPr>
          <w:rFonts w:cs="Times New Roman"/>
          <w:b w:val="0"/>
          <w:color w:val="222222"/>
          <w:szCs w:val="24"/>
          <w:shd w:val="clear" w:color="auto" w:fill="FFFFFF"/>
        </w:rPr>
      </w:pPr>
      <w:r w:rsidRPr="008F124C">
        <w:rPr>
          <w:rFonts w:cs="Times New Roman"/>
          <w:b w:val="0"/>
          <w:szCs w:val="24"/>
        </w:rPr>
        <w:t>DİKMEN Nedim; (2005), “</w:t>
      </w:r>
      <w:r w:rsidR="00767F56">
        <w:rPr>
          <w:rFonts w:cs="Times New Roman"/>
          <w:b w:val="0"/>
          <w:color w:val="222222"/>
          <w:szCs w:val="24"/>
          <w:shd w:val="clear" w:color="auto" w:fill="FFFFFF"/>
        </w:rPr>
        <w:t>Türkiye’de Sigara Tüketimi v</w:t>
      </w:r>
      <w:r w:rsidRPr="008F124C">
        <w:rPr>
          <w:rFonts w:cs="Times New Roman"/>
          <w:b w:val="0"/>
          <w:color w:val="222222"/>
          <w:szCs w:val="24"/>
          <w:shd w:val="clear" w:color="auto" w:fill="FFFFFF"/>
        </w:rPr>
        <w:t xml:space="preserve">e Tüketimi Etkileyen Değiskenler Üzerine Bir Model Çalısması”, </w:t>
      </w:r>
      <w:r w:rsidRPr="008F124C">
        <w:rPr>
          <w:rFonts w:cs="Times New Roman"/>
          <w:iCs/>
          <w:color w:val="222222"/>
          <w:szCs w:val="24"/>
          <w:shd w:val="clear" w:color="auto" w:fill="FFFFFF"/>
        </w:rPr>
        <w:t>Atatürk Üniversitesi İktisadi ve İdari Bilimler Dergisi,</w:t>
      </w:r>
      <w:r w:rsidRPr="008F124C">
        <w:rPr>
          <w:rFonts w:cs="Times New Roman"/>
          <w:b w:val="0"/>
          <w:iCs/>
          <w:color w:val="222222"/>
          <w:szCs w:val="24"/>
          <w:shd w:val="clear" w:color="auto" w:fill="FFFFFF"/>
        </w:rPr>
        <w:t xml:space="preserve"> </w:t>
      </w:r>
      <w:r w:rsidRPr="008F124C">
        <w:rPr>
          <w:rFonts w:cs="Times New Roman"/>
          <w:b w:val="0"/>
          <w:i/>
          <w:iCs/>
          <w:color w:val="222222"/>
          <w:szCs w:val="24"/>
          <w:shd w:val="clear" w:color="auto" w:fill="FFFFFF"/>
        </w:rPr>
        <w:t>19</w:t>
      </w:r>
      <w:r w:rsidRPr="008F124C">
        <w:rPr>
          <w:rFonts w:cs="Times New Roman"/>
          <w:b w:val="0"/>
          <w:color w:val="222222"/>
          <w:szCs w:val="24"/>
          <w:shd w:val="clear" w:color="auto" w:fill="FFFFFF"/>
        </w:rPr>
        <w:t>(1), pp.1-19</w:t>
      </w:r>
    </w:p>
    <w:p w:rsidR="000E3E30" w:rsidRPr="00617DAD" w:rsidRDefault="000E3E30" w:rsidP="00617DAD">
      <w:pPr>
        <w:spacing w:after="240"/>
        <w:ind w:left="709" w:hanging="709"/>
        <w:rPr>
          <w:color w:val="222222"/>
          <w:shd w:val="clear" w:color="auto" w:fill="FFFFFF"/>
        </w:rPr>
      </w:pPr>
      <w:r w:rsidRPr="00115FA3">
        <w:rPr>
          <w:color w:val="222222"/>
          <w:shd w:val="clear" w:color="auto" w:fill="FFFFFF"/>
        </w:rPr>
        <w:t>DO Y. Kyung,</w:t>
      </w:r>
      <w:r w:rsidR="00617DAD">
        <w:rPr>
          <w:color w:val="222222"/>
          <w:shd w:val="clear" w:color="auto" w:fill="FFFFFF"/>
        </w:rPr>
        <w:t xml:space="preserve"> ve BAUTI</w:t>
      </w:r>
      <w:r w:rsidRPr="00115FA3">
        <w:rPr>
          <w:color w:val="222222"/>
          <w:shd w:val="clear" w:color="auto" w:fill="FFFFFF"/>
        </w:rPr>
        <w:t xml:space="preserve">STA M. Ann; (2015), “Tobacco Use </w:t>
      </w:r>
      <w:r w:rsidR="00617DAD">
        <w:rPr>
          <w:color w:val="222222"/>
          <w:shd w:val="clear" w:color="auto" w:fill="FFFFFF"/>
        </w:rPr>
        <w:t>and Household Expenditures o</w:t>
      </w:r>
      <w:r w:rsidRPr="00115FA3">
        <w:rPr>
          <w:color w:val="222222"/>
          <w:shd w:val="clear" w:color="auto" w:fill="FFFFFF"/>
        </w:rPr>
        <w:t>n F</w:t>
      </w:r>
      <w:r w:rsidR="00617DAD">
        <w:rPr>
          <w:color w:val="222222"/>
          <w:shd w:val="clear" w:color="auto" w:fill="FFFFFF"/>
        </w:rPr>
        <w:t>ood, Education, And Healthcare in Low-and Middle-I</w:t>
      </w:r>
      <w:r w:rsidRPr="00115FA3">
        <w:rPr>
          <w:color w:val="222222"/>
          <w:shd w:val="clear" w:color="auto" w:fill="FFFFFF"/>
        </w:rPr>
        <w:t xml:space="preserve">ncome Countries: A Multilevel Analysis”, </w:t>
      </w:r>
      <w:r w:rsidRPr="00115FA3">
        <w:rPr>
          <w:b/>
          <w:iCs/>
          <w:color w:val="222222"/>
          <w:shd w:val="clear" w:color="auto" w:fill="FFFFFF"/>
        </w:rPr>
        <w:t>BMC public health</w:t>
      </w:r>
      <w:r w:rsidRPr="00115FA3">
        <w:rPr>
          <w:color w:val="222222"/>
          <w:shd w:val="clear" w:color="auto" w:fill="FFFFFF"/>
        </w:rPr>
        <w:t xml:space="preserve">, </w:t>
      </w:r>
      <w:r w:rsidRPr="00115FA3">
        <w:rPr>
          <w:iCs/>
          <w:color w:val="222222"/>
          <w:shd w:val="clear" w:color="auto" w:fill="FFFFFF"/>
        </w:rPr>
        <w:t>15</w:t>
      </w:r>
      <w:r w:rsidRPr="00115FA3">
        <w:rPr>
          <w:color w:val="222222"/>
          <w:shd w:val="clear" w:color="auto" w:fill="FFFFFF"/>
        </w:rPr>
        <w:t>(1), pp.1098.</w:t>
      </w:r>
    </w:p>
    <w:p w:rsidR="000E3E30" w:rsidRPr="008F124C" w:rsidRDefault="000E3E30" w:rsidP="000E3E30">
      <w:pPr>
        <w:pStyle w:val="AralkYok"/>
        <w:spacing w:after="240"/>
        <w:ind w:left="709" w:hanging="709"/>
        <w:jc w:val="left"/>
        <w:rPr>
          <w:rFonts w:cs="Times New Roman"/>
          <w:b w:val="0"/>
          <w:szCs w:val="24"/>
        </w:rPr>
      </w:pPr>
      <w:r w:rsidRPr="008F124C">
        <w:rPr>
          <w:rFonts w:eastAsia="Times New Roman" w:cs="Times New Roman"/>
          <w:b w:val="0"/>
          <w:szCs w:val="24"/>
          <w:lang w:eastAsia="tr-TR"/>
        </w:rPr>
        <w:t>DÜNYA SAĞLIK ÖRGÜTÜ; (2019), “</w:t>
      </w:r>
      <w:r w:rsidR="00617DAD">
        <w:rPr>
          <w:rFonts w:cs="Times New Roman"/>
          <w:b w:val="0"/>
          <w:szCs w:val="24"/>
          <w:shd w:val="clear" w:color="auto" w:fill="FFFFFF"/>
        </w:rPr>
        <w:t>WHO Report o</w:t>
      </w:r>
      <w:r w:rsidRPr="008F124C">
        <w:rPr>
          <w:rFonts w:cs="Times New Roman"/>
          <w:b w:val="0"/>
          <w:szCs w:val="24"/>
          <w:shd w:val="clear" w:color="auto" w:fill="FFFFFF"/>
        </w:rPr>
        <w:t xml:space="preserve">n </w:t>
      </w:r>
      <w:r w:rsidR="00617DAD">
        <w:rPr>
          <w:rFonts w:cs="Times New Roman"/>
          <w:b w:val="0"/>
          <w:szCs w:val="24"/>
          <w:shd w:val="clear" w:color="auto" w:fill="FFFFFF"/>
        </w:rPr>
        <w:t>t</w:t>
      </w:r>
      <w:r w:rsidRPr="008F124C">
        <w:rPr>
          <w:rFonts w:cs="Times New Roman"/>
          <w:b w:val="0"/>
          <w:szCs w:val="24"/>
          <w:shd w:val="clear" w:color="auto" w:fill="FFFFFF"/>
        </w:rPr>
        <w:t>he Global Tobacco Epidemic 2019: Offer H</w:t>
      </w:r>
      <w:r w:rsidR="00617DAD">
        <w:rPr>
          <w:rFonts w:cs="Times New Roman"/>
          <w:b w:val="0"/>
          <w:szCs w:val="24"/>
          <w:shd w:val="clear" w:color="auto" w:fill="FFFFFF"/>
        </w:rPr>
        <w:t>elp t</w:t>
      </w:r>
      <w:r w:rsidRPr="008F124C">
        <w:rPr>
          <w:rFonts w:cs="Times New Roman"/>
          <w:b w:val="0"/>
          <w:szCs w:val="24"/>
          <w:shd w:val="clear" w:color="auto" w:fill="FFFFFF"/>
        </w:rPr>
        <w:t xml:space="preserve">o Quit Tobacco Use”, </w:t>
      </w:r>
      <w:hyperlink r:id="rId12" w:history="1">
        <w:r w:rsidRPr="008F124C">
          <w:rPr>
            <w:rStyle w:val="Kpr"/>
            <w:rFonts w:cs="Times New Roman"/>
            <w:b w:val="0"/>
            <w:color w:val="auto"/>
            <w:szCs w:val="24"/>
            <w:u w:val="none"/>
          </w:rPr>
          <w:t>https://apps.who.int/iris/bitstream/handle/10665/326043/9789241516204-eng.pdf?ua=1</w:t>
        </w:r>
      </w:hyperlink>
      <w:r w:rsidRPr="008F124C">
        <w:rPr>
          <w:rFonts w:cs="Times New Roman"/>
          <w:b w:val="0"/>
          <w:szCs w:val="24"/>
        </w:rPr>
        <w:t>, Erişim Tarihi: 10.12.2019.</w:t>
      </w:r>
    </w:p>
    <w:p w:rsidR="000E3E30" w:rsidRPr="00115FA3" w:rsidRDefault="000E3E30" w:rsidP="000E3E30">
      <w:pPr>
        <w:spacing w:after="240"/>
        <w:ind w:left="709" w:hanging="709"/>
        <w:rPr>
          <w:shd w:val="clear" w:color="auto" w:fill="FFFFFF"/>
        </w:rPr>
      </w:pPr>
      <w:r w:rsidRPr="00115FA3">
        <w:t xml:space="preserve">ERDAL Gülistan, ERDAL Hilmi, ESENGÜN Kemal </w:t>
      </w:r>
      <w:r w:rsidR="00617DAD">
        <w:t>ve</w:t>
      </w:r>
      <w:r w:rsidRPr="00115FA3">
        <w:t xml:space="preserve"> KARAKAŞ Güngör; (2015), “</w:t>
      </w:r>
      <w:r w:rsidRPr="00115FA3">
        <w:rPr>
          <w:shd w:val="clear" w:color="auto" w:fill="FFFFFF"/>
        </w:rPr>
        <w:t xml:space="preserve">Cigarette Consumption Habits and Related Factors Among College Students in Turkey: A Logit Model Analysis”, </w:t>
      </w:r>
      <w:r w:rsidRPr="00115FA3">
        <w:rPr>
          <w:b/>
          <w:iCs/>
          <w:shd w:val="clear" w:color="auto" w:fill="FFFFFF"/>
        </w:rPr>
        <w:t>J Pak Med Assoc</w:t>
      </w:r>
      <w:r w:rsidRPr="00115FA3">
        <w:rPr>
          <w:shd w:val="clear" w:color="auto" w:fill="FFFFFF"/>
        </w:rPr>
        <w:t>, </w:t>
      </w:r>
      <w:r w:rsidRPr="00115FA3">
        <w:rPr>
          <w:iCs/>
          <w:shd w:val="clear" w:color="auto" w:fill="FFFFFF"/>
        </w:rPr>
        <w:t>65</w:t>
      </w:r>
      <w:r w:rsidRPr="00115FA3">
        <w:rPr>
          <w:shd w:val="clear" w:color="auto" w:fill="FFFFFF"/>
        </w:rPr>
        <w:t>(2), pp.136-41.</w:t>
      </w:r>
    </w:p>
    <w:p w:rsidR="000E3E30" w:rsidRPr="008F124C" w:rsidRDefault="000E3E30" w:rsidP="000E3E30">
      <w:pPr>
        <w:pStyle w:val="AralkYok"/>
        <w:spacing w:after="240"/>
        <w:ind w:left="709" w:hanging="709"/>
        <w:jc w:val="both"/>
        <w:rPr>
          <w:rFonts w:cs="Times New Roman"/>
          <w:b w:val="0"/>
          <w:szCs w:val="24"/>
        </w:rPr>
      </w:pPr>
      <w:r w:rsidRPr="008F124C">
        <w:rPr>
          <w:rFonts w:cs="Times New Roman"/>
          <w:b w:val="0"/>
          <w:color w:val="222222"/>
          <w:szCs w:val="24"/>
          <w:shd w:val="clear" w:color="auto" w:fill="FFFFFF"/>
        </w:rPr>
        <w:t xml:space="preserve">FRY Vanessa </w:t>
      </w:r>
      <w:r w:rsidR="00617DAD">
        <w:rPr>
          <w:rFonts w:cs="Times New Roman"/>
          <w:b w:val="0"/>
          <w:color w:val="222222"/>
          <w:szCs w:val="24"/>
          <w:shd w:val="clear" w:color="auto" w:fill="FFFFFF"/>
        </w:rPr>
        <w:t>ve</w:t>
      </w:r>
      <w:r w:rsidRPr="008F124C">
        <w:rPr>
          <w:rFonts w:cs="Times New Roman"/>
          <w:b w:val="0"/>
          <w:color w:val="222222"/>
          <w:szCs w:val="24"/>
          <w:shd w:val="clear" w:color="auto" w:fill="FFFFFF"/>
        </w:rPr>
        <w:t xml:space="preserve"> PASHAR</w:t>
      </w:r>
      <w:r w:rsidR="00617DAD">
        <w:rPr>
          <w:rFonts w:cs="Times New Roman"/>
          <w:b w:val="0"/>
          <w:color w:val="222222"/>
          <w:szCs w:val="24"/>
          <w:shd w:val="clear" w:color="auto" w:fill="FFFFFF"/>
        </w:rPr>
        <w:t>DES Panos; (1994), “Abstention a</w:t>
      </w:r>
      <w:r w:rsidRPr="008F124C">
        <w:rPr>
          <w:rFonts w:cs="Times New Roman"/>
          <w:b w:val="0"/>
          <w:color w:val="222222"/>
          <w:szCs w:val="24"/>
          <w:shd w:val="clear" w:color="auto" w:fill="FFFFFF"/>
        </w:rPr>
        <w:t>nd Aggr</w:t>
      </w:r>
      <w:r w:rsidR="00617DAD">
        <w:rPr>
          <w:rFonts w:cs="Times New Roman"/>
          <w:b w:val="0"/>
          <w:color w:val="222222"/>
          <w:szCs w:val="24"/>
          <w:shd w:val="clear" w:color="auto" w:fill="FFFFFF"/>
        </w:rPr>
        <w:t>egation i</w:t>
      </w:r>
      <w:r w:rsidRPr="008F124C">
        <w:rPr>
          <w:rFonts w:cs="Times New Roman"/>
          <w:b w:val="0"/>
          <w:color w:val="222222"/>
          <w:szCs w:val="24"/>
          <w:shd w:val="clear" w:color="auto" w:fill="FFFFFF"/>
        </w:rPr>
        <w:t xml:space="preserve">n Consumer Demand: Zero Tobacco Expenditures, </w:t>
      </w:r>
      <w:r w:rsidRPr="008F124C">
        <w:rPr>
          <w:rFonts w:cs="Times New Roman"/>
          <w:iCs/>
          <w:color w:val="222222"/>
          <w:szCs w:val="24"/>
          <w:shd w:val="clear" w:color="auto" w:fill="FFFFFF"/>
        </w:rPr>
        <w:t>Oxford Economic Papers</w:t>
      </w:r>
      <w:r w:rsidRPr="008F124C">
        <w:rPr>
          <w:rFonts w:cs="Times New Roman"/>
          <w:b w:val="0"/>
          <w:iCs/>
          <w:color w:val="222222"/>
          <w:szCs w:val="24"/>
          <w:shd w:val="clear" w:color="auto" w:fill="FFFFFF"/>
        </w:rPr>
        <w:t>, pp.502-518</w:t>
      </w:r>
    </w:p>
    <w:p w:rsidR="000E3E30" w:rsidRPr="00115FA3" w:rsidRDefault="000E3E30" w:rsidP="000E3E30">
      <w:pPr>
        <w:spacing w:after="240"/>
        <w:ind w:left="709" w:hanging="709"/>
        <w:rPr>
          <w:iCs/>
          <w:shd w:val="clear" w:color="auto" w:fill="FFFFFF"/>
        </w:rPr>
      </w:pPr>
      <w:r w:rsidRPr="00115FA3">
        <w:rPr>
          <w:shd w:val="clear" w:color="auto" w:fill="FFFFFF"/>
        </w:rPr>
        <w:t xml:space="preserve">FU Shengfei </w:t>
      </w:r>
      <w:r w:rsidR="00617DAD">
        <w:rPr>
          <w:shd w:val="clear" w:color="auto" w:fill="FFFFFF"/>
        </w:rPr>
        <w:t>ve</w:t>
      </w:r>
      <w:r w:rsidRPr="00115FA3">
        <w:rPr>
          <w:shd w:val="clear" w:color="auto" w:fill="FFFFFF"/>
        </w:rPr>
        <w:t xml:space="preserve"> FLORKOWSK</w:t>
      </w:r>
      <w:r w:rsidR="00617DAD">
        <w:rPr>
          <w:shd w:val="clear" w:color="auto" w:fill="FFFFFF"/>
        </w:rPr>
        <w:t>I</w:t>
      </w:r>
      <w:r w:rsidRPr="00115FA3">
        <w:rPr>
          <w:shd w:val="clear" w:color="auto" w:fill="FFFFFF"/>
        </w:rPr>
        <w:t xml:space="preserve"> J. Wojciech; (2016), “</w:t>
      </w:r>
      <w:r w:rsidRPr="00115FA3">
        <w:rPr>
          <w:iCs/>
          <w:shd w:val="clear" w:color="auto" w:fill="FFFFFF"/>
        </w:rPr>
        <w:t xml:space="preserve">Polish household consumption of tobacco and alcohol: A censored system”, Southern Agricultural Economics Association (SAEA), 6-9 </w:t>
      </w:r>
      <w:r w:rsidRPr="00115FA3">
        <w:t>February, San Antonio, Texas.</w:t>
      </w:r>
    </w:p>
    <w:p w:rsidR="000E3E30" w:rsidRDefault="000E3E30" w:rsidP="000E3E30">
      <w:pPr>
        <w:spacing w:after="240"/>
        <w:ind w:left="709" w:hanging="709"/>
        <w:rPr>
          <w:shd w:val="clear" w:color="auto" w:fill="FFFFFF"/>
        </w:rPr>
      </w:pPr>
      <w:r w:rsidRPr="00115FA3">
        <w:rPr>
          <w:shd w:val="clear" w:color="auto" w:fill="FFFFFF"/>
        </w:rPr>
        <w:t xml:space="preserve">GARCİA Jaume </w:t>
      </w:r>
      <w:r w:rsidR="00617DAD">
        <w:rPr>
          <w:shd w:val="clear" w:color="auto" w:fill="FFFFFF"/>
        </w:rPr>
        <w:t>ve</w:t>
      </w:r>
      <w:r w:rsidRPr="00115FA3">
        <w:rPr>
          <w:shd w:val="clear" w:color="auto" w:fill="FFFFFF"/>
        </w:rPr>
        <w:t xml:space="preserve"> LABEAGA M. Jose; (1996), “Alternative Approaches to Modelling Zero Expenditure: an Application to Spanish Demand For Tobacco”, </w:t>
      </w:r>
      <w:r w:rsidRPr="00115FA3">
        <w:rPr>
          <w:b/>
          <w:iCs/>
          <w:shd w:val="clear" w:color="auto" w:fill="FFFFFF"/>
        </w:rPr>
        <w:t>Oxford Bulletin of Economics and Statistics</w:t>
      </w:r>
      <w:r w:rsidRPr="00115FA3">
        <w:rPr>
          <w:shd w:val="clear" w:color="auto" w:fill="FFFFFF"/>
        </w:rPr>
        <w:t>, </w:t>
      </w:r>
      <w:r w:rsidRPr="00115FA3">
        <w:rPr>
          <w:iCs/>
          <w:shd w:val="clear" w:color="auto" w:fill="FFFFFF"/>
        </w:rPr>
        <w:t>58</w:t>
      </w:r>
      <w:r w:rsidRPr="00115FA3">
        <w:rPr>
          <w:shd w:val="clear" w:color="auto" w:fill="FFFFFF"/>
        </w:rPr>
        <w:t>(3), pp.489-506.</w:t>
      </w:r>
    </w:p>
    <w:p w:rsidR="000E3E30" w:rsidRDefault="000E3E30" w:rsidP="000E3E30">
      <w:pPr>
        <w:pStyle w:val="altbaslik"/>
        <w:spacing w:before="0" w:beforeAutospacing="0" w:after="240" w:afterAutospacing="0"/>
        <w:ind w:left="709" w:hanging="709"/>
        <w:rPr>
          <w:color w:val="222222"/>
          <w:shd w:val="clear" w:color="auto" w:fill="FFFFFF"/>
        </w:rPr>
      </w:pPr>
      <w:r w:rsidRPr="00636FE4">
        <w:rPr>
          <w:color w:val="222222"/>
          <w:shd w:val="clear" w:color="auto" w:fill="FFFFFF"/>
        </w:rPr>
        <w:lastRenderedPageBreak/>
        <w:t>Gazete</w:t>
      </w:r>
      <w:r w:rsidR="00617DAD">
        <w:rPr>
          <w:color w:val="222222"/>
          <w:shd w:val="clear" w:color="auto" w:fill="FFFFFF"/>
        </w:rPr>
        <w:t xml:space="preserve">, TC </w:t>
      </w:r>
      <w:r w:rsidRPr="00636FE4">
        <w:rPr>
          <w:color w:val="222222"/>
          <w:shd w:val="clear" w:color="auto" w:fill="FFFFFF"/>
        </w:rPr>
        <w:t>Resmi.</w:t>
      </w:r>
      <w:r w:rsidR="00617DAD">
        <w:rPr>
          <w:color w:val="222222"/>
          <w:shd w:val="clear" w:color="auto" w:fill="FFFFFF"/>
        </w:rPr>
        <w:t>(2008)</w:t>
      </w:r>
      <w:r w:rsidRPr="00636FE4">
        <w:rPr>
          <w:color w:val="222222"/>
          <w:shd w:val="clear" w:color="auto" w:fill="FFFFFF"/>
        </w:rPr>
        <w:t xml:space="preserve"> "Tütün Mamullerinin Zararlarının Önlenmesine Dair Kanunda Değişiklik Ya</w:t>
      </w:r>
      <w:r w:rsidR="00617DAD">
        <w:rPr>
          <w:color w:val="222222"/>
          <w:shd w:val="clear" w:color="auto" w:fill="FFFFFF"/>
        </w:rPr>
        <w:t xml:space="preserve">pılması Hakkında Kanun." </w:t>
      </w:r>
    </w:p>
    <w:p w:rsidR="000E3E30" w:rsidRDefault="000E3E30" w:rsidP="000E3E30">
      <w:pPr>
        <w:pStyle w:val="altbaslik"/>
        <w:spacing w:before="0" w:beforeAutospacing="0" w:after="240" w:afterAutospacing="0"/>
        <w:ind w:left="709" w:hanging="709"/>
        <w:rPr>
          <w:color w:val="222222"/>
          <w:shd w:val="clear" w:color="auto" w:fill="FFFFFF"/>
        </w:rPr>
      </w:pPr>
      <w:r w:rsidRPr="00636FE4">
        <w:rPr>
          <w:color w:val="222222"/>
          <w:shd w:val="clear" w:color="auto" w:fill="FFFFFF"/>
        </w:rPr>
        <w:t xml:space="preserve">Gazete, TC </w:t>
      </w:r>
      <w:r w:rsidR="00617DAD">
        <w:rPr>
          <w:color w:val="222222"/>
          <w:shd w:val="clear" w:color="auto" w:fill="FFFFFF"/>
        </w:rPr>
        <w:t xml:space="preserve"> </w:t>
      </w:r>
      <w:r w:rsidRPr="00636FE4">
        <w:rPr>
          <w:color w:val="222222"/>
          <w:shd w:val="clear" w:color="auto" w:fill="FFFFFF"/>
        </w:rPr>
        <w:t>Resmi.</w:t>
      </w:r>
      <w:r w:rsidR="00617DAD">
        <w:rPr>
          <w:color w:val="222222"/>
          <w:shd w:val="clear" w:color="auto" w:fill="FFFFFF"/>
        </w:rPr>
        <w:t>(1996)</w:t>
      </w:r>
      <w:r w:rsidRPr="00636FE4">
        <w:rPr>
          <w:color w:val="222222"/>
          <w:shd w:val="clear" w:color="auto" w:fill="FFFFFF"/>
        </w:rPr>
        <w:t xml:space="preserve"> </w:t>
      </w:r>
      <w:r w:rsidR="00617DAD">
        <w:rPr>
          <w:color w:val="222222"/>
          <w:shd w:val="clear" w:color="auto" w:fill="FFFFFF"/>
        </w:rPr>
        <w:t xml:space="preserve"> </w:t>
      </w:r>
      <w:r w:rsidRPr="00636FE4">
        <w:rPr>
          <w:color w:val="222222"/>
          <w:shd w:val="clear" w:color="auto" w:fill="FFFFFF"/>
        </w:rPr>
        <w:t>"Tütün Ürünlerinin Zararlarının Önlenmesi ve K</w:t>
      </w:r>
      <w:r w:rsidR="00617DAD">
        <w:rPr>
          <w:color w:val="222222"/>
          <w:shd w:val="clear" w:color="auto" w:fill="FFFFFF"/>
        </w:rPr>
        <w:t xml:space="preserve">ontrolü Hakkında Kanun." </w:t>
      </w:r>
    </w:p>
    <w:p w:rsidR="000E3E30" w:rsidRDefault="00617DAD" w:rsidP="000E3E30">
      <w:pPr>
        <w:spacing w:after="240"/>
        <w:ind w:left="709" w:hanging="709"/>
        <w:rPr>
          <w:shd w:val="clear" w:color="auto" w:fill="FFFFFF"/>
        </w:rPr>
      </w:pPr>
      <w:r>
        <w:rPr>
          <w:shd w:val="clear" w:color="auto" w:fill="FFFFFF"/>
        </w:rPr>
        <w:t>GILANI</w:t>
      </w:r>
      <w:r w:rsidR="000E3E30" w:rsidRPr="00115FA3">
        <w:rPr>
          <w:shd w:val="clear" w:color="auto" w:fill="FFFFFF"/>
        </w:rPr>
        <w:t xml:space="preserve"> I. Sara </w:t>
      </w:r>
      <w:r>
        <w:rPr>
          <w:shd w:val="clear" w:color="auto" w:fill="FFFFFF"/>
        </w:rPr>
        <w:t>ve</w:t>
      </w:r>
      <w:r w:rsidR="000E3E30" w:rsidRPr="00115FA3">
        <w:rPr>
          <w:shd w:val="clear" w:color="auto" w:fill="FFFFFF"/>
        </w:rPr>
        <w:t xml:space="preserve"> LEON A. David; (2013), “Pre</w:t>
      </w:r>
      <w:r>
        <w:rPr>
          <w:shd w:val="clear" w:color="auto" w:fill="FFFFFF"/>
        </w:rPr>
        <w:t>valence a</w:t>
      </w:r>
      <w:r w:rsidR="000E3E30" w:rsidRPr="00115FA3">
        <w:rPr>
          <w:shd w:val="clear" w:color="auto" w:fill="FFFFFF"/>
        </w:rPr>
        <w:t>nd</w:t>
      </w:r>
      <w:r>
        <w:rPr>
          <w:shd w:val="clear" w:color="auto" w:fill="FFFFFF"/>
        </w:rPr>
        <w:t xml:space="preserve"> Sociodemographic Determinants of Tobacco Use Among Adults in Pakistan: Findings o</w:t>
      </w:r>
      <w:r w:rsidR="000E3E30" w:rsidRPr="00115FA3">
        <w:rPr>
          <w:shd w:val="clear" w:color="auto" w:fill="FFFFFF"/>
        </w:rPr>
        <w:t xml:space="preserve">f A Nationwide Survey Conducted İn 2012”, </w:t>
      </w:r>
      <w:r w:rsidR="000E3E30" w:rsidRPr="00115FA3">
        <w:rPr>
          <w:b/>
          <w:iCs/>
          <w:shd w:val="clear" w:color="auto" w:fill="FFFFFF"/>
        </w:rPr>
        <w:t>Population Health Metrics</w:t>
      </w:r>
      <w:r w:rsidR="000E3E30" w:rsidRPr="00115FA3">
        <w:rPr>
          <w:iCs/>
          <w:shd w:val="clear" w:color="auto" w:fill="FFFFFF"/>
        </w:rPr>
        <w:t>, 11</w:t>
      </w:r>
      <w:r w:rsidR="000E3E30" w:rsidRPr="00115FA3">
        <w:rPr>
          <w:shd w:val="clear" w:color="auto" w:fill="FFFFFF"/>
        </w:rPr>
        <w:t>(1), pp.16</w:t>
      </w:r>
    </w:p>
    <w:p w:rsidR="00C72250" w:rsidRPr="00C72250" w:rsidRDefault="00C72250" w:rsidP="00C72250">
      <w:pPr>
        <w:spacing w:after="120" w:line="240" w:lineRule="auto"/>
        <w:ind w:left="709" w:hanging="709"/>
        <w:rPr>
          <w:shd w:val="clear" w:color="auto" w:fill="FFFFFF"/>
        </w:rPr>
      </w:pPr>
      <w:r w:rsidRPr="00C72250">
        <w:rPr>
          <w:shd w:val="clear" w:color="auto" w:fill="FFFFFF"/>
        </w:rPr>
        <w:t>GREENE W</w:t>
      </w:r>
      <w:r w:rsidRPr="00C72250">
        <w:rPr>
          <w:color w:val="222222"/>
          <w:shd w:val="clear" w:color="auto" w:fill="FFFFFF"/>
        </w:rPr>
        <w:t xml:space="preserve">illiam; </w:t>
      </w:r>
      <w:r w:rsidRPr="00C72250">
        <w:rPr>
          <w:shd w:val="clear" w:color="auto" w:fill="FFFFFF"/>
        </w:rPr>
        <w:t>(2011), Econometric Analysis, 7. Baskı, Pearson, Londra, Birleşik Krallık.</w:t>
      </w:r>
    </w:p>
    <w:p w:rsidR="000E3E30" w:rsidRPr="00115FA3" w:rsidRDefault="000E3E30" w:rsidP="000E3E30">
      <w:pPr>
        <w:spacing w:after="240"/>
        <w:ind w:left="709" w:hanging="709"/>
        <w:rPr>
          <w:shd w:val="clear" w:color="auto" w:fill="FFFFFF"/>
        </w:rPr>
      </w:pPr>
      <w:r w:rsidRPr="00115FA3">
        <w:rPr>
          <w:shd w:val="clear" w:color="auto" w:fill="FFFFFF"/>
        </w:rPr>
        <w:t xml:space="preserve">GROUND Marc </w:t>
      </w:r>
      <w:r w:rsidR="00617DAD">
        <w:rPr>
          <w:shd w:val="clear" w:color="auto" w:fill="FFFFFF"/>
        </w:rPr>
        <w:t>ve</w:t>
      </w:r>
      <w:r w:rsidRPr="00115FA3">
        <w:rPr>
          <w:shd w:val="clear" w:color="auto" w:fill="FFFFFF"/>
        </w:rPr>
        <w:t xml:space="preserve"> KOCH F.</w:t>
      </w:r>
      <w:r w:rsidR="00617DAD">
        <w:rPr>
          <w:shd w:val="clear" w:color="auto" w:fill="FFFFFF"/>
        </w:rPr>
        <w:t xml:space="preserve"> Steven (2008), “Hurdle Models o</w:t>
      </w:r>
      <w:r w:rsidRPr="00115FA3">
        <w:rPr>
          <w:shd w:val="clear" w:color="auto" w:fill="FFFFFF"/>
        </w:rPr>
        <w:t xml:space="preserve">f Alcohol and Tobacco Expenditure in South the African Households,” </w:t>
      </w:r>
      <w:r w:rsidRPr="00115FA3">
        <w:rPr>
          <w:b/>
          <w:iCs/>
          <w:shd w:val="clear" w:color="auto" w:fill="FFFFFF"/>
        </w:rPr>
        <w:t>South African Journal of Economics</w:t>
      </w:r>
      <w:r w:rsidRPr="00115FA3">
        <w:rPr>
          <w:shd w:val="clear" w:color="auto" w:fill="FFFFFF"/>
        </w:rPr>
        <w:t>, </w:t>
      </w:r>
      <w:r w:rsidRPr="00115FA3">
        <w:rPr>
          <w:iCs/>
          <w:shd w:val="clear" w:color="auto" w:fill="FFFFFF"/>
        </w:rPr>
        <w:t>76</w:t>
      </w:r>
      <w:r w:rsidRPr="00115FA3">
        <w:rPr>
          <w:shd w:val="clear" w:color="auto" w:fill="FFFFFF"/>
        </w:rPr>
        <w:t>(1), pp.132-143.</w:t>
      </w:r>
    </w:p>
    <w:p w:rsidR="000E3E30" w:rsidRPr="008F124C" w:rsidRDefault="00617DAD" w:rsidP="000E3E30">
      <w:pPr>
        <w:pStyle w:val="AralkYok"/>
        <w:spacing w:after="240"/>
        <w:ind w:left="709" w:hanging="709"/>
        <w:jc w:val="both"/>
        <w:rPr>
          <w:rFonts w:cs="Times New Roman"/>
          <w:b w:val="0"/>
          <w:szCs w:val="24"/>
          <w:shd w:val="clear" w:color="auto" w:fill="FFFFFF"/>
        </w:rPr>
      </w:pPr>
      <w:r>
        <w:rPr>
          <w:rFonts w:cs="Times New Roman"/>
          <w:b w:val="0"/>
          <w:szCs w:val="24"/>
        </w:rPr>
        <w:t>HAINES S. Pamela, POPKI</w:t>
      </w:r>
      <w:r w:rsidR="000E3E30" w:rsidRPr="008F124C">
        <w:rPr>
          <w:rFonts w:cs="Times New Roman"/>
          <w:b w:val="0"/>
          <w:szCs w:val="24"/>
        </w:rPr>
        <w:t xml:space="preserve">N M. Barry </w:t>
      </w:r>
      <w:r>
        <w:rPr>
          <w:rFonts w:cs="Times New Roman"/>
          <w:b w:val="0"/>
          <w:szCs w:val="24"/>
        </w:rPr>
        <w:t>ve</w:t>
      </w:r>
      <w:r w:rsidR="000E3E30" w:rsidRPr="008F124C">
        <w:rPr>
          <w:rFonts w:cs="Times New Roman"/>
          <w:b w:val="0"/>
          <w:szCs w:val="24"/>
        </w:rPr>
        <w:t xml:space="preserve"> GUİLKEY K. David; (1988), “</w:t>
      </w:r>
      <w:r w:rsidR="000E3E30" w:rsidRPr="008F124C">
        <w:rPr>
          <w:rFonts w:cs="Times New Roman"/>
          <w:b w:val="0"/>
          <w:szCs w:val="24"/>
          <w:shd w:val="clear" w:color="auto" w:fill="FFFFFF"/>
        </w:rPr>
        <w:t>Model</w:t>
      </w:r>
      <w:r>
        <w:rPr>
          <w:rFonts w:cs="Times New Roman"/>
          <w:b w:val="0"/>
          <w:szCs w:val="24"/>
          <w:shd w:val="clear" w:color="auto" w:fill="FFFFFF"/>
        </w:rPr>
        <w:t>ing Food Consumption Decisions a</w:t>
      </w:r>
      <w:r w:rsidR="000E3E30" w:rsidRPr="008F124C">
        <w:rPr>
          <w:rFonts w:cs="Times New Roman"/>
          <w:b w:val="0"/>
          <w:szCs w:val="24"/>
          <w:shd w:val="clear" w:color="auto" w:fill="FFFFFF"/>
        </w:rPr>
        <w:t xml:space="preserve">s A Two-Step Process”, </w:t>
      </w:r>
      <w:r w:rsidR="000E3E30" w:rsidRPr="008F124C">
        <w:rPr>
          <w:rFonts w:cs="Times New Roman"/>
          <w:iCs/>
          <w:szCs w:val="24"/>
          <w:shd w:val="clear" w:color="auto" w:fill="FFFFFF"/>
        </w:rPr>
        <w:t>American Journal of Agricultural Economics</w:t>
      </w:r>
      <w:r w:rsidR="000E3E30" w:rsidRPr="008F124C">
        <w:rPr>
          <w:rFonts w:cs="Times New Roman"/>
          <w:b w:val="0"/>
          <w:iCs/>
          <w:szCs w:val="24"/>
          <w:shd w:val="clear" w:color="auto" w:fill="FFFFFF"/>
        </w:rPr>
        <w:t>, 70</w:t>
      </w:r>
      <w:r w:rsidR="000E3E30" w:rsidRPr="008F124C">
        <w:rPr>
          <w:rFonts w:cs="Times New Roman"/>
          <w:b w:val="0"/>
          <w:szCs w:val="24"/>
          <w:shd w:val="clear" w:color="auto" w:fill="FFFFFF"/>
        </w:rPr>
        <w:t>(3), pp. 543-552.</w:t>
      </w:r>
    </w:p>
    <w:p w:rsidR="000E3E30" w:rsidRPr="008F124C" w:rsidRDefault="00617DAD" w:rsidP="000E3E30">
      <w:pPr>
        <w:pStyle w:val="AralkYok"/>
        <w:spacing w:after="240"/>
        <w:ind w:left="709" w:hanging="709"/>
        <w:jc w:val="both"/>
        <w:rPr>
          <w:rFonts w:cs="Times New Roman"/>
          <w:b w:val="0"/>
          <w:szCs w:val="24"/>
        </w:rPr>
      </w:pPr>
      <w:r>
        <w:rPr>
          <w:rFonts w:cs="Times New Roman"/>
          <w:b w:val="0"/>
          <w:color w:val="222222"/>
          <w:szCs w:val="24"/>
          <w:shd w:val="clear" w:color="auto" w:fill="FFFFFF"/>
        </w:rPr>
        <w:t>HARRI</w:t>
      </w:r>
      <w:r w:rsidR="000E3E30" w:rsidRPr="008F124C">
        <w:rPr>
          <w:rFonts w:cs="Times New Roman"/>
          <w:b w:val="0"/>
          <w:color w:val="222222"/>
          <w:szCs w:val="24"/>
          <w:shd w:val="clear" w:color="auto" w:fill="FFFFFF"/>
        </w:rPr>
        <w:t xml:space="preserve">S N. Mark </w:t>
      </w:r>
      <w:r>
        <w:rPr>
          <w:rFonts w:cs="Times New Roman"/>
          <w:b w:val="0"/>
          <w:color w:val="222222"/>
          <w:szCs w:val="24"/>
          <w:shd w:val="clear" w:color="auto" w:fill="FFFFFF"/>
        </w:rPr>
        <w:t>ve ZHAO Xueyan; (2007), “A Zero-Inflated Ordered Probit Model, with An Application t</w:t>
      </w:r>
      <w:r w:rsidR="000E3E30" w:rsidRPr="008F124C">
        <w:rPr>
          <w:rFonts w:cs="Times New Roman"/>
          <w:b w:val="0"/>
          <w:color w:val="222222"/>
          <w:szCs w:val="24"/>
          <w:shd w:val="clear" w:color="auto" w:fill="FFFFFF"/>
        </w:rPr>
        <w:t>o Modelling Tobacco Consumption”,  </w:t>
      </w:r>
      <w:r w:rsidR="000E3E30" w:rsidRPr="008F124C">
        <w:rPr>
          <w:rFonts w:cs="Times New Roman"/>
          <w:iCs/>
          <w:color w:val="222222"/>
          <w:szCs w:val="24"/>
          <w:shd w:val="clear" w:color="auto" w:fill="FFFFFF"/>
        </w:rPr>
        <w:t>Journal of Econometrics</w:t>
      </w:r>
      <w:r w:rsidR="000E3E30" w:rsidRPr="008F124C">
        <w:rPr>
          <w:rFonts w:cs="Times New Roman"/>
          <w:b w:val="0"/>
          <w:color w:val="222222"/>
          <w:szCs w:val="24"/>
          <w:shd w:val="clear" w:color="auto" w:fill="FFFFFF"/>
        </w:rPr>
        <w:t>, </w:t>
      </w:r>
      <w:r w:rsidR="000E3E30" w:rsidRPr="008F124C">
        <w:rPr>
          <w:rFonts w:cs="Times New Roman"/>
          <w:b w:val="0"/>
          <w:iCs/>
          <w:color w:val="222222"/>
          <w:szCs w:val="24"/>
          <w:shd w:val="clear" w:color="auto" w:fill="FFFFFF"/>
        </w:rPr>
        <w:t>141</w:t>
      </w:r>
      <w:r w:rsidR="000E3E30" w:rsidRPr="008F124C">
        <w:rPr>
          <w:rFonts w:cs="Times New Roman"/>
          <w:b w:val="0"/>
          <w:color w:val="222222"/>
          <w:szCs w:val="24"/>
          <w:shd w:val="clear" w:color="auto" w:fill="FFFFFF"/>
        </w:rPr>
        <w:t>(2), pp.1073-1099.</w:t>
      </w:r>
    </w:p>
    <w:p w:rsidR="000E3E30" w:rsidRPr="00115FA3" w:rsidRDefault="000E3E30" w:rsidP="000E3E30">
      <w:pPr>
        <w:spacing w:after="240"/>
        <w:ind w:left="709" w:hanging="709"/>
        <w:rPr>
          <w:shd w:val="clear" w:color="auto" w:fill="FFFFFF"/>
        </w:rPr>
      </w:pPr>
      <w:r w:rsidRPr="00115FA3">
        <w:rPr>
          <w:color w:val="222222"/>
          <w:shd w:val="clear" w:color="auto" w:fill="FFFFFF"/>
        </w:rPr>
        <w:t>HAYRULLAHOĞLU Betül; (2015), “</w:t>
      </w:r>
      <w:hyperlink r:id="rId13" w:history="1"/>
      <w:r w:rsidRPr="00115FA3">
        <w:t xml:space="preserve"> </w:t>
      </w:r>
      <w:r w:rsidR="00617DAD">
        <w:rPr>
          <w:color w:val="222222"/>
          <w:shd w:val="clear" w:color="auto" w:fill="FFFFFF"/>
        </w:rPr>
        <w:t>Türkiye’de Tütün Mamulleri v</w:t>
      </w:r>
      <w:r w:rsidRPr="00115FA3">
        <w:rPr>
          <w:color w:val="222222"/>
          <w:shd w:val="clear" w:color="auto" w:fill="FFFFFF"/>
        </w:rPr>
        <w:t xml:space="preserve">e Alkollü İçkilerde Özel Tüketim Vergisinin Başarısı”, </w:t>
      </w:r>
      <w:r w:rsidRPr="00115FA3">
        <w:rPr>
          <w:b/>
          <w:iCs/>
          <w:color w:val="222222"/>
          <w:shd w:val="clear" w:color="auto" w:fill="FFFFFF"/>
        </w:rPr>
        <w:t>Journal of Life Economics</w:t>
      </w:r>
      <w:r w:rsidRPr="00115FA3">
        <w:rPr>
          <w:iCs/>
          <w:color w:val="222222"/>
          <w:shd w:val="clear" w:color="auto" w:fill="FFFFFF"/>
        </w:rPr>
        <w:t xml:space="preserve">, </w:t>
      </w:r>
      <w:r w:rsidRPr="00115FA3">
        <w:rPr>
          <w:i/>
          <w:iCs/>
          <w:color w:val="222222"/>
          <w:shd w:val="clear" w:color="auto" w:fill="FFFFFF"/>
        </w:rPr>
        <w:t>2</w:t>
      </w:r>
      <w:r w:rsidRPr="00115FA3">
        <w:rPr>
          <w:color w:val="222222"/>
          <w:shd w:val="clear" w:color="auto" w:fill="FFFFFF"/>
        </w:rPr>
        <w:t>(2), ss.89-112</w:t>
      </w:r>
    </w:p>
    <w:p w:rsidR="000E3E30" w:rsidRPr="00115FA3" w:rsidRDefault="000E3E30" w:rsidP="000E3E30">
      <w:pPr>
        <w:spacing w:after="240"/>
        <w:ind w:left="709" w:hanging="709"/>
      </w:pPr>
      <w:r w:rsidRPr="00115FA3">
        <w:t xml:space="preserve">HOU Xiaohui, XU Xiaochen </w:t>
      </w:r>
      <w:r w:rsidR="00617DAD">
        <w:t>ve</w:t>
      </w:r>
      <w:r w:rsidRPr="00115FA3">
        <w:t xml:space="preserve"> ANDERSON Ian; (2015), “</w:t>
      </w:r>
      <w:r w:rsidR="00617DAD">
        <w:rPr>
          <w:color w:val="222222"/>
          <w:shd w:val="clear" w:color="auto" w:fill="FFFFFF"/>
        </w:rPr>
        <w:t>Determinants o</w:t>
      </w:r>
      <w:r w:rsidRPr="00115FA3">
        <w:rPr>
          <w:color w:val="222222"/>
          <w:shd w:val="clear" w:color="auto" w:fill="FFFFFF"/>
        </w:rPr>
        <w:t>f To</w:t>
      </w:r>
      <w:r w:rsidR="00617DAD">
        <w:rPr>
          <w:color w:val="222222"/>
          <w:shd w:val="clear" w:color="auto" w:fill="FFFFFF"/>
        </w:rPr>
        <w:t>bacco Consumption in Papua New Guinea: Challenges i</w:t>
      </w:r>
      <w:r w:rsidRPr="00115FA3">
        <w:rPr>
          <w:color w:val="222222"/>
          <w:shd w:val="clear" w:color="auto" w:fill="FFFFFF"/>
        </w:rPr>
        <w:t xml:space="preserve">n Changing Behaviors”, </w:t>
      </w:r>
      <w:r w:rsidRPr="00115FA3">
        <w:rPr>
          <w:b/>
          <w:iCs/>
          <w:color w:val="222222"/>
          <w:shd w:val="clear" w:color="auto" w:fill="FFFFFF"/>
        </w:rPr>
        <w:t>World Bank Policy Research Working Paper</w:t>
      </w:r>
      <w:r w:rsidRPr="00115FA3">
        <w:rPr>
          <w:color w:val="222222"/>
          <w:shd w:val="clear" w:color="auto" w:fill="FFFFFF"/>
        </w:rPr>
        <w:t xml:space="preserve">, 7302, </w:t>
      </w:r>
      <w:r w:rsidRPr="00115FA3">
        <w:t>University of Papua New Guinea.</w:t>
      </w:r>
    </w:p>
    <w:p w:rsidR="000E3E30" w:rsidRPr="00115FA3" w:rsidRDefault="000E3E30" w:rsidP="000E3E30">
      <w:pPr>
        <w:spacing w:after="240"/>
        <w:ind w:left="709" w:hanging="709"/>
      </w:pPr>
      <w:r w:rsidRPr="00115FA3">
        <w:t xml:space="preserve">İPEK Egemen; (2019), “Türkiye’de Alkol Katılım ve Tüketim Kararları Üzerine Ampirik Bir Çalışma”, </w:t>
      </w:r>
      <w:r w:rsidRPr="00115FA3">
        <w:rPr>
          <w:b/>
        </w:rPr>
        <w:t>Sosyoekonomi Dergisi</w:t>
      </w:r>
      <w:r w:rsidRPr="00115FA3">
        <w:t>, 27(41), ss.57-71</w:t>
      </w:r>
    </w:p>
    <w:p w:rsidR="000E3E30" w:rsidRPr="00115FA3" w:rsidRDefault="000E3E30" w:rsidP="000E3E30">
      <w:pPr>
        <w:spacing w:after="240"/>
        <w:ind w:left="709" w:hanging="709"/>
        <w:rPr>
          <w:shd w:val="clear" w:color="auto" w:fill="FFFFFF"/>
        </w:rPr>
      </w:pPr>
      <w:r w:rsidRPr="00115FA3">
        <w:rPr>
          <w:shd w:val="clear" w:color="auto" w:fill="FFFFFF"/>
        </w:rPr>
        <w:lastRenderedPageBreak/>
        <w:t xml:space="preserve">JACKSON D. John </w:t>
      </w:r>
      <w:r w:rsidR="00617DAD">
        <w:rPr>
          <w:shd w:val="clear" w:color="auto" w:fill="FFFFFF"/>
        </w:rPr>
        <w:t>ve</w:t>
      </w:r>
      <w:r w:rsidRPr="00115FA3">
        <w:rPr>
          <w:shd w:val="clear" w:color="auto" w:fill="FFFFFF"/>
        </w:rPr>
        <w:t xml:space="preserve"> SABA P. Richard; (1997). “</w:t>
      </w:r>
      <w:r w:rsidR="00617DAD">
        <w:rPr>
          <w:color w:val="222222"/>
          <w:shd w:val="clear" w:color="auto" w:fill="FFFFFF"/>
        </w:rPr>
        <w:t>Some Limits o</w:t>
      </w:r>
      <w:r w:rsidRPr="00115FA3">
        <w:rPr>
          <w:color w:val="222222"/>
          <w:shd w:val="clear" w:color="auto" w:fill="FFFFFF"/>
        </w:rPr>
        <w:t xml:space="preserve">n </w:t>
      </w:r>
      <w:r w:rsidR="00617DAD">
        <w:rPr>
          <w:color w:val="222222"/>
          <w:shd w:val="clear" w:color="auto" w:fill="FFFFFF"/>
        </w:rPr>
        <w:t>Taxing Sin: Cigarette Taxation a</w:t>
      </w:r>
      <w:r w:rsidRPr="00115FA3">
        <w:rPr>
          <w:color w:val="222222"/>
          <w:shd w:val="clear" w:color="auto" w:fill="FFFFFF"/>
        </w:rPr>
        <w:t xml:space="preserve">nd Health Care Finance”, </w:t>
      </w:r>
      <w:r w:rsidRPr="00115FA3">
        <w:rPr>
          <w:b/>
          <w:iCs/>
          <w:color w:val="222222"/>
          <w:shd w:val="clear" w:color="auto" w:fill="FFFFFF"/>
        </w:rPr>
        <w:t>Southern Economic Journal</w:t>
      </w:r>
      <w:r w:rsidRPr="00115FA3">
        <w:rPr>
          <w:iCs/>
          <w:color w:val="222222"/>
          <w:shd w:val="clear" w:color="auto" w:fill="FFFFFF"/>
        </w:rPr>
        <w:t>, 63(3), pp.</w:t>
      </w:r>
      <w:r w:rsidRPr="00115FA3">
        <w:rPr>
          <w:color w:val="222222"/>
          <w:shd w:val="clear" w:color="auto" w:fill="FFFFFF"/>
        </w:rPr>
        <w:t xml:space="preserve"> 761-775.</w:t>
      </w:r>
    </w:p>
    <w:p w:rsidR="000E3E30" w:rsidRDefault="000E3E30" w:rsidP="000E3E30">
      <w:pPr>
        <w:spacing w:after="240"/>
        <w:ind w:left="709" w:hanging="709"/>
        <w:rPr>
          <w:shd w:val="clear" w:color="auto" w:fill="FFFFFF"/>
        </w:rPr>
      </w:pPr>
      <w:r w:rsidRPr="00115FA3">
        <w:rPr>
          <w:shd w:val="clear" w:color="auto" w:fill="FFFFFF"/>
        </w:rPr>
        <w:t xml:space="preserve">JOHN M. Rijo, ROSS Hana, </w:t>
      </w:r>
      <w:r w:rsidR="00617DAD">
        <w:rPr>
          <w:shd w:val="clear" w:color="auto" w:fill="FFFFFF"/>
        </w:rPr>
        <w:t>ve</w:t>
      </w:r>
      <w:r w:rsidRPr="00115FA3">
        <w:rPr>
          <w:shd w:val="clear" w:color="auto" w:fill="FFFFFF"/>
        </w:rPr>
        <w:t xml:space="preserve"> BLECHER Evan; (2012), “Tobacco expenditure and its implications for household resource allocation in Cambodia”, </w:t>
      </w:r>
      <w:r w:rsidRPr="00115FA3">
        <w:rPr>
          <w:b/>
          <w:iCs/>
          <w:shd w:val="clear" w:color="auto" w:fill="FFFFFF"/>
        </w:rPr>
        <w:t>Tobacco control</w:t>
      </w:r>
      <w:r w:rsidRPr="00115FA3">
        <w:rPr>
          <w:shd w:val="clear" w:color="auto" w:fill="FFFFFF"/>
        </w:rPr>
        <w:t>, </w:t>
      </w:r>
      <w:r w:rsidRPr="00115FA3">
        <w:rPr>
          <w:iCs/>
          <w:shd w:val="clear" w:color="auto" w:fill="FFFFFF"/>
        </w:rPr>
        <w:t>21</w:t>
      </w:r>
      <w:r w:rsidRPr="00115FA3">
        <w:rPr>
          <w:shd w:val="clear" w:color="auto" w:fill="FFFFFF"/>
        </w:rPr>
        <w:t>(3), pp.341-346.</w:t>
      </w:r>
    </w:p>
    <w:p w:rsidR="000E3E30" w:rsidRPr="00115FA3" w:rsidRDefault="000E3E30" w:rsidP="000E3E30">
      <w:pPr>
        <w:spacing w:after="240"/>
        <w:ind w:left="709" w:hanging="709"/>
      </w:pPr>
      <w:r w:rsidRPr="00115FA3">
        <w:rPr>
          <w:shd w:val="clear" w:color="auto" w:fill="FFFFFF"/>
        </w:rPr>
        <w:t xml:space="preserve">JONES Andrew M., LAPORTE Audrey, RICE Nigel, </w:t>
      </w:r>
      <w:r w:rsidR="00617DAD">
        <w:rPr>
          <w:shd w:val="clear" w:color="auto" w:fill="FFFFFF"/>
        </w:rPr>
        <w:t>ve</w:t>
      </w:r>
      <w:r w:rsidRPr="00115FA3">
        <w:rPr>
          <w:shd w:val="clear" w:color="auto" w:fill="FFFFFF"/>
        </w:rPr>
        <w:t xml:space="preserve"> ZUCCHELLI Eugenio; (2015), “</w:t>
      </w:r>
      <w:r w:rsidR="00617DAD">
        <w:rPr>
          <w:shd w:val="clear" w:color="auto" w:fill="FFFFFF"/>
        </w:rPr>
        <w:t>Do Public Smoking Bans Have an I</w:t>
      </w:r>
      <w:r w:rsidRPr="00115FA3">
        <w:rPr>
          <w:shd w:val="clear" w:color="auto" w:fill="FFFFFF"/>
        </w:rPr>
        <w:t>mpact on Active Smoking? Evidence From the UK,” </w:t>
      </w:r>
      <w:r w:rsidRPr="00115FA3">
        <w:rPr>
          <w:b/>
          <w:iCs/>
          <w:shd w:val="clear" w:color="auto" w:fill="FFFFFF"/>
        </w:rPr>
        <w:t>Health Economics</w:t>
      </w:r>
      <w:r w:rsidRPr="00115FA3">
        <w:rPr>
          <w:shd w:val="clear" w:color="auto" w:fill="FFFFFF"/>
        </w:rPr>
        <w:t>, </w:t>
      </w:r>
      <w:r w:rsidRPr="00115FA3">
        <w:rPr>
          <w:iCs/>
          <w:shd w:val="clear" w:color="auto" w:fill="FFFFFF"/>
        </w:rPr>
        <w:t>24</w:t>
      </w:r>
      <w:r w:rsidRPr="00115FA3">
        <w:rPr>
          <w:shd w:val="clear" w:color="auto" w:fill="FFFFFF"/>
        </w:rPr>
        <w:t>(2), pp.175-192.</w:t>
      </w:r>
    </w:p>
    <w:p w:rsidR="000E3E30" w:rsidRPr="00115FA3" w:rsidRDefault="000E3E30" w:rsidP="000E3E30">
      <w:pPr>
        <w:spacing w:after="240"/>
        <w:ind w:left="709" w:hanging="709"/>
        <w:rPr>
          <w:shd w:val="clear" w:color="auto" w:fill="FFFFFF"/>
        </w:rPr>
      </w:pPr>
      <w:r w:rsidRPr="00115FA3">
        <w:rPr>
          <w:shd w:val="clear" w:color="auto" w:fill="FFFFFF"/>
        </w:rPr>
        <w:t>JO</w:t>
      </w:r>
      <w:r w:rsidR="00617DAD">
        <w:rPr>
          <w:shd w:val="clear" w:color="auto" w:fill="FFFFFF"/>
        </w:rPr>
        <w:t>NES Andrew M.; (1992), “A Note on Computation of the Double‐Hurdle Model with Dependence with An Application t</w:t>
      </w:r>
      <w:r w:rsidRPr="00115FA3">
        <w:rPr>
          <w:shd w:val="clear" w:color="auto" w:fill="FFFFFF"/>
        </w:rPr>
        <w:t>o Tobacco Expenditure.” </w:t>
      </w:r>
      <w:r w:rsidRPr="00115FA3">
        <w:rPr>
          <w:b/>
          <w:iCs/>
          <w:shd w:val="clear" w:color="auto" w:fill="FFFFFF"/>
        </w:rPr>
        <w:t>Bulletin of economic Research</w:t>
      </w:r>
      <w:r w:rsidRPr="00115FA3">
        <w:rPr>
          <w:b/>
          <w:shd w:val="clear" w:color="auto" w:fill="FFFFFF"/>
        </w:rPr>
        <w:t>,</w:t>
      </w:r>
      <w:r w:rsidRPr="00115FA3">
        <w:rPr>
          <w:shd w:val="clear" w:color="auto" w:fill="FFFFFF"/>
        </w:rPr>
        <w:t> </w:t>
      </w:r>
      <w:r w:rsidRPr="00115FA3">
        <w:rPr>
          <w:iCs/>
          <w:shd w:val="clear" w:color="auto" w:fill="FFFFFF"/>
        </w:rPr>
        <w:t>44</w:t>
      </w:r>
      <w:r w:rsidRPr="00115FA3">
        <w:rPr>
          <w:shd w:val="clear" w:color="auto" w:fill="FFFFFF"/>
        </w:rPr>
        <w:t>(1), pp.67-74.</w:t>
      </w:r>
    </w:p>
    <w:p w:rsidR="000E3E30" w:rsidRPr="00115FA3" w:rsidRDefault="000E3E30" w:rsidP="000E3E30">
      <w:pPr>
        <w:spacing w:after="240"/>
        <w:ind w:left="709" w:hanging="709"/>
      </w:pPr>
      <w:r w:rsidRPr="00115FA3">
        <w:t xml:space="preserve">JONES Andrew. M.; (1989a), “A Double-Hurdle Model of Cigarette Consumption”, </w:t>
      </w:r>
      <w:r w:rsidRPr="00115FA3">
        <w:rPr>
          <w:b/>
        </w:rPr>
        <w:t>Journal of Applied Econometrics</w:t>
      </w:r>
      <w:r w:rsidRPr="00115FA3">
        <w:t xml:space="preserve">, 4, pp.23-39. </w:t>
      </w:r>
    </w:p>
    <w:p w:rsidR="000E3E30" w:rsidRPr="00115FA3" w:rsidRDefault="000E3E30" w:rsidP="000E3E30">
      <w:pPr>
        <w:spacing w:after="240"/>
        <w:ind w:left="709" w:hanging="709"/>
      </w:pPr>
      <w:r w:rsidRPr="00115FA3">
        <w:t xml:space="preserve">JONES Andrew. M.; (1989b), “The UK Demand for Cigarettes 1954-1986, A Double Hurdle Approach”, </w:t>
      </w:r>
      <w:r w:rsidRPr="00115FA3">
        <w:rPr>
          <w:b/>
        </w:rPr>
        <w:t>Journal of Health Economics</w:t>
      </w:r>
      <w:r w:rsidRPr="00115FA3">
        <w:t>, 8, pp.133-141.</w:t>
      </w:r>
    </w:p>
    <w:p w:rsidR="000E3E30" w:rsidRPr="00420511" w:rsidRDefault="000E3E30" w:rsidP="000E3E30">
      <w:pPr>
        <w:spacing w:after="240"/>
        <w:ind w:left="709" w:hanging="709"/>
        <w:rPr>
          <w:shd w:val="clear" w:color="auto" w:fill="FFFFFF"/>
        </w:rPr>
      </w:pPr>
      <w:r w:rsidRPr="00420511">
        <w:rPr>
          <w:shd w:val="clear" w:color="auto" w:fill="FFFFFF"/>
        </w:rPr>
        <w:t xml:space="preserve">KARAÖZ Murat, ALBENİ Mesut ve BÜYÜKTATLI Fatıma; (2010) “Yasal Düzenlemelerin Sigara Tüketimi Üzerindeki Etkileri”, </w:t>
      </w:r>
      <w:r w:rsidRPr="00420511">
        <w:rPr>
          <w:b/>
          <w:iCs/>
          <w:shd w:val="clear" w:color="auto" w:fill="FFFFFF"/>
        </w:rPr>
        <w:t>Alanya İşletme Fakültesi Dergisi</w:t>
      </w:r>
      <w:r w:rsidRPr="00420511">
        <w:rPr>
          <w:shd w:val="clear" w:color="auto" w:fill="FFFFFF"/>
        </w:rPr>
        <w:t>, </w:t>
      </w:r>
      <w:r w:rsidRPr="00420511">
        <w:rPr>
          <w:iCs/>
          <w:shd w:val="clear" w:color="auto" w:fill="FFFFFF"/>
        </w:rPr>
        <w:t>2</w:t>
      </w:r>
      <w:r w:rsidRPr="00420511">
        <w:rPr>
          <w:shd w:val="clear" w:color="auto" w:fill="FFFFFF"/>
        </w:rPr>
        <w:t>(2), ss.19-36.</w:t>
      </w:r>
    </w:p>
    <w:p w:rsidR="000E3E30" w:rsidRPr="00115FA3" w:rsidRDefault="000E3E30" w:rsidP="000E3E30">
      <w:pPr>
        <w:spacing w:after="240"/>
        <w:ind w:left="709" w:hanging="709"/>
        <w:rPr>
          <w:color w:val="222222"/>
        </w:rPr>
      </w:pPr>
      <w:r w:rsidRPr="00115FA3">
        <w:rPr>
          <w:color w:val="222222"/>
        </w:rPr>
        <w:t>KEEL</w:t>
      </w:r>
      <w:r w:rsidR="00617DAD">
        <w:rPr>
          <w:color w:val="222222"/>
        </w:rPr>
        <w:t>ER E. Theodore, HU T. Wei, MANNI</w:t>
      </w:r>
      <w:r w:rsidRPr="00115FA3">
        <w:rPr>
          <w:color w:val="222222"/>
        </w:rPr>
        <w:t xml:space="preserve">NG G. Willard </w:t>
      </w:r>
      <w:r w:rsidR="00617DAD">
        <w:rPr>
          <w:color w:val="222222"/>
        </w:rPr>
        <w:t>ve</w:t>
      </w:r>
      <w:r w:rsidRPr="00115FA3">
        <w:rPr>
          <w:color w:val="222222"/>
        </w:rPr>
        <w:t xml:space="preserve"> SUNG H. Yen; (2001), “State Tobacco Taxati</w:t>
      </w:r>
      <w:r w:rsidR="00617DAD">
        <w:rPr>
          <w:color w:val="222222"/>
        </w:rPr>
        <w:t>on, Education and Smoking: Controlling for the Effects o</w:t>
      </w:r>
      <w:r w:rsidRPr="00115FA3">
        <w:rPr>
          <w:color w:val="222222"/>
        </w:rPr>
        <w:t xml:space="preserve">f Omitted Variables”, </w:t>
      </w:r>
      <w:r w:rsidRPr="00115FA3">
        <w:rPr>
          <w:b/>
          <w:iCs/>
          <w:color w:val="222222"/>
        </w:rPr>
        <w:t>National Tax Journal</w:t>
      </w:r>
      <w:r w:rsidRPr="00115FA3">
        <w:rPr>
          <w:color w:val="222222"/>
        </w:rPr>
        <w:t>, pp.83-102.</w:t>
      </w:r>
    </w:p>
    <w:p w:rsidR="000E3E30" w:rsidRPr="00115FA3" w:rsidRDefault="000E3E30" w:rsidP="000E3E30">
      <w:pPr>
        <w:spacing w:after="240"/>
        <w:ind w:left="709" w:hanging="709"/>
      </w:pPr>
      <w:r w:rsidRPr="00115FA3">
        <w:rPr>
          <w:shd w:val="clear" w:color="auto" w:fill="FFFFFF"/>
        </w:rPr>
        <w:t xml:space="preserve">KLEİNE J. Robert </w:t>
      </w:r>
      <w:r w:rsidR="00617DAD">
        <w:rPr>
          <w:shd w:val="clear" w:color="auto" w:fill="FFFFFF"/>
        </w:rPr>
        <w:t>ve</w:t>
      </w:r>
      <w:r w:rsidRPr="00115FA3">
        <w:rPr>
          <w:shd w:val="clear" w:color="auto" w:fill="FFFFFF"/>
        </w:rPr>
        <w:t xml:space="preserve"> REEDER J. Richard; (1977). </w:t>
      </w:r>
      <w:r w:rsidRPr="00115FA3">
        <w:rPr>
          <w:b/>
          <w:iCs/>
          <w:shd w:val="clear" w:color="auto" w:fill="FFFFFF"/>
        </w:rPr>
        <w:t>Cigarette Bootlegging: A State and Federal Responsibility: A Commission Report</w:t>
      </w:r>
      <w:r w:rsidRPr="00115FA3">
        <w:rPr>
          <w:iCs/>
          <w:shd w:val="clear" w:color="auto" w:fill="FFFFFF"/>
        </w:rPr>
        <w:t xml:space="preserve">, </w:t>
      </w:r>
      <w:r w:rsidRPr="00115FA3">
        <w:rPr>
          <w:shd w:val="clear" w:color="auto" w:fill="FFFFFF"/>
        </w:rPr>
        <w:t>Advisory Commission on Intergovernmental Relations, Washington, DC.</w:t>
      </w:r>
    </w:p>
    <w:p w:rsidR="000E3E30" w:rsidRPr="00115FA3" w:rsidRDefault="000E3E30" w:rsidP="000E3E30">
      <w:pPr>
        <w:spacing w:after="240"/>
        <w:ind w:left="709" w:hanging="709"/>
      </w:pPr>
      <w:r w:rsidRPr="00115FA3">
        <w:rPr>
          <w:shd w:val="clear" w:color="auto" w:fill="FFFFFF"/>
        </w:rPr>
        <w:t xml:space="preserve">LEE W. Joe </w:t>
      </w:r>
      <w:r w:rsidR="00617DAD">
        <w:rPr>
          <w:shd w:val="clear" w:color="auto" w:fill="FFFFFF"/>
        </w:rPr>
        <w:t>ve</w:t>
      </w:r>
      <w:r w:rsidRPr="00115FA3">
        <w:rPr>
          <w:shd w:val="clear" w:color="auto" w:fill="FFFFFF"/>
        </w:rPr>
        <w:t xml:space="preserve"> KİDANE Amdetsion; (1988), “Tobacco Consumption Pattern: A Demographic Analysis”, </w:t>
      </w:r>
      <w:r w:rsidRPr="00115FA3">
        <w:rPr>
          <w:b/>
          <w:iCs/>
          <w:shd w:val="clear" w:color="auto" w:fill="FFFFFF"/>
        </w:rPr>
        <w:t>Atlantic Economic Journal</w:t>
      </w:r>
      <w:r w:rsidRPr="00115FA3">
        <w:rPr>
          <w:b/>
          <w:shd w:val="clear" w:color="auto" w:fill="FFFFFF"/>
        </w:rPr>
        <w:t>,</w:t>
      </w:r>
      <w:r w:rsidRPr="00115FA3">
        <w:rPr>
          <w:shd w:val="clear" w:color="auto" w:fill="FFFFFF"/>
        </w:rPr>
        <w:t> </w:t>
      </w:r>
      <w:r w:rsidRPr="00115FA3">
        <w:rPr>
          <w:iCs/>
          <w:shd w:val="clear" w:color="auto" w:fill="FFFFFF"/>
        </w:rPr>
        <w:t>16</w:t>
      </w:r>
      <w:r w:rsidRPr="00115FA3">
        <w:rPr>
          <w:shd w:val="clear" w:color="auto" w:fill="FFFFFF"/>
        </w:rPr>
        <w:t>(4), pp.92-92.</w:t>
      </w:r>
    </w:p>
    <w:p w:rsidR="000E3E30" w:rsidRPr="00115FA3" w:rsidRDefault="00617DAD" w:rsidP="000E3E30">
      <w:pPr>
        <w:spacing w:after="240"/>
        <w:ind w:left="709" w:hanging="709"/>
      </w:pPr>
      <w:r>
        <w:rPr>
          <w:shd w:val="clear" w:color="auto" w:fill="FFFFFF"/>
        </w:rPr>
        <w:lastRenderedPageBreak/>
        <w:t>ORI</w:t>
      </w:r>
      <w:r w:rsidR="000E3E30" w:rsidRPr="00115FA3">
        <w:rPr>
          <w:shd w:val="clear" w:color="auto" w:fill="FFFFFF"/>
        </w:rPr>
        <w:t xml:space="preserve">GO Federica </w:t>
      </w:r>
      <w:r>
        <w:rPr>
          <w:shd w:val="clear" w:color="auto" w:fill="FFFFFF"/>
        </w:rPr>
        <w:t>ve</w:t>
      </w:r>
      <w:r w:rsidR="000E3E30" w:rsidRPr="00115FA3">
        <w:rPr>
          <w:shd w:val="clear" w:color="auto" w:fill="FFFFFF"/>
        </w:rPr>
        <w:t xml:space="preserve"> LUCİFORA Claudio; (2013), “The Effect of Comprehensive Smoking Bans in European Workplaces,” </w:t>
      </w:r>
      <w:r w:rsidR="000E3E30" w:rsidRPr="00115FA3">
        <w:rPr>
          <w:b/>
          <w:shd w:val="clear" w:color="auto" w:fill="FFFFFF"/>
        </w:rPr>
        <w:t>In </w:t>
      </w:r>
      <w:r w:rsidR="000E3E30" w:rsidRPr="00115FA3">
        <w:rPr>
          <w:b/>
          <w:iCs/>
          <w:shd w:val="clear" w:color="auto" w:fill="FFFFFF"/>
        </w:rPr>
        <w:t>Forum for Health Economics and Policy</w:t>
      </w:r>
      <w:r w:rsidR="000E3E30" w:rsidRPr="00115FA3">
        <w:rPr>
          <w:iCs/>
          <w:shd w:val="clear" w:color="auto" w:fill="FFFFFF"/>
        </w:rPr>
        <w:t>,</w:t>
      </w:r>
      <w:r w:rsidR="000E3E30" w:rsidRPr="00115FA3">
        <w:rPr>
          <w:shd w:val="clear" w:color="auto" w:fill="FFFFFF"/>
        </w:rPr>
        <w:t xml:space="preserve"> 16(1), pp.55-81. </w:t>
      </w:r>
    </w:p>
    <w:p w:rsidR="000E3E30" w:rsidRPr="00115FA3" w:rsidRDefault="000E3E30" w:rsidP="000E3E30">
      <w:pPr>
        <w:spacing w:after="240"/>
        <w:ind w:left="709" w:hanging="709"/>
        <w:rPr>
          <w:shd w:val="clear" w:color="auto" w:fill="FFFFFF"/>
        </w:rPr>
      </w:pPr>
      <w:r w:rsidRPr="00115FA3">
        <w:rPr>
          <w:shd w:val="clear" w:color="auto" w:fill="FFFFFF"/>
        </w:rPr>
        <w:t>ÖZCEBE Hilal ve BİLİR Nazmi; (2012), “Kahvehane, Restoran ve Kafe Çalışan ve Müşterilerinin İkram Sektöründe Sigara İçilmesinin Yasaklanması Konusundaki Görüşleri,” </w:t>
      </w:r>
      <w:r w:rsidRPr="00115FA3">
        <w:rPr>
          <w:b/>
          <w:iCs/>
          <w:shd w:val="clear" w:color="auto" w:fill="FFFFFF"/>
        </w:rPr>
        <w:t>Türkiye Halk Sağlığı Dergisi</w:t>
      </w:r>
      <w:r w:rsidRPr="00115FA3">
        <w:rPr>
          <w:shd w:val="clear" w:color="auto" w:fill="FFFFFF"/>
        </w:rPr>
        <w:t>, </w:t>
      </w:r>
      <w:r w:rsidRPr="00115FA3">
        <w:rPr>
          <w:iCs/>
          <w:shd w:val="clear" w:color="auto" w:fill="FFFFFF"/>
        </w:rPr>
        <w:t>10</w:t>
      </w:r>
      <w:r w:rsidRPr="00115FA3">
        <w:rPr>
          <w:shd w:val="clear" w:color="auto" w:fill="FFFFFF"/>
        </w:rPr>
        <w:t>(1), pp.22-36.</w:t>
      </w:r>
    </w:p>
    <w:p w:rsidR="000E3E30" w:rsidRPr="00115FA3" w:rsidRDefault="000E3E30" w:rsidP="000E3E30">
      <w:pPr>
        <w:spacing w:after="240"/>
        <w:ind w:left="709" w:hanging="709"/>
        <w:rPr>
          <w:shd w:val="clear" w:color="auto" w:fill="FFFFFF"/>
        </w:rPr>
      </w:pPr>
      <w:r w:rsidRPr="00115FA3">
        <w:t>ÖZCEBE Hilal</w:t>
      </w:r>
      <w:r w:rsidR="00617DAD">
        <w:t xml:space="preserve">, ERGÜDER Toker, BALCILAR Mehmet </w:t>
      </w:r>
      <w:r w:rsidRPr="00115FA3">
        <w:t>MAUER-STENDER Kristina; (2018), “</w:t>
      </w:r>
      <w:r w:rsidRPr="00115FA3">
        <w:rPr>
          <w:shd w:val="clear" w:color="auto" w:fill="FFFFFF"/>
        </w:rPr>
        <w:t xml:space="preserve">The Perspectives of Politicians on Tobacco Control in Turkey,” </w:t>
      </w:r>
      <w:r w:rsidRPr="00115FA3">
        <w:rPr>
          <w:b/>
          <w:iCs/>
          <w:shd w:val="clear" w:color="auto" w:fill="FFFFFF"/>
        </w:rPr>
        <w:t>European Journal of Public Health</w:t>
      </w:r>
      <w:r w:rsidRPr="00115FA3">
        <w:rPr>
          <w:shd w:val="clear" w:color="auto" w:fill="FFFFFF"/>
        </w:rPr>
        <w:t xml:space="preserve">, </w:t>
      </w:r>
      <w:r w:rsidRPr="00115FA3">
        <w:rPr>
          <w:i/>
          <w:iCs/>
          <w:shd w:val="clear" w:color="auto" w:fill="FFFFFF"/>
        </w:rPr>
        <w:t>28</w:t>
      </w:r>
      <w:r w:rsidRPr="00115FA3">
        <w:rPr>
          <w:shd w:val="clear" w:color="auto" w:fill="FFFFFF"/>
        </w:rPr>
        <w:t>(2), pp.17-21.</w:t>
      </w:r>
    </w:p>
    <w:p w:rsidR="000E3E30" w:rsidRPr="008F124C" w:rsidRDefault="000E3E30" w:rsidP="000E3E30">
      <w:pPr>
        <w:pStyle w:val="AralkYok"/>
        <w:spacing w:after="240"/>
        <w:ind w:left="709" w:hanging="709"/>
        <w:jc w:val="both"/>
        <w:rPr>
          <w:rFonts w:cs="Times New Roman"/>
          <w:b w:val="0"/>
          <w:szCs w:val="24"/>
        </w:rPr>
      </w:pPr>
      <w:r w:rsidRPr="008F124C">
        <w:rPr>
          <w:rFonts w:cs="Times New Roman"/>
          <w:b w:val="0"/>
          <w:szCs w:val="24"/>
        </w:rPr>
        <w:t>PUDNEY Stephen; (1989), “Modelling Individual Choice: The Econometrics of Corners, Kinks, and Holes”, London: Basil Blackwell.</w:t>
      </w:r>
    </w:p>
    <w:p w:rsidR="000E3E30" w:rsidRPr="00115FA3" w:rsidRDefault="000E3E30" w:rsidP="000E3E30">
      <w:pPr>
        <w:spacing w:after="240"/>
        <w:ind w:left="709" w:hanging="709"/>
      </w:pPr>
      <w:r w:rsidRPr="00115FA3">
        <w:t>SABA P. Richard, BEARD T. Randolph, EKELUND B. Robert, JR., RESSLER W. Rand; (1995), “</w:t>
      </w:r>
      <w:r w:rsidRPr="00115FA3">
        <w:rPr>
          <w:color w:val="222222"/>
          <w:shd w:val="clear" w:color="auto" w:fill="FFFFFF"/>
        </w:rPr>
        <w:t xml:space="preserve">The Demand For Cigarette Smuggling”, </w:t>
      </w:r>
      <w:r w:rsidRPr="00115FA3">
        <w:rPr>
          <w:b/>
          <w:iCs/>
          <w:color w:val="222222"/>
          <w:shd w:val="clear" w:color="auto" w:fill="FFFFFF"/>
        </w:rPr>
        <w:t>Economic Inquiry</w:t>
      </w:r>
      <w:r w:rsidRPr="00115FA3">
        <w:rPr>
          <w:iCs/>
          <w:color w:val="222222"/>
          <w:shd w:val="clear" w:color="auto" w:fill="FFFFFF"/>
        </w:rPr>
        <w:t xml:space="preserve">, </w:t>
      </w:r>
      <w:r w:rsidRPr="00115FA3">
        <w:rPr>
          <w:i/>
          <w:iCs/>
          <w:color w:val="222222"/>
          <w:shd w:val="clear" w:color="auto" w:fill="FFFFFF"/>
        </w:rPr>
        <w:t>33</w:t>
      </w:r>
      <w:r w:rsidRPr="00115FA3">
        <w:rPr>
          <w:color w:val="222222"/>
          <w:shd w:val="clear" w:color="auto" w:fill="FFFFFF"/>
        </w:rPr>
        <w:t>(2), pp.189-202.</w:t>
      </w:r>
    </w:p>
    <w:p w:rsidR="000E3E30" w:rsidRPr="00115FA3" w:rsidRDefault="000E3E30" w:rsidP="000E3E30">
      <w:pPr>
        <w:spacing w:after="240"/>
        <w:ind w:left="709" w:hanging="709"/>
        <w:rPr>
          <w:shd w:val="clear" w:color="auto" w:fill="FFFFFF"/>
        </w:rPr>
      </w:pPr>
      <w:r w:rsidRPr="00115FA3">
        <w:t xml:space="preserve">SAHAN Ceyda, GÜNAY Türkan, ŞİMŞEK Hatice, SOYSAL Ahmet </w:t>
      </w:r>
      <w:r w:rsidR="00617DAD">
        <w:t>ve</w:t>
      </w:r>
      <w:r w:rsidRPr="00115FA3">
        <w:t xml:space="preserve"> ERGÖR Gül; (2018), “</w:t>
      </w:r>
      <w:r w:rsidRPr="00115FA3">
        <w:rPr>
          <w:shd w:val="clear" w:color="auto" w:fill="FFFFFF"/>
        </w:rPr>
        <w:t>So</w:t>
      </w:r>
      <w:r w:rsidR="00617DAD">
        <w:rPr>
          <w:shd w:val="clear" w:color="auto" w:fill="FFFFFF"/>
        </w:rPr>
        <w:t>cioeconomic Factors Associated w</w:t>
      </w:r>
      <w:r w:rsidRPr="00115FA3">
        <w:rPr>
          <w:shd w:val="clear" w:color="auto" w:fill="FFFFFF"/>
        </w:rPr>
        <w:t xml:space="preserve">ith Tobacco Smoking in Turkey: A Cross-Sectional, Population-based Study,” </w:t>
      </w:r>
      <w:r w:rsidRPr="00115FA3">
        <w:rPr>
          <w:b/>
          <w:iCs/>
          <w:shd w:val="clear" w:color="auto" w:fill="FFFFFF"/>
        </w:rPr>
        <w:t>Eastern Mediterranean Health Journal</w:t>
      </w:r>
      <w:r w:rsidRPr="00115FA3">
        <w:rPr>
          <w:shd w:val="clear" w:color="auto" w:fill="FFFFFF"/>
        </w:rPr>
        <w:t>, </w:t>
      </w:r>
      <w:r w:rsidRPr="00115FA3">
        <w:rPr>
          <w:iCs/>
          <w:shd w:val="clear" w:color="auto" w:fill="FFFFFF"/>
        </w:rPr>
        <w:t>24</w:t>
      </w:r>
      <w:r w:rsidRPr="00115FA3">
        <w:rPr>
          <w:shd w:val="clear" w:color="auto" w:fill="FFFFFF"/>
        </w:rPr>
        <w:t>(8), pp.705-713</w:t>
      </w:r>
    </w:p>
    <w:p w:rsidR="000E3E30" w:rsidRPr="00115FA3" w:rsidRDefault="000E3E30" w:rsidP="000E3E30">
      <w:pPr>
        <w:spacing w:after="240"/>
        <w:ind w:left="709" w:hanging="709"/>
      </w:pPr>
      <w:r w:rsidRPr="00115FA3">
        <w:rPr>
          <w:shd w:val="clear" w:color="auto" w:fill="FFFFFF"/>
        </w:rPr>
        <w:t>SİSSOKO Macki; (2002), ” Cigarette Consumption in Different US States, 1955–1998: An Empirical Analysis of the Potential Use of Excise Taxation to Reduce Smoking</w:t>
      </w:r>
      <w:r w:rsidRPr="00115FA3">
        <w:rPr>
          <w:b/>
          <w:shd w:val="clear" w:color="auto" w:fill="FFFFFF"/>
        </w:rPr>
        <w:t>,” </w:t>
      </w:r>
      <w:r w:rsidRPr="00115FA3">
        <w:rPr>
          <w:b/>
          <w:iCs/>
          <w:shd w:val="clear" w:color="auto" w:fill="FFFFFF"/>
        </w:rPr>
        <w:t>Journal of Consumer Policy</w:t>
      </w:r>
      <w:r w:rsidRPr="00115FA3">
        <w:rPr>
          <w:shd w:val="clear" w:color="auto" w:fill="FFFFFF"/>
        </w:rPr>
        <w:t>, </w:t>
      </w:r>
      <w:r w:rsidRPr="00115FA3">
        <w:rPr>
          <w:iCs/>
          <w:shd w:val="clear" w:color="auto" w:fill="FFFFFF"/>
        </w:rPr>
        <w:t>25</w:t>
      </w:r>
      <w:r w:rsidRPr="00115FA3">
        <w:rPr>
          <w:shd w:val="clear" w:color="auto" w:fill="FFFFFF"/>
        </w:rPr>
        <w:t>(1), pp.89-106.</w:t>
      </w:r>
    </w:p>
    <w:p w:rsidR="000E3E30" w:rsidRPr="00115FA3" w:rsidRDefault="000E3E30" w:rsidP="000E3E30">
      <w:pPr>
        <w:spacing w:after="240"/>
        <w:ind w:left="709" w:hanging="709"/>
        <w:rPr>
          <w:shd w:val="clear" w:color="auto" w:fill="FFFFFF"/>
        </w:rPr>
      </w:pPr>
      <w:r w:rsidRPr="00115FA3">
        <w:t>STEVEN Yen; (2005), “</w:t>
      </w:r>
      <w:r w:rsidRPr="00115FA3">
        <w:rPr>
          <w:shd w:val="clear" w:color="auto" w:fill="FFFFFF"/>
        </w:rPr>
        <w:t>Zero Obser</w:t>
      </w:r>
      <w:r w:rsidR="00617DAD">
        <w:rPr>
          <w:shd w:val="clear" w:color="auto" w:fill="FFFFFF"/>
        </w:rPr>
        <w:t>vations and Gender Differences i</w:t>
      </w:r>
      <w:r w:rsidRPr="00115FA3">
        <w:rPr>
          <w:shd w:val="clear" w:color="auto" w:fill="FFFFFF"/>
        </w:rPr>
        <w:t xml:space="preserve">n Cigarette Consumption”, </w:t>
      </w:r>
      <w:r w:rsidRPr="00115FA3">
        <w:rPr>
          <w:b/>
          <w:iCs/>
          <w:shd w:val="clear" w:color="auto" w:fill="FFFFFF"/>
        </w:rPr>
        <w:t>Applied Economics</w:t>
      </w:r>
      <w:r w:rsidRPr="00115FA3">
        <w:rPr>
          <w:iCs/>
          <w:shd w:val="clear" w:color="auto" w:fill="FFFFFF"/>
        </w:rPr>
        <w:t>, 37</w:t>
      </w:r>
      <w:r w:rsidRPr="00115FA3">
        <w:rPr>
          <w:shd w:val="clear" w:color="auto" w:fill="FFFFFF"/>
        </w:rPr>
        <w:t>(16), pp.1839-1849.</w:t>
      </w:r>
    </w:p>
    <w:p w:rsidR="000E3E30" w:rsidRPr="00115FA3" w:rsidRDefault="000E3E30" w:rsidP="000E3E30">
      <w:pPr>
        <w:spacing w:after="240"/>
        <w:ind w:left="709" w:hanging="709"/>
      </w:pPr>
      <w:r w:rsidRPr="00115FA3">
        <w:t>ŞENGÜL Seda; (2002), “</w:t>
      </w:r>
      <w:r w:rsidRPr="00115FA3">
        <w:rPr>
          <w:color w:val="222222"/>
          <w:shd w:val="clear" w:color="auto" w:fill="FFFFFF"/>
        </w:rPr>
        <w:t xml:space="preserve">Zeytinyağı Talebinin Çift Eşik Modeli İle Tahmini”, </w:t>
      </w:r>
      <w:r w:rsidRPr="00115FA3">
        <w:rPr>
          <w:b/>
          <w:iCs/>
          <w:color w:val="222222"/>
          <w:shd w:val="clear" w:color="auto" w:fill="FFFFFF"/>
        </w:rPr>
        <w:t>Hacettepe Üniversitesi İktisadi ve İdari Bilimler Fakültesi Dergisi</w:t>
      </w:r>
      <w:r w:rsidRPr="00115FA3">
        <w:rPr>
          <w:iCs/>
          <w:color w:val="222222"/>
          <w:shd w:val="clear" w:color="auto" w:fill="FFFFFF"/>
        </w:rPr>
        <w:t>, 20</w:t>
      </w:r>
      <w:r w:rsidRPr="00115FA3">
        <w:rPr>
          <w:color w:val="222222"/>
          <w:shd w:val="clear" w:color="auto" w:fill="FFFFFF"/>
        </w:rPr>
        <w:t>(2), ss. 93-114.</w:t>
      </w:r>
    </w:p>
    <w:p w:rsidR="000E3E30" w:rsidRPr="00821843" w:rsidRDefault="000E3E30" w:rsidP="000E3E30">
      <w:pPr>
        <w:pStyle w:val="AralkYok"/>
        <w:spacing w:after="240"/>
        <w:ind w:left="709" w:hanging="709"/>
        <w:jc w:val="both"/>
        <w:rPr>
          <w:rFonts w:cs="Times New Roman"/>
          <w:b w:val="0"/>
          <w:iCs/>
          <w:szCs w:val="24"/>
          <w:shd w:val="clear" w:color="auto" w:fill="FFFFFF"/>
        </w:rPr>
      </w:pPr>
      <w:r w:rsidRPr="00821843">
        <w:rPr>
          <w:rFonts w:cs="Times New Roman"/>
          <w:b w:val="0"/>
          <w:szCs w:val="24"/>
        </w:rPr>
        <w:lastRenderedPageBreak/>
        <w:t>TOBİN James; (1958), “</w:t>
      </w:r>
      <w:r w:rsidR="00617DAD">
        <w:rPr>
          <w:rFonts w:cs="Times New Roman"/>
          <w:b w:val="0"/>
          <w:szCs w:val="24"/>
          <w:shd w:val="clear" w:color="auto" w:fill="FFFFFF"/>
        </w:rPr>
        <w:t>Estimation o</w:t>
      </w:r>
      <w:r w:rsidRPr="00821843">
        <w:rPr>
          <w:rFonts w:cs="Times New Roman"/>
          <w:b w:val="0"/>
          <w:szCs w:val="24"/>
          <w:shd w:val="clear" w:color="auto" w:fill="FFFFFF"/>
        </w:rPr>
        <w:t xml:space="preserve">f Relationships </w:t>
      </w:r>
      <w:r w:rsidR="00617DAD">
        <w:rPr>
          <w:rFonts w:cs="Times New Roman"/>
          <w:b w:val="0"/>
          <w:szCs w:val="24"/>
          <w:shd w:val="clear" w:color="auto" w:fill="FFFFFF"/>
        </w:rPr>
        <w:t>f</w:t>
      </w:r>
      <w:r w:rsidRPr="00821843">
        <w:rPr>
          <w:rFonts w:cs="Times New Roman"/>
          <w:b w:val="0"/>
          <w:szCs w:val="24"/>
          <w:shd w:val="clear" w:color="auto" w:fill="FFFFFF"/>
        </w:rPr>
        <w:t xml:space="preserve">or Limited Dependent Variables”, </w:t>
      </w:r>
      <w:r w:rsidRPr="00821843">
        <w:rPr>
          <w:rFonts w:cs="Times New Roman"/>
          <w:iCs/>
          <w:szCs w:val="24"/>
          <w:shd w:val="clear" w:color="auto" w:fill="FFFFFF"/>
        </w:rPr>
        <w:t>Econometrica: journal of the Econometric Society</w:t>
      </w:r>
      <w:r w:rsidRPr="00821843">
        <w:rPr>
          <w:rFonts w:cs="Times New Roman"/>
          <w:b w:val="0"/>
          <w:iCs/>
          <w:szCs w:val="24"/>
          <w:shd w:val="clear" w:color="auto" w:fill="FFFFFF"/>
        </w:rPr>
        <w:t>, pp.24-36</w:t>
      </w:r>
    </w:p>
    <w:p w:rsidR="000E3E30" w:rsidRPr="00182355" w:rsidRDefault="000E3E30" w:rsidP="000E3E30">
      <w:pPr>
        <w:spacing w:after="240"/>
        <w:ind w:left="709" w:hanging="709"/>
      </w:pPr>
      <w:r w:rsidRPr="00636FE4">
        <w:rPr>
          <w:shd w:val="clear" w:color="auto" w:fill="FFFFFF"/>
        </w:rPr>
        <w:t xml:space="preserve">UGURU P. </w:t>
      </w:r>
      <w:r w:rsidRPr="00636FE4">
        <w:t xml:space="preserve">Nkoli, </w:t>
      </w:r>
      <w:r w:rsidRPr="00636FE4">
        <w:rPr>
          <w:shd w:val="clear" w:color="auto" w:fill="FFFFFF"/>
        </w:rPr>
        <w:t>MBACHU Chinyere, IBE P. Ogochukwu, UGURU C. Chibuzo, ODUKOYA Oluwakemi</w:t>
      </w:r>
      <w:r w:rsidRPr="00115FA3">
        <w:rPr>
          <w:shd w:val="clear" w:color="auto" w:fill="FFFFFF"/>
        </w:rPr>
        <w:t xml:space="preserve">, OKWUOSA Chinnenye </w:t>
      </w:r>
      <w:r w:rsidR="00617DAD">
        <w:rPr>
          <w:shd w:val="clear" w:color="auto" w:fill="FFFFFF"/>
        </w:rPr>
        <w:t>ve</w:t>
      </w:r>
      <w:r w:rsidRPr="00115FA3">
        <w:rPr>
          <w:shd w:val="clear" w:color="auto" w:fill="FFFFFF"/>
        </w:rPr>
        <w:t xml:space="preserve"> ONWUJEKWE Obinna; (2015), “</w:t>
      </w:r>
      <w:r w:rsidR="00617DAD">
        <w:rPr>
          <w:shd w:val="clear" w:color="auto" w:fill="FFFFFF"/>
        </w:rPr>
        <w:t>Investigating Male Tobacco Use a</w:t>
      </w:r>
      <w:r w:rsidRPr="00115FA3">
        <w:rPr>
          <w:shd w:val="clear" w:color="auto" w:fill="FFFFFF"/>
        </w:rPr>
        <w:t>nd Expenditure Pattern</w:t>
      </w:r>
      <w:r w:rsidR="00617DAD">
        <w:rPr>
          <w:shd w:val="clear" w:color="auto" w:fill="FFFFFF"/>
        </w:rPr>
        <w:t>s Across Socio-Economic Groups i</w:t>
      </w:r>
      <w:r w:rsidRPr="00115FA3">
        <w:rPr>
          <w:shd w:val="clear" w:color="auto" w:fill="FFFFFF"/>
        </w:rPr>
        <w:t xml:space="preserve">n Nigeria”, </w:t>
      </w:r>
      <w:r w:rsidRPr="00115FA3">
        <w:rPr>
          <w:b/>
          <w:iCs/>
          <w:shd w:val="clear" w:color="auto" w:fill="FFFFFF"/>
        </w:rPr>
        <w:t>PloS one</w:t>
      </w:r>
      <w:r w:rsidRPr="00115FA3">
        <w:rPr>
          <w:shd w:val="clear" w:color="auto" w:fill="FFFFFF"/>
        </w:rPr>
        <w:t>, </w:t>
      </w:r>
      <w:r w:rsidRPr="00115FA3">
        <w:rPr>
          <w:i/>
          <w:iCs/>
          <w:shd w:val="clear" w:color="auto" w:fill="FFFFFF"/>
        </w:rPr>
        <w:t>10</w:t>
      </w:r>
      <w:r w:rsidRPr="00115FA3">
        <w:rPr>
          <w:shd w:val="clear" w:color="auto" w:fill="FFFFFF"/>
        </w:rPr>
        <w:t>(4), pp.e0122021.</w:t>
      </w:r>
    </w:p>
    <w:p w:rsidR="000E3E30" w:rsidRPr="00821843" w:rsidRDefault="000E3E30" w:rsidP="000E3E30">
      <w:pPr>
        <w:pStyle w:val="AralkYok"/>
        <w:spacing w:after="240"/>
        <w:ind w:left="709" w:hanging="709"/>
        <w:jc w:val="both"/>
        <w:rPr>
          <w:rFonts w:cs="Times New Roman"/>
          <w:b w:val="0"/>
          <w:szCs w:val="24"/>
          <w:shd w:val="clear" w:color="auto" w:fill="FFFFFF"/>
        </w:rPr>
      </w:pPr>
      <w:r w:rsidRPr="00821843">
        <w:rPr>
          <w:rFonts w:cs="Times New Roman"/>
          <w:b w:val="0"/>
          <w:szCs w:val="24"/>
          <w:shd w:val="clear" w:color="auto" w:fill="FFFFFF"/>
        </w:rPr>
        <w:t xml:space="preserve">ÜÇDOĞRUK Şenay, FAHAMET Akın ve EMEÇ Hamdi; (2001), “ Türkiye Hanehalkı Eğlence Kültür Harcamalarında Tobit Modelin Kullanımı”, </w:t>
      </w:r>
      <w:r w:rsidRPr="00821843">
        <w:rPr>
          <w:rFonts w:cs="Times New Roman"/>
          <w:iCs/>
          <w:szCs w:val="24"/>
          <w:shd w:val="clear" w:color="auto" w:fill="FFFFFF"/>
        </w:rPr>
        <w:t>Gazi Üniversitesi İktisadi ve İdari Bilimler Fakültesi Dergisi</w:t>
      </w:r>
      <w:r w:rsidRPr="00821843">
        <w:rPr>
          <w:rFonts w:cs="Times New Roman"/>
          <w:b w:val="0"/>
          <w:szCs w:val="24"/>
          <w:shd w:val="clear" w:color="auto" w:fill="FFFFFF"/>
        </w:rPr>
        <w:t>, </w:t>
      </w:r>
      <w:r w:rsidRPr="00821843">
        <w:rPr>
          <w:rFonts w:cs="Times New Roman"/>
          <w:b w:val="0"/>
          <w:iCs/>
          <w:szCs w:val="24"/>
          <w:shd w:val="clear" w:color="auto" w:fill="FFFFFF"/>
        </w:rPr>
        <w:t>3</w:t>
      </w:r>
      <w:r w:rsidRPr="00821843">
        <w:rPr>
          <w:rFonts w:cs="Times New Roman"/>
          <w:b w:val="0"/>
          <w:szCs w:val="24"/>
          <w:shd w:val="clear" w:color="auto" w:fill="FFFFFF"/>
        </w:rPr>
        <w:t>(3), ss.13-26.</w:t>
      </w:r>
    </w:p>
    <w:p w:rsidR="000E3E30" w:rsidRDefault="000E3E30" w:rsidP="000E3E30">
      <w:pPr>
        <w:spacing w:after="240"/>
        <w:ind w:left="709" w:hanging="709"/>
        <w:rPr>
          <w:shd w:val="clear" w:color="auto" w:fill="FFFFFF"/>
        </w:rPr>
      </w:pPr>
      <w:r w:rsidRPr="00115FA3">
        <w:rPr>
          <w:shd w:val="clear" w:color="auto" w:fill="FFFFFF"/>
        </w:rPr>
        <w:t xml:space="preserve">VAZQUEZ-SEGOVİA L. Alonso, SESMA-VAZQUEZ Sergio, HERNANDEZ-AVİLA </w:t>
      </w:r>
      <w:r w:rsidR="00617DAD">
        <w:rPr>
          <w:shd w:val="clear" w:color="auto" w:fill="FFFFFF"/>
        </w:rPr>
        <w:t>Mauricio; (2002), “Tobacco Use in Mexican Households: Results of the Income a</w:t>
      </w:r>
      <w:r w:rsidRPr="00115FA3">
        <w:rPr>
          <w:shd w:val="clear" w:color="auto" w:fill="FFFFFF"/>
        </w:rPr>
        <w:t>n</w:t>
      </w:r>
      <w:r w:rsidR="00617DAD">
        <w:rPr>
          <w:shd w:val="clear" w:color="auto" w:fill="FFFFFF"/>
        </w:rPr>
        <w:t>d Expenses Survey o</w:t>
      </w:r>
      <w:r w:rsidRPr="00115FA3">
        <w:rPr>
          <w:shd w:val="clear" w:color="auto" w:fill="FFFFFF"/>
        </w:rPr>
        <w:t xml:space="preserve">f Households, 1984-2000”, </w:t>
      </w:r>
      <w:r w:rsidRPr="00115FA3">
        <w:rPr>
          <w:b/>
          <w:iCs/>
          <w:shd w:val="clear" w:color="auto" w:fill="FFFFFF"/>
        </w:rPr>
        <w:t>Salud publica de Mexico</w:t>
      </w:r>
      <w:r w:rsidRPr="00115FA3">
        <w:rPr>
          <w:shd w:val="clear" w:color="auto" w:fill="FFFFFF"/>
        </w:rPr>
        <w:t>, </w:t>
      </w:r>
      <w:r w:rsidRPr="00115FA3">
        <w:rPr>
          <w:i/>
          <w:iCs/>
          <w:shd w:val="clear" w:color="auto" w:fill="FFFFFF"/>
        </w:rPr>
        <w:t>44</w:t>
      </w:r>
      <w:r w:rsidRPr="00115FA3">
        <w:rPr>
          <w:shd w:val="clear" w:color="auto" w:fill="FFFFFF"/>
        </w:rPr>
        <w:t>, pp.76-81.</w:t>
      </w:r>
    </w:p>
    <w:p w:rsidR="001E10C4" w:rsidRDefault="001E10C4" w:rsidP="001E10C4">
      <w:pPr>
        <w:spacing w:after="120" w:line="240" w:lineRule="auto"/>
        <w:ind w:left="709" w:hanging="709"/>
        <w:rPr>
          <w:shd w:val="clear" w:color="auto" w:fill="FFFFFF"/>
        </w:rPr>
      </w:pPr>
      <w:r w:rsidRPr="00C72250">
        <w:rPr>
          <w:shd w:val="clear" w:color="auto" w:fill="FFFFFF"/>
        </w:rPr>
        <w:t>VUONG</w:t>
      </w:r>
      <w:r>
        <w:rPr>
          <w:shd w:val="clear" w:color="auto" w:fill="FFFFFF"/>
        </w:rPr>
        <w:t xml:space="preserve"> H. Quang; </w:t>
      </w:r>
      <w:r w:rsidRPr="00AA124F">
        <w:rPr>
          <w:shd w:val="clear" w:color="auto" w:fill="FFFFFF"/>
        </w:rPr>
        <w:t xml:space="preserve">(1989), “Likelihood Ratio Tests for Model Selection and Non-nested Hypotheses”, </w:t>
      </w:r>
      <w:r w:rsidRPr="00C72250">
        <w:rPr>
          <w:b/>
          <w:shd w:val="clear" w:color="auto" w:fill="FFFFFF"/>
        </w:rPr>
        <w:t>Econometrica,</w:t>
      </w:r>
      <w:r w:rsidRPr="00AA124F">
        <w:rPr>
          <w:shd w:val="clear" w:color="auto" w:fill="FFFFFF"/>
        </w:rPr>
        <w:t xml:space="preserve"> </w:t>
      </w:r>
      <w:r>
        <w:rPr>
          <w:shd w:val="clear" w:color="auto" w:fill="FFFFFF"/>
        </w:rPr>
        <w:t xml:space="preserve">57, pp.307-333. </w:t>
      </w:r>
    </w:p>
    <w:p w:rsidR="001E10C4" w:rsidRDefault="001E10C4" w:rsidP="001E10C4">
      <w:pPr>
        <w:spacing w:after="120" w:line="240" w:lineRule="auto"/>
        <w:ind w:left="709" w:hanging="709"/>
        <w:rPr>
          <w:shd w:val="clear" w:color="auto" w:fill="FFFFFF"/>
        </w:rPr>
      </w:pPr>
    </w:p>
    <w:p w:rsidR="000E3E30" w:rsidRPr="00115FA3" w:rsidRDefault="000E3E30" w:rsidP="000E3E30">
      <w:pPr>
        <w:spacing w:after="240"/>
        <w:ind w:left="709" w:hanging="709"/>
        <w:rPr>
          <w:shd w:val="clear" w:color="auto" w:fill="FFFFFF"/>
        </w:rPr>
      </w:pPr>
      <w:r w:rsidRPr="00115FA3">
        <w:rPr>
          <w:shd w:val="clear" w:color="auto" w:fill="FFFFFF"/>
        </w:rPr>
        <w:t xml:space="preserve">WANG Hong, SİNDELAR L. Jody, </w:t>
      </w:r>
      <w:r w:rsidR="00AE263C">
        <w:rPr>
          <w:shd w:val="clear" w:color="auto" w:fill="FFFFFF"/>
        </w:rPr>
        <w:t>ve BUSCH H. Susan; (2006), “The Impact of Tobacco Expenditure o</w:t>
      </w:r>
      <w:r w:rsidRPr="00115FA3">
        <w:rPr>
          <w:shd w:val="clear" w:color="auto" w:fill="FFFFFF"/>
        </w:rPr>
        <w:t xml:space="preserve">n </w:t>
      </w:r>
      <w:r w:rsidR="00AE263C">
        <w:rPr>
          <w:shd w:val="clear" w:color="auto" w:fill="FFFFFF"/>
        </w:rPr>
        <w:t>Household Consumption Patterns i</w:t>
      </w:r>
      <w:r w:rsidRPr="00115FA3">
        <w:rPr>
          <w:shd w:val="clear" w:color="auto" w:fill="FFFFFF"/>
        </w:rPr>
        <w:t>n Rural China”, </w:t>
      </w:r>
      <w:r w:rsidRPr="00115FA3">
        <w:rPr>
          <w:b/>
          <w:iCs/>
          <w:shd w:val="clear" w:color="auto" w:fill="FFFFFF"/>
        </w:rPr>
        <w:t>Social science &amp; medicine</w:t>
      </w:r>
      <w:r w:rsidRPr="00115FA3">
        <w:rPr>
          <w:shd w:val="clear" w:color="auto" w:fill="FFFFFF"/>
        </w:rPr>
        <w:t>, </w:t>
      </w:r>
      <w:r w:rsidRPr="00115FA3">
        <w:rPr>
          <w:i/>
          <w:iCs/>
          <w:shd w:val="clear" w:color="auto" w:fill="FFFFFF"/>
        </w:rPr>
        <w:t>62</w:t>
      </w:r>
      <w:r w:rsidRPr="00115FA3">
        <w:rPr>
          <w:shd w:val="clear" w:color="auto" w:fill="FFFFFF"/>
        </w:rPr>
        <w:t>(6), pp.1414-1426.</w:t>
      </w:r>
    </w:p>
    <w:p w:rsidR="000E3E30" w:rsidRPr="00BF1B96" w:rsidRDefault="000E3E30" w:rsidP="000E3E30">
      <w:pPr>
        <w:spacing w:after="240"/>
        <w:ind w:left="709" w:hanging="709"/>
        <w:rPr>
          <w:shd w:val="clear" w:color="auto" w:fill="FFFFFF"/>
        </w:rPr>
      </w:pPr>
      <w:r w:rsidRPr="00BF1B96">
        <w:rPr>
          <w:shd w:val="clear" w:color="auto" w:fill="FFFFFF"/>
        </w:rPr>
        <w:t xml:space="preserve">WARREN W. Charles, ERGUDER Toker, LEE Juliette, LEA Veronica, SAUER A. Goding, JONES R. Nathan </w:t>
      </w:r>
      <w:r w:rsidR="00AE263C">
        <w:rPr>
          <w:shd w:val="clear" w:color="auto" w:fill="FFFFFF"/>
        </w:rPr>
        <w:t>ve</w:t>
      </w:r>
      <w:r w:rsidRPr="00BF1B96">
        <w:rPr>
          <w:shd w:val="clear" w:color="auto" w:fill="FFFFFF"/>
        </w:rPr>
        <w:t xml:space="preserve"> BİLİR Nazmi; (2012). “Effect of Policy Changes on Cigarette Sales: the Case of Turkey,” </w:t>
      </w:r>
      <w:r w:rsidRPr="00BF1B96">
        <w:rPr>
          <w:b/>
          <w:iCs/>
          <w:shd w:val="clear" w:color="auto" w:fill="FFFFFF"/>
        </w:rPr>
        <w:t>The European Journal of Public Health</w:t>
      </w:r>
      <w:r w:rsidRPr="00BF1B96">
        <w:rPr>
          <w:b/>
          <w:shd w:val="clear" w:color="auto" w:fill="FFFFFF"/>
        </w:rPr>
        <w:t>,</w:t>
      </w:r>
      <w:r w:rsidRPr="00BF1B96">
        <w:rPr>
          <w:shd w:val="clear" w:color="auto" w:fill="FFFFFF"/>
        </w:rPr>
        <w:t> </w:t>
      </w:r>
      <w:r w:rsidRPr="00BF1B96">
        <w:rPr>
          <w:iCs/>
          <w:shd w:val="clear" w:color="auto" w:fill="FFFFFF"/>
        </w:rPr>
        <w:t>22</w:t>
      </w:r>
      <w:r w:rsidRPr="00BF1B96">
        <w:rPr>
          <w:shd w:val="clear" w:color="auto" w:fill="FFFFFF"/>
        </w:rPr>
        <w:t>(5), pp.712-716.</w:t>
      </w:r>
    </w:p>
    <w:p w:rsidR="00C72250" w:rsidRDefault="000E3E30" w:rsidP="001E10C4">
      <w:pPr>
        <w:spacing w:after="240"/>
        <w:ind w:left="709" w:hanging="709"/>
        <w:rPr>
          <w:shd w:val="clear" w:color="auto" w:fill="FFFFFF"/>
        </w:rPr>
      </w:pPr>
      <w:r w:rsidRPr="00115FA3">
        <w:rPr>
          <w:shd w:val="clear" w:color="auto" w:fill="FFFFFF"/>
        </w:rPr>
        <w:t xml:space="preserve">WİLDMAN John </w:t>
      </w:r>
      <w:r w:rsidR="00AE263C">
        <w:rPr>
          <w:shd w:val="clear" w:color="auto" w:fill="FFFFFF"/>
        </w:rPr>
        <w:t>ve</w:t>
      </w:r>
      <w:r w:rsidRPr="00115FA3">
        <w:rPr>
          <w:shd w:val="clear" w:color="auto" w:fill="FFFFFF"/>
        </w:rPr>
        <w:t xml:space="preserve"> HOLLİNGSWORTH Bruce; (2013), “Public Smoking Bans and Self-Assessed Health: Evidence from Great Britain,” </w:t>
      </w:r>
      <w:r w:rsidRPr="00115FA3">
        <w:rPr>
          <w:b/>
          <w:iCs/>
          <w:shd w:val="clear" w:color="auto" w:fill="FFFFFF"/>
        </w:rPr>
        <w:t>Economics Letters</w:t>
      </w:r>
      <w:r w:rsidRPr="00115FA3">
        <w:rPr>
          <w:shd w:val="clear" w:color="auto" w:fill="FFFFFF"/>
        </w:rPr>
        <w:t>, </w:t>
      </w:r>
      <w:r w:rsidRPr="00115FA3">
        <w:rPr>
          <w:iCs/>
          <w:shd w:val="clear" w:color="auto" w:fill="FFFFFF"/>
        </w:rPr>
        <w:t>118</w:t>
      </w:r>
      <w:r w:rsidRPr="00115FA3">
        <w:rPr>
          <w:shd w:val="clear" w:color="auto" w:fill="FFFFFF"/>
        </w:rPr>
        <w:t>(1), pp.209-212.</w:t>
      </w:r>
    </w:p>
    <w:p w:rsidR="001E10C4" w:rsidRPr="001E10C4" w:rsidRDefault="001E10C4" w:rsidP="001E10C4">
      <w:pPr>
        <w:spacing w:after="120" w:line="240" w:lineRule="auto"/>
        <w:ind w:left="709" w:hanging="709"/>
        <w:rPr>
          <w:shd w:val="clear" w:color="auto" w:fill="FFFFFF"/>
        </w:rPr>
      </w:pPr>
      <w:r>
        <w:rPr>
          <w:shd w:val="clear" w:color="auto" w:fill="FFFFFF"/>
        </w:rPr>
        <w:t>YEN T. Steven; (1994), “</w:t>
      </w:r>
      <w:r w:rsidRPr="001E10C4">
        <w:rPr>
          <w:shd w:val="clear" w:color="auto" w:fill="FFFFFF"/>
        </w:rPr>
        <w:t>Cross-section Estimation of U.S. Demand for Alcoholic Beverages</w:t>
      </w:r>
      <w:r>
        <w:rPr>
          <w:shd w:val="clear" w:color="auto" w:fill="FFFFFF"/>
        </w:rPr>
        <w:t xml:space="preserve">”, </w:t>
      </w:r>
      <w:r w:rsidRPr="001E10C4">
        <w:rPr>
          <w:b/>
          <w:shd w:val="clear" w:color="auto" w:fill="FFFFFF"/>
        </w:rPr>
        <w:t>Applied Economics</w:t>
      </w:r>
      <w:r>
        <w:rPr>
          <w:shd w:val="clear" w:color="auto" w:fill="FFFFFF"/>
        </w:rPr>
        <w:t>, 26, pp.381-392.</w:t>
      </w:r>
    </w:p>
    <w:p w:rsidR="001E10C4" w:rsidRDefault="001E10C4" w:rsidP="000E3E30">
      <w:pPr>
        <w:pStyle w:val="AralkYok"/>
        <w:spacing w:after="240"/>
        <w:ind w:left="709" w:hanging="709"/>
        <w:jc w:val="both"/>
        <w:rPr>
          <w:rFonts w:cs="Times New Roman"/>
          <w:b w:val="0"/>
          <w:szCs w:val="24"/>
          <w:shd w:val="clear" w:color="auto" w:fill="FFFFFF"/>
        </w:rPr>
      </w:pPr>
    </w:p>
    <w:p w:rsidR="000E3E30" w:rsidRPr="00821843" w:rsidRDefault="000E3E30" w:rsidP="000E3E30">
      <w:pPr>
        <w:pStyle w:val="AralkYok"/>
        <w:spacing w:after="240"/>
        <w:ind w:left="709" w:hanging="709"/>
        <w:jc w:val="both"/>
        <w:rPr>
          <w:rFonts w:cs="Times New Roman"/>
          <w:b w:val="0"/>
          <w:szCs w:val="24"/>
        </w:rPr>
      </w:pPr>
      <w:r w:rsidRPr="00821843">
        <w:rPr>
          <w:rFonts w:cs="Times New Roman"/>
          <w:b w:val="0"/>
          <w:szCs w:val="24"/>
          <w:shd w:val="clear" w:color="auto" w:fill="FFFFFF"/>
        </w:rPr>
        <w:lastRenderedPageBreak/>
        <w:t xml:space="preserve">YEN T. Steven </w:t>
      </w:r>
      <w:r w:rsidR="00AE263C">
        <w:rPr>
          <w:rFonts w:cs="Times New Roman"/>
          <w:b w:val="0"/>
          <w:szCs w:val="24"/>
          <w:shd w:val="clear" w:color="auto" w:fill="FFFFFF"/>
        </w:rPr>
        <w:t>ve</w:t>
      </w:r>
      <w:r w:rsidRPr="00821843">
        <w:rPr>
          <w:rFonts w:cs="Times New Roman"/>
          <w:b w:val="0"/>
          <w:szCs w:val="24"/>
          <w:shd w:val="clear" w:color="auto" w:fill="FFFFFF"/>
        </w:rPr>
        <w:t xml:space="preserve"> JONES M. Andrew; (1996), “In</w:t>
      </w:r>
      <w:r w:rsidR="00AE263C">
        <w:rPr>
          <w:rFonts w:cs="Times New Roman"/>
          <w:b w:val="0"/>
          <w:szCs w:val="24"/>
          <w:shd w:val="clear" w:color="auto" w:fill="FFFFFF"/>
        </w:rPr>
        <w:t>dividual Cigarette Consumption a</w:t>
      </w:r>
      <w:r w:rsidRPr="00821843">
        <w:rPr>
          <w:rFonts w:cs="Times New Roman"/>
          <w:b w:val="0"/>
          <w:szCs w:val="24"/>
          <w:shd w:val="clear" w:color="auto" w:fill="FFFFFF"/>
        </w:rPr>
        <w:t xml:space="preserve">nd Addiction: A Flexible Limited Dependent Variable Approach”, </w:t>
      </w:r>
      <w:r w:rsidRPr="00821843">
        <w:rPr>
          <w:rFonts w:cs="Times New Roman"/>
          <w:iCs/>
          <w:szCs w:val="24"/>
          <w:shd w:val="clear" w:color="auto" w:fill="FFFFFF"/>
        </w:rPr>
        <w:t>Health economics</w:t>
      </w:r>
      <w:r w:rsidRPr="00821843">
        <w:rPr>
          <w:rFonts w:cs="Times New Roman"/>
          <w:b w:val="0"/>
          <w:szCs w:val="24"/>
          <w:shd w:val="clear" w:color="auto" w:fill="FFFFFF"/>
        </w:rPr>
        <w:t>, </w:t>
      </w:r>
      <w:r w:rsidRPr="00821843">
        <w:rPr>
          <w:rFonts w:cs="Times New Roman"/>
          <w:b w:val="0"/>
          <w:i/>
          <w:iCs/>
          <w:szCs w:val="24"/>
          <w:shd w:val="clear" w:color="auto" w:fill="FFFFFF"/>
        </w:rPr>
        <w:t>5</w:t>
      </w:r>
      <w:r w:rsidRPr="00821843">
        <w:rPr>
          <w:rFonts w:cs="Times New Roman"/>
          <w:b w:val="0"/>
          <w:szCs w:val="24"/>
          <w:shd w:val="clear" w:color="auto" w:fill="FFFFFF"/>
        </w:rPr>
        <w:t>(2), pp.105-117.</w:t>
      </w:r>
    </w:p>
    <w:p w:rsidR="001E10C4" w:rsidRDefault="001E10C4" w:rsidP="00AA124F">
      <w:pPr>
        <w:spacing w:after="120" w:line="240" w:lineRule="auto"/>
        <w:ind w:left="709" w:hanging="709"/>
        <w:rPr>
          <w:shd w:val="clear" w:color="auto" w:fill="FFFFFF"/>
        </w:rPr>
      </w:pPr>
    </w:p>
    <w:p w:rsidR="001E10C4" w:rsidRDefault="001E10C4" w:rsidP="00AA124F">
      <w:pPr>
        <w:spacing w:after="120" w:line="240" w:lineRule="auto"/>
        <w:ind w:left="709" w:hanging="709"/>
        <w:rPr>
          <w:shd w:val="clear" w:color="auto" w:fill="FFFFFF"/>
        </w:rPr>
      </w:pPr>
    </w:p>
    <w:p w:rsidR="001E10C4" w:rsidRDefault="001E10C4" w:rsidP="00AA124F">
      <w:pPr>
        <w:spacing w:after="120" w:line="240" w:lineRule="auto"/>
        <w:ind w:left="709" w:hanging="709"/>
        <w:rPr>
          <w:shd w:val="clear" w:color="auto" w:fill="FFFFFF"/>
        </w:rPr>
      </w:pPr>
    </w:p>
    <w:p w:rsidR="001E10C4" w:rsidRDefault="001E10C4" w:rsidP="00AA124F">
      <w:pPr>
        <w:spacing w:after="120" w:line="240" w:lineRule="auto"/>
        <w:ind w:left="709" w:hanging="709"/>
        <w:rPr>
          <w:shd w:val="clear" w:color="auto" w:fill="FFFFFF"/>
        </w:rPr>
      </w:pPr>
    </w:p>
    <w:p w:rsidR="001E10C4" w:rsidRDefault="001E10C4" w:rsidP="00AA124F">
      <w:pPr>
        <w:spacing w:after="120" w:line="240" w:lineRule="auto"/>
        <w:ind w:left="709" w:hanging="709"/>
        <w:rPr>
          <w:shd w:val="clear" w:color="auto" w:fill="FFFFFF"/>
        </w:rPr>
      </w:pPr>
    </w:p>
    <w:p w:rsidR="001E10C4" w:rsidRDefault="001E10C4" w:rsidP="00AA124F">
      <w:pPr>
        <w:spacing w:after="120" w:line="240" w:lineRule="auto"/>
        <w:ind w:left="709" w:hanging="709"/>
        <w:rPr>
          <w:shd w:val="clear" w:color="auto" w:fill="FFFFFF"/>
        </w:rPr>
      </w:pPr>
    </w:p>
    <w:p w:rsidR="001E10C4" w:rsidRDefault="001E10C4" w:rsidP="00AA124F">
      <w:pPr>
        <w:spacing w:after="120" w:line="240" w:lineRule="auto"/>
        <w:ind w:left="709" w:hanging="709"/>
        <w:rPr>
          <w:shd w:val="clear" w:color="auto" w:fill="FFFFFF"/>
        </w:rPr>
      </w:pPr>
    </w:p>
    <w:p w:rsidR="001E10C4" w:rsidRDefault="001E10C4" w:rsidP="00AA124F">
      <w:pPr>
        <w:spacing w:after="120" w:line="240" w:lineRule="auto"/>
        <w:ind w:left="709" w:hanging="709"/>
        <w:rPr>
          <w:shd w:val="clear" w:color="auto" w:fill="FFFFFF"/>
        </w:rPr>
      </w:pPr>
    </w:p>
    <w:p w:rsidR="001E10C4" w:rsidRDefault="001E10C4" w:rsidP="00AA124F">
      <w:pPr>
        <w:spacing w:after="120" w:line="240" w:lineRule="auto"/>
        <w:ind w:left="709" w:hanging="709"/>
        <w:rPr>
          <w:shd w:val="clear" w:color="auto" w:fill="FFFFFF"/>
        </w:rPr>
      </w:pPr>
    </w:p>
    <w:p w:rsidR="001E10C4" w:rsidRDefault="001E10C4" w:rsidP="00AA124F">
      <w:pPr>
        <w:spacing w:after="120" w:line="240" w:lineRule="auto"/>
        <w:ind w:left="709" w:hanging="709"/>
        <w:rPr>
          <w:shd w:val="clear" w:color="auto" w:fill="FFFFFF"/>
        </w:rPr>
      </w:pPr>
    </w:p>
    <w:p w:rsidR="001E10C4" w:rsidRDefault="001E10C4" w:rsidP="00AA124F">
      <w:pPr>
        <w:spacing w:after="120" w:line="240" w:lineRule="auto"/>
        <w:ind w:left="709" w:hanging="709"/>
        <w:rPr>
          <w:shd w:val="clear" w:color="auto" w:fill="FFFFFF"/>
        </w:rPr>
      </w:pPr>
    </w:p>
    <w:p w:rsidR="001E10C4" w:rsidRDefault="001E10C4" w:rsidP="00AA124F">
      <w:pPr>
        <w:spacing w:after="120" w:line="240" w:lineRule="auto"/>
        <w:ind w:left="709" w:hanging="709"/>
        <w:rPr>
          <w:shd w:val="clear" w:color="auto" w:fill="FFFFFF"/>
        </w:rPr>
      </w:pPr>
    </w:p>
    <w:p w:rsidR="001E10C4" w:rsidRDefault="001E10C4" w:rsidP="00AA124F">
      <w:pPr>
        <w:spacing w:after="120" w:line="240" w:lineRule="auto"/>
        <w:ind w:left="709" w:hanging="709"/>
        <w:rPr>
          <w:shd w:val="clear" w:color="auto" w:fill="FFFFFF"/>
        </w:rPr>
      </w:pPr>
    </w:p>
    <w:p w:rsidR="001E10C4" w:rsidRDefault="001E10C4" w:rsidP="00AA124F">
      <w:pPr>
        <w:spacing w:after="120" w:line="240" w:lineRule="auto"/>
        <w:ind w:left="709" w:hanging="709"/>
        <w:rPr>
          <w:shd w:val="clear" w:color="auto" w:fill="FFFFFF"/>
        </w:rPr>
      </w:pPr>
    </w:p>
    <w:p w:rsidR="001E10C4" w:rsidRDefault="001E10C4" w:rsidP="00AA124F">
      <w:pPr>
        <w:spacing w:after="120" w:line="240" w:lineRule="auto"/>
        <w:ind w:left="709" w:hanging="709"/>
        <w:rPr>
          <w:shd w:val="clear" w:color="auto" w:fill="FFFFFF"/>
        </w:rPr>
      </w:pPr>
    </w:p>
    <w:p w:rsidR="001E10C4" w:rsidRDefault="001E10C4" w:rsidP="00AA124F">
      <w:pPr>
        <w:spacing w:after="120" w:line="240" w:lineRule="auto"/>
        <w:ind w:left="709" w:hanging="709"/>
        <w:rPr>
          <w:shd w:val="clear" w:color="auto" w:fill="FFFFFF"/>
        </w:rPr>
      </w:pPr>
    </w:p>
    <w:p w:rsidR="001E10C4" w:rsidRDefault="001E10C4" w:rsidP="00AA124F">
      <w:pPr>
        <w:spacing w:after="120" w:line="240" w:lineRule="auto"/>
        <w:ind w:left="709" w:hanging="709"/>
        <w:rPr>
          <w:shd w:val="clear" w:color="auto" w:fill="FFFFFF"/>
        </w:rPr>
      </w:pPr>
    </w:p>
    <w:p w:rsidR="001E10C4" w:rsidRDefault="001E10C4" w:rsidP="00AA124F">
      <w:pPr>
        <w:spacing w:after="120" w:line="240" w:lineRule="auto"/>
        <w:ind w:left="709" w:hanging="709"/>
        <w:rPr>
          <w:shd w:val="clear" w:color="auto" w:fill="FFFFFF"/>
        </w:rPr>
      </w:pPr>
    </w:p>
    <w:p w:rsidR="001E10C4" w:rsidRDefault="001E10C4" w:rsidP="00AA124F">
      <w:pPr>
        <w:spacing w:after="120" w:line="240" w:lineRule="auto"/>
        <w:ind w:left="709" w:hanging="709"/>
        <w:rPr>
          <w:shd w:val="clear" w:color="auto" w:fill="FFFFFF"/>
        </w:rPr>
      </w:pPr>
    </w:p>
    <w:p w:rsidR="001E10C4" w:rsidRDefault="001E10C4" w:rsidP="00AA124F">
      <w:pPr>
        <w:spacing w:after="120" w:line="240" w:lineRule="auto"/>
        <w:ind w:left="709" w:hanging="709"/>
        <w:rPr>
          <w:shd w:val="clear" w:color="auto" w:fill="FFFFFF"/>
        </w:rPr>
      </w:pPr>
    </w:p>
    <w:p w:rsidR="001E10C4" w:rsidRDefault="001E10C4" w:rsidP="00AA124F">
      <w:pPr>
        <w:spacing w:after="120" w:line="240" w:lineRule="auto"/>
        <w:ind w:left="709" w:hanging="709"/>
        <w:rPr>
          <w:shd w:val="clear" w:color="auto" w:fill="FFFFFF"/>
        </w:rPr>
      </w:pPr>
    </w:p>
    <w:p w:rsidR="001E10C4" w:rsidRDefault="001E10C4" w:rsidP="00AA124F">
      <w:pPr>
        <w:spacing w:after="120" w:line="240" w:lineRule="auto"/>
        <w:ind w:left="709" w:hanging="709"/>
        <w:rPr>
          <w:shd w:val="clear" w:color="auto" w:fill="FFFFFF"/>
        </w:rPr>
      </w:pPr>
    </w:p>
    <w:p w:rsidR="001E10C4" w:rsidRDefault="001E10C4" w:rsidP="00AA124F">
      <w:pPr>
        <w:spacing w:after="120" w:line="240" w:lineRule="auto"/>
        <w:ind w:left="709" w:hanging="709"/>
        <w:rPr>
          <w:shd w:val="clear" w:color="auto" w:fill="FFFFFF"/>
        </w:rPr>
      </w:pPr>
    </w:p>
    <w:p w:rsidR="001E10C4" w:rsidRDefault="001E10C4" w:rsidP="00AA124F">
      <w:pPr>
        <w:spacing w:after="120" w:line="240" w:lineRule="auto"/>
        <w:ind w:left="709" w:hanging="709"/>
        <w:rPr>
          <w:shd w:val="clear" w:color="auto" w:fill="FFFFFF"/>
        </w:rPr>
      </w:pPr>
    </w:p>
    <w:p w:rsidR="001E10C4" w:rsidRDefault="001E10C4" w:rsidP="00AA124F">
      <w:pPr>
        <w:spacing w:after="120" w:line="240" w:lineRule="auto"/>
        <w:ind w:left="709" w:hanging="709"/>
        <w:rPr>
          <w:shd w:val="clear" w:color="auto" w:fill="FFFFFF"/>
        </w:rPr>
      </w:pPr>
    </w:p>
    <w:p w:rsidR="001E10C4" w:rsidRDefault="001E10C4" w:rsidP="00AA124F">
      <w:pPr>
        <w:spacing w:after="120" w:line="240" w:lineRule="auto"/>
        <w:ind w:left="709" w:hanging="709"/>
        <w:rPr>
          <w:shd w:val="clear" w:color="auto" w:fill="FFFFFF"/>
        </w:rPr>
      </w:pPr>
    </w:p>
    <w:p w:rsidR="001E10C4" w:rsidRDefault="001E10C4" w:rsidP="00AA124F">
      <w:pPr>
        <w:spacing w:after="120" w:line="240" w:lineRule="auto"/>
        <w:ind w:left="709" w:hanging="709"/>
        <w:rPr>
          <w:shd w:val="clear" w:color="auto" w:fill="FFFFFF"/>
        </w:rPr>
      </w:pPr>
    </w:p>
    <w:p w:rsidR="001E10C4" w:rsidRDefault="001E10C4" w:rsidP="00AA124F">
      <w:pPr>
        <w:spacing w:after="120" w:line="240" w:lineRule="auto"/>
        <w:ind w:left="709" w:hanging="709"/>
        <w:rPr>
          <w:shd w:val="clear" w:color="auto" w:fill="FFFFFF"/>
        </w:rPr>
      </w:pPr>
    </w:p>
    <w:p w:rsidR="00337D09" w:rsidRDefault="00337D09" w:rsidP="00AA124F">
      <w:pPr>
        <w:spacing w:after="120" w:line="240" w:lineRule="auto"/>
        <w:ind w:left="709" w:hanging="709"/>
        <w:rPr>
          <w:shd w:val="clear" w:color="auto" w:fill="FFFFFF"/>
        </w:rPr>
      </w:pPr>
    </w:p>
    <w:p w:rsidR="00337D09" w:rsidRDefault="00337D09" w:rsidP="00AA124F">
      <w:pPr>
        <w:spacing w:after="120" w:line="240" w:lineRule="auto"/>
        <w:ind w:left="709" w:hanging="709"/>
        <w:rPr>
          <w:shd w:val="clear" w:color="auto" w:fill="FFFFFF"/>
        </w:rPr>
      </w:pPr>
    </w:p>
    <w:p w:rsidR="00337D09" w:rsidRDefault="00337D09" w:rsidP="00337D09">
      <w:pPr>
        <w:pStyle w:val="Balk1"/>
        <w:spacing w:after="0"/>
      </w:pPr>
      <w:bookmarkStart w:id="27" w:name="_Toc34134596"/>
    </w:p>
    <w:p w:rsidR="00337D09" w:rsidRDefault="00337D09" w:rsidP="00337D09">
      <w:pPr>
        <w:pStyle w:val="Balk1"/>
        <w:spacing w:after="0"/>
      </w:pPr>
    </w:p>
    <w:p w:rsidR="00A10843" w:rsidRPr="00DE0E42" w:rsidRDefault="00A10843" w:rsidP="00337D09">
      <w:pPr>
        <w:pStyle w:val="Balk1"/>
      </w:pPr>
      <w:r w:rsidRPr="00DE0E42">
        <w:t>ÖZGEÇMİŞ</w:t>
      </w:r>
      <w:bookmarkEnd w:id="27"/>
    </w:p>
    <w:p w:rsidR="00A10843" w:rsidRPr="00DE0E42" w:rsidRDefault="00A10843" w:rsidP="00A10843">
      <w:pPr>
        <w:tabs>
          <w:tab w:val="left" w:pos="426"/>
        </w:tabs>
      </w:pPr>
    </w:p>
    <w:p w:rsidR="00A10843" w:rsidRPr="00DE0E42" w:rsidRDefault="00A10843" w:rsidP="00A10843">
      <w:pPr>
        <w:tabs>
          <w:tab w:val="left" w:pos="426"/>
        </w:tabs>
        <w:rPr>
          <w:b/>
        </w:rPr>
      </w:pPr>
      <w:r w:rsidRPr="00DE0E42">
        <w:rPr>
          <w:b/>
        </w:rPr>
        <w:t>Kişisel Bilgiler</w:t>
      </w:r>
    </w:p>
    <w:p w:rsidR="00A10843" w:rsidRPr="00DE0E42" w:rsidRDefault="00A10843" w:rsidP="00A10843">
      <w:pPr>
        <w:tabs>
          <w:tab w:val="left" w:pos="426"/>
        </w:tabs>
      </w:pPr>
      <w:r w:rsidRPr="00DE0E42">
        <w:t>Adı Soyadı</w:t>
      </w:r>
      <w:r w:rsidRPr="00DE0E42">
        <w:tab/>
      </w:r>
      <w:r w:rsidRPr="00DE0E42">
        <w:tab/>
      </w:r>
      <w:r w:rsidRPr="00DE0E42">
        <w:tab/>
        <w:t>:</w:t>
      </w:r>
      <w:r w:rsidRPr="00DE0E42">
        <w:tab/>
      </w:r>
      <w:r>
        <w:t>Miraç ERGİN</w:t>
      </w:r>
    </w:p>
    <w:p w:rsidR="00A10843" w:rsidRPr="00DE0E42" w:rsidRDefault="00A10843" w:rsidP="00A10843">
      <w:pPr>
        <w:tabs>
          <w:tab w:val="left" w:pos="426"/>
        </w:tabs>
      </w:pPr>
      <w:r w:rsidRPr="00DE0E42">
        <w:t>Doğum Yeri ve Tarihi</w:t>
      </w:r>
      <w:r w:rsidRPr="00DE0E42">
        <w:tab/>
        <w:t>:</w:t>
      </w:r>
      <w:r w:rsidRPr="00DE0E42">
        <w:tab/>
      </w:r>
      <w:r w:rsidR="009E030E">
        <w:t>Gümüşhane</w:t>
      </w:r>
      <w:r w:rsidRPr="00DE0E42">
        <w:t xml:space="preserve">, </w:t>
      </w:r>
      <w:r w:rsidR="009E030E">
        <w:t>10/02/1995</w:t>
      </w:r>
    </w:p>
    <w:p w:rsidR="00A10843" w:rsidRPr="00DE0E42" w:rsidRDefault="00A10843" w:rsidP="00A10843">
      <w:pPr>
        <w:tabs>
          <w:tab w:val="left" w:pos="426"/>
        </w:tabs>
      </w:pPr>
    </w:p>
    <w:p w:rsidR="00A10843" w:rsidRPr="00DE0E42" w:rsidRDefault="00A10843" w:rsidP="00A10843">
      <w:pPr>
        <w:tabs>
          <w:tab w:val="left" w:pos="426"/>
        </w:tabs>
        <w:rPr>
          <w:b/>
        </w:rPr>
      </w:pPr>
      <w:r w:rsidRPr="00DE0E42">
        <w:rPr>
          <w:b/>
        </w:rPr>
        <w:t>Eğitim Durumu</w:t>
      </w:r>
    </w:p>
    <w:p w:rsidR="00A10843" w:rsidRPr="00DE0E42" w:rsidRDefault="00A10843" w:rsidP="00A10843">
      <w:pPr>
        <w:tabs>
          <w:tab w:val="left" w:pos="426"/>
        </w:tabs>
      </w:pPr>
      <w:r w:rsidRPr="00DE0E42">
        <w:t>Lisans Öğrenimi</w:t>
      </w:r>
      <w:r w:rsidRPr="00DE0E42">
        <w:tab/>
      </w:r>
      <w:r w:rsidRPr="00DE0E42">
        <w:tab/>
        <w:t>:</w:t>
      </w:r>
      <w:r w:rsidRPr="00DE0E42">
        <w:tab/>
      </w:r>
      <w:r w:rsidR="009E030E">
        <w:t xml:space="preserve">Karadeniz Teknik </w:t>
      </w:r>
      <w:r w:rsidRPr="00DE0E42">
        <w:t xml:space="preserve">Üniversitesi – </w:t>
      </w:r>
      <w:r w:rsidR="009E030E">
        <w:t>İktisat</w:t>
      </w:r>
    </w:p>
    <w:p w:rsidR="00A10843" w:rsidRDefault="00A10843" w:rsidP="00A10843">
      <w:pPr>
        <w:tabs>
          <w:tab w:val="left" w:pos="426"/>
        </w:tabs>
      </w:pPr>
      <w:r w:rsidRPr="00DE0E42">
        <w:t>Yüksek Lisans Öğrenimi</w:t>
      </w:r>
      <w:r w:rsidRPr="00DE0E42">
        <w:tab/>
        <w:t>:</w:t>
      </w:r>
      <w:r w:rsidRPr="00DE0E42">
        <w:tab/>
        <w:t>Gümüşhane Üniversitesi – İktisat</w:t>
      </w:r>
      <w:r w:rsidR="009E030E">
        <w:tab/>
      </w:r>
      <w:r w:rsidR="009E030E">
        <w:tab/>
      </w:r>
      <w:r w:rsidR="009E030E">
        <w:tab/>
      </w:r>
      <w:r w:rsidR="009E030E">
        <w:tab/>
      </w:r>
      <w:r w:rsidR="009E030E">
        <w:tab/>
      </w:r>
      <w:r w:rsidR="009E030E">
        <w:tab/>
      </w:r>
      <w:r w:rsidR="009E030E">
        <w:tab/>
      </w:r>
      <w:r w:rsidR="009E030E">
        <w:tab/>
        <w:t xml:space="preserve"> </w:t>
      </w:r>
      <w:r w:rsidR="009E030E">
        <w:tab/>
        <w:t>K</w:t>
      </w:r>
      <w:r w:rsidR="009E030E" w:rsidRPr="009E030E">
        <w:t>atowice School Of Economics</w:t>
      </w:r>
      <w:r w:rsidR="009E030E">
        <w:t xml:space="preserve"> – Erasmus   </w:t>
      </w:r>
      <w:r w:rsidR="009E030E">
        <w:tab/>
      </w:r>
      <w:r w:rsidR="009E030E">
        <w:tab/>
      </w:r>
      <w:r w:rsidR="009E030E">
        <w:tab/>
      </w:r>
      <w:r w:rsidR="009E030E">
        <w:tab/>
      </w:r>
      <w:r w:rsidR="009E030E">
        <w:tab/>
      </w:r>
      <w:r w:rsidR="009E030E">
        <w:tab/>
      </w:r>
      <w:r w:rsidR="009E030E">
        <w:tab/>
        <w:t>Programı</w:t>
      </w:r>
      <w:r w:rsidR="009E030E">
        <w:tab/>
      </w:r>
      <w:r w:rsidR="009E030E">
        <w:tab/>
      </w:r>
      <w:r w:rsidR="009E030E">
        <w:tab/>
      </w:r>
      <w:r w:rsidR="009E030E">
        <w:tab/>
      </w:r>
      <w:r w:rsidR="009E030E">
        <w:tab/>
      </w:r>
    </w:p>
    <w:p w:rsidR="009E030E" w:rsidRPr="009E030E" w:rsidRDefault="009E030E" w:rsidP="009E030E">
      <w:pPr>
        <w:tabs>
          <w:tab w:val="left" w:pos="426"/>
        </w:tabs>
      </w:pPr>
      <w:r>
        <w:t>Bildiği Yabancı Diller</w:t>
      </w:r>
      <w:r>
        <w:tab/>
      </w:r>
      <w:r w:rsidRPr="009E030E">
        <w:t>:</w:t>
      </w:r>
      <w:r>
        <w:t xml:space="preserve"> </w:t>
      </w:r>
      <w:r>
        <w:tab/>
        <w:t>İngilizce</w:t>
      </w:r>
    </w:p>
    <w:p w:rsidR="00A10843" w:rsidRPr="00DE0E42" w:rsidRDefault="009E030E" w:rsidP="00A10843">
      <w:pPr>
        <w:tabs>
          <w:tab w:val="left" w:pos="426"/>
        </w:tabs>
      </w:pPr>
      <w:r>
        <w:t>Bilimsel Faaliyetler</w:t>
      </w:r>
      <w:r>
        <w:tab/>
      </w:r>
      <w:r>
        <w:tab/>
        <w:t>:</w:t>
      </w:r>
      <w:r>
        <w:tab/>
      </w:r>
      <w:r w:rsidRPr="009E030E">
        <w:rPr>
          <w:color w:val="202124"/>
          <w:shd w:val="clear" w:color="auto" w:fill="FFFFFF"/>
        </w:rPr>
        <w:t>ICEESS</w:t>
      </w:r>
      <w:r w:rsidR="00A10843" w:rsidRPr="00DE0E42">
        <w:t xml:space="preserve"> 201</w:t>
      </w:r>
      <w:r>
        <w:t>8</w:t>
      </w:r>
      <w:r w:rsidR="00A10843" w:rsidRPr="00DE0E42">
        <w:t xml:space="preserve"> – Katılımcı</w:t>
      </w:r>
    </w:p>
    <w:p w:rsidR="00A10843" w:rsidRPr="00DE0E42" w:rsidRDefault="00A10843" w:rsidP="00A10843">
      <w:pPr>
        <w:tabs>
          <w:tab w:val="left" w:pos="426"/>
        </w:tabs>
      </w:pPr>
    </w:p>
    <w:p w:rsidR="00A10843" w:rsidRPr="00DE0E42" w:rsidRDefault="00A10843" w:rsidP="00A10843">
      <w:pPr>
        <w:tabs>
          <w:tab w:val="left" w:pos="426"/>
        </w:tabs>
        <w:rPr>
          <w:b/>
        </w:rPr>
      </w:pPr>
      <w:r w:rsidRPr="00DE0E42">
        <w:rPr>
          <w:b/>
        </w:rPr>
        <w:t>İş Deneyimi</w:t>
      </w:r>
    </w:p>
    <w:p w:rsidR="00A10843" w:rsidRPr="00DE0E42" w:rsidRDefault="00A10843" w:rsidP="009E030E">
      <w:pPr>
        <w:tabs>
          <w:tab w:val="left" w:pos="426"/>
        </w:tabs>
      </w:pPr>
      <w:r w:rsidRPr="00DE0E42">
        <w:t>Çalıştığı Kurumlar</w:t>
      </w:r>
      <w:r w:rsidRPr="00DE0E42">
        <w:tab/>
      </w:r>
      <w:r w:rsidRPr="00DE0E42">
        <w:tab/>
        <w:t>:</w:t>
      </w:r>
      <w:r w:rsidRPr="00DE0E42">
        <w:tab/>
      </w:r>
      <w:r w:rsidR="009E030E">
        <w:t>Akbank T.A.Ş Gümüşhane Şubesi</w:t>
      </w:r>
    </w:p>
    <w:p w:rsidR="00A10843" w:rsidRPr="00DE0E42" w:rsidRDefault="00A10843" w:rsidP="00A10843">
      <w:pPr>
        <w:tabs>
          <w:tab w:val="left" w:pos="426"/>
        </w:tabs>
      </w:pPr>
    </w:p>
    <w:p w:rsidR="00A10843" w:rsidRPr="00DE0E42" w:rsidRDefault="00A10843" w:rsidP="00A10843">
      <w:pPr>
        <w:tabs>
          <w:tab w:val="left" w:pos="426"/>
        </w:tabs>
        <w:rPr>
          <w:b/>
        </w:rPr>
      </w:pPr>
      <w:r w:rsidRPr="00DE0E42">
        <w:rPr>
          <w:b/>
        </w:rPr>
        <w:t>İletişim</w:t>
      </w:r>
    </w:p>
    <w:p w:rsidR="00A10843" w:rsidRPr="00DE0E42" w:rsidRDefault="00A10843" w:rsidP="00A10843">
      <w:pPr>
        <w:tabs>
          <w:tab w:val="left" w:pos="426"/>
        </w:tabs>
      </w:pPr>
      <w:r w:rsidRPr="00DE0E42">
        <w:t>Telefon</w:t>
      </w:r>
      <w:r w:rsidRPr="00DE0E42">
        <w:tab/>
      </w:r>
      <w:r w:rsidRPr="00DE0E42">
        <w:tab/>
      </w:r>
      <w:r w:rsidRPr="00DE0E42">
        <w:tab/>
        <w:t>:</w:t>
      </w:r>
      <w:r w:rsidRPr="00DE0E42">
        <w:tab/>
      </w:r>
      <w:r w:rsidR="009E030E">
        <w:t>0534 212 99 88</w:t>
      </w:r>
    </w:p>
    <w:p w:rsidR="00A10843" w:rsidRPr="00DE0E42" w:rsidRDefault="009E030E" w:rsidP="00A10843">
      <w:pPr>
        <w:tabs>
          <w:tab w:val="left" w:pos="426"/>
        </w:tabs>
      </w:pPr>
      <w:r>
        <w:t>e-Posta Adresi</w:t>
      </w:r>
      <w:r>
        <w:tab/>
      </w:r>
      <w:r>
        <w:tab/>
      </w:r>
      <w:r>
        <w:tab/>
        <w:t>:</w:t>
      </w:r>
      <w:r>
        <w:tab/>
        <w:t>emirac426</w:t>
      </w:r>
      <w:r w:rsidR="00A10843" w:rsidRPr="00DE0E42">
        <w:t>@gmail.com</w:t>
      </w:r>
    </w:p>
    <w:p w:rsidR="00A10843" w:rsidRPr="00DE0E42" w:rsidRDefault="00A10843" w:rsidP="00A10843">
      <w:pPr>
        <w:tabs>
          <w:tab w:val="left" w:pos="426"/>
        </w:tabs>
      </w:pPr>
    </w:p>
    <w:p w:rsidR="00A10843" w:rsidRPr="00DE0E42" w:rsidRDefault="009E030E" w:rsidP="00A10843">
      <w:pPr>
        <w:tabs>
          <w:tab w:val="left" w:pos="426"/>
        </w:tabs>
        <w:rPr>
          <w:b/>
        </w:rPr>
      </w:pPr>
      <w:r>
        <w:rPr>
          <w:b/>
        </w:rPr>
        <w:t>Tarih</w:t>
      </w:r>
      <w:r>
        <w:rPr>
          <w:b/>
        </w:rPr>
        <w:tab/>
      </w:r>
      <w:r>
        <w:rPr>
          <w:b/>
        </w:rPr>
        <w:tab/>
      </w:r>
      <w:r>
        <w:rPr>
          <w:b/>
        </w:rPr>
        <w:tab/>
      </w:r>
      <w:r>
        <w:rPr>
          <w:b/>
        </w:rPr>
        <w:tab/>
        <w:t>:</w:t>
      </w:r>
      <w:r>
        <w:rPr>
          <w:b/>
        </w:rPr>
        <w:tab/>
        <w:t>24/01/2020</w:t>
      </w:r>
    </w:p>
    <w:p w:rsidR="00A10843" w:rsidRPr="00DE0E42" w:rsidRDefault="00A10843" w:rsidP="00A10843">
      <w:pPr>
        <w:tabs>
          <w:tab w:val="left" w:pos="426"/>
        </w:tabs>
      </w:pPr>
    </w:p>
    <w:p w:rsidR="00C72250" w:rsidRPr="00AA124F" w:rsidRDefault="00C72250" w:rsidP="00AA124F">
      <w:pPr>
        <w:spacing w:after="120" w:line="240" w:lineRule="auto"/>
        <w:ind w:left="709" w:hanging="709"/>
        <w:rPr>
          <w:shd w:val="clear" w:color="auto" w:fill="FFFFFF"/>
        </w:rPr>
      </w:pPr>
    </w:p>
    <w:sectPr w:rsidR="00C72250" w:rsidRPr="00AA124F" w:rsidSect="00993E80">
      <w:pgSz w:w="11906" w:h="16838"/>
      <w:pgMar w:top="1701" w:right="1134" w:bottom="1701" w:left="226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61A3" w:rsidRDefault="009D61A3" w:rsidP="00921601">
      <w:r>
        <w:separator/>
      </w:r>
    </w:p>
  </w:endnote>
  <w:endnote w:type="continuationSeparator" w:id="0">
    <w:p w:rsidR="009D61A3" w:rsidRDefault="009D61A3" w:rsidP="00921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3326150"/>
      <w:docPartObj>
        <w:docPartGallery w:val="Page Numbers (Bottom of Page)"/>
        <w:docPartUnique/>
      </w:docPartObj>
    </w:sdtPr>
    <w:sdtEndPr/>
    <w:sdtContent>
      <w:p w:rsidR="00667710" w:rsidRDefault="00667710" w:rsidP="00824583">
        <w:pPr>
          <w:pStyle w:val="AltBilgi"/>
          <w:ind w:firstLine="0"/>
          <w:jc w:val="center"/>
        </w:pPr>
        <w:r>
          <w:fldChar w:fldCharType="begin"/>
        </w:r>
        <w:r>
          <w:instrText>PAGE   \* MERGEFORMAT</w:instrText>
        </w:r>
        <w:r>
          <w:fldChar w:fldCharType="separate"/>
        </w:r>
        <w:r w:rsidR="0000237A">
          <w:rPr>
            <w:noProof/>
          </w:rPr>
          <w:t>VI</w:t>
        </w:r>
        <w:r>
          <w:fldChar w:fldCharType="end"/>
        </w:r>
      </w:p>
    </w:sdtContent>
  </w:sdt>
  <w:p w:rsidR="00667710" w:rsidRDefault="00667710">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3373595"/>
      <w:docPartObj>
        <w:docPartGallery w:val="Page Numbers (Bottom of Page)"/>
        <w:docPartUnique/>
      </w:docPartObj>
    </w:sdtPr>
    <w:sdtEndPr/>
    <w:sdtContent>
      <w:p w:rsidR="00667710" w:rsidRDefault="00667710" w:rsidP="00824583">
        <w:pPr>
          <w:pStyle w:val="AltBilgi"/>
          <w:ind w:firstLine="0"/>
          <w:jc w:val="center"/>
        </w:pPr>
        <w:r>
          <w:fldChar w:fldCharType="begin"/>
        </w:r>
        <w:r>
          <w:instrText>PAGE   \* MERGEFORMAT</w:instrText>
        </w:r>
        <w:r>
          <w:fldChar w:fldCharType="separate"/>
        </w:r>
        <w:r w:rsidR="0000237A">
          <w:rPr>
            <w:noProof/>
          </w:rPr>
          <w:t>V</w:t>
        </w:r>
        <w:r>
          <w:fldChar w:fldCharType="end"/>
        </w:r>
      </w:p>
    </w:sdtContent>
  </w:sdt>
  <w:p w:rsidR="00667710" w:rsidRDefault="00667710">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61A3" w:rsidRDefault="009D61A3" w:rsidP="00921601">
      <w:r>
        <w:separator/>
      </w:r>
    </w:p>
  </w:footnote>
  <w:footnote w:type="continuationSeparator" w:id="0">
    <w:p w:rsidR="009D61A3" w:rsidRDefault="009D61A3" w:rsidP="0092160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826D7C"/>
    <w:multiLevelType w:val="multilevel"/>
    <w:tmpl w:val="65C239AE"/>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 w15:restartNumberingAfterBreak="0">
    <w:nsid w:val="16AD106E"/>
    <w:multiLevelType w:val="multilevel"/>
    <w:tmpl w:val="E0CA477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93C2C96"/>
    <w:multiLevelType w:val="hybridMultilevel"/>
    <w:tmpl w:val="C138250A"/>
    <w:lvl w:ilvl="0" w:tplc="8AFE96F6">
      <w:start w:val="2"/>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4DC41CD4"/>
    <w:multiLevelType w:val="multilevel"/>
    <w:tmpl w:val="796A4CAC"/>
    <w:lvl w:ilvl="0">
      <w:start w:val="1"/>
      <w:numFmt w:val="decimal"/>
      <w:lvlText w:val="%1."/>
      <w:lvlJc w:val="left"/>
      <w:pPr>
        <w:ind w:left="1211" w:hanging="360"/>
      </w:pPr>
      <w:rPr>
        <w:rFonts w:hint="default"/>
      </w:rPr>
    </w:lvl>
    <w:lvl w:ilvl="1">
      <w:start w:val="1"/>
      <w:numFmt w:val="decimal"/>
      <w:isLgl/>
      <w:lvlText w:val="%1.%2."/>
      <w:lvlJc w:val="left"/>
      <w:pPr>
        <w:ind w:left="1331"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132"/>
    <w:rsid w:val="0000237A"/>
    <w:rsid w:val="0000300C"/>
    <w:rsid w:val="00011BBB"/>
    <w:rsid w:val="00030302"/>
    <w:rsid w:val="00056671"/>
    <w:rsid w:val="000833E5"/>
    <w:rsid w:val="00090BC6"/>
    <w:rsid w:val="00092160"/>
    <w:rsid w:val="000953FB"/>
    <w:rsid w:val="0009572E"/>
    <w:rsid w:val="000B0342"/>
    <w:rsid w:val="000B2765"/>
    <w:rsid w:val="000D50FA"/>
    <w:rsid w:val="000E244D"/>
    <w:rsid w:val="000E3E30"/>
    <w:rsid w:val="00102C62"/>
    <w:rsid w:val="00115FA3"/>
    <w:rsid w:val="00117D50"/>
    <w:rsid w:val="00127A68"/>
    <w:rsid w:val="0016606B"/>
    <w:rsid w:val="00177852"/>
    <w:rsid w:val="0018157E"/>
    <w:rsid w:val="00182355"/>
    <w:rsid w:val="001848BE"/>
    <w:rsid w:val="001A4F96"/>
    <w:rsid w:val="001D0167"/>
    <w:rsid w:val="001E10C4"/>
    <w:rsid w:val="001E6B54"/>
    <w:rsid w:val="002212BC"/>
    <w:rsid w:val="002278E1"/>
    <w:rsid w:val="0023610F"/>
    <w:rsid w:val="00271300"/>
    <w:rsid w:val="00290C3C"/>
    <w:rsid w:val="00293D58"/>
    <w:rsid w:val="002A2488"/>
    <w:rsid w:val="002B0132"/>
    <w:rsid w:val="002F1F0B"/>
    <w:rsid w:val="00305018"/>
    <w:rsid w:val="00337D09"/>
    <w:rsid w:val="003513E7"/>
    <w:rsid w:val="00373BE6"/>
    <w:rsid w:val="0037515D"/>
    <w:rsid w:val="00381184"/>
    <w:rsid w:val="00395078"/>
    <w:rsid w:val="003A2A11"/>
    <w:rsid w:val="003D36DF"/>
    <w:rsid w:val="003D45FF"/>
    <w:rsid w:val="003F44EE"/>
    <w:rsid w:val="004010AA"/>
    <w:rsid w:val="00422C96"/>
    <w:rsid w:val="0043092F"/>
    <w:rsid w:val="004328DA"/>
    <w:rsid w:val="00454F82"/>
    <w:rsid w:val="0048091C"/>
    <w:rsid w:val="00480AFF"/>
    <w:rsid w:val="00497A52"/>
    <w:rsid w:val="004A5F05"/>
    <w:rsid w:val="004E6E92"/>
    <w:rsid w:val="00502725"/>
    <w:rsid w:val="00507EC6"/>
    <w:rsid w:val="00530DAE"/>
    <w:rsid w:val="00537AD8"/>
    <w:rsid w:val="0054443D"/>
    <w:rsid w:val="00547502"/>
    <w:rsid w:val="00574C50"/>
    <w:rsid w:val="00581E6C"/>
    <w:rsid w:val="00594D1F"/>
    <w:rsid w:val="005B0346"/>
    <w:rsid w:val="005B5FBD"/>
    <w:rsid w:val="005D37A6"/>
    <w:rsid w:val="005E42A5"/>
    <w:rsid w:val="00605B46"/>
    <w:rsid w:val="00607873"/>
    <w:rsid w:val="00617DAD"/>
    <w:rsid w:val="00624523"/>
    <w:rsid w:val="00626811"/>
    <w:rsid w:val="006269A0"/>
    <w:rsid w:val="00630EB7"/>
    <w:rsid w:val="00631432"/>
    <w:rsid w:val="00636FE4"/>
    <w:rsid w:val="00640947"/>
    <w:rsid w:val="0066347F"/>
    <w:rsid w:val="00667710"/>
    <w:rsid w:val="00693941"/>
    <w:rsid w:val="006B13D1"/>
    <w:rsid w:val="006B4F7D"/>
    <w:rsid w:val="006C376F"/>
    <w:rsid w:val="006C43CF"/>
    <w:rsid w:val="006C64CE"/>
    <w:rsid w:val="006E5668"/>
    <w:rsid w:val="00704409"/>
    <w:rsid w:val="0072545E"/>
    <w:rsid w:val="00751831"/>
    <w:rsid w:val="00764803"/>
    <w:rsid w:val="00767F56"/>
    <w:rsid w:val="007772C4"/>
    <w:rsid w:val="00777E3A"/>
    <w:rsid w:val="007A4775"/>
    <w:rsid w:val="007C52A6"/>
    <w:rsid w:val="007C6FA2"/>
    <w:rsid w:val="007D3AB0"/>
    <w:rsid w:val="007E1562"/>
    <w:rsid w:val="007E3863"/>
    <w:rsid w:val="007F3240"/>
    <w:rsid w:val="007F385C"/>
    <w:rsid w:val="007F7EBD"/>
    <w:rsid w:val="0081380A"/>
    <w:rsid w:val="00824583"/>
    <w:rsid w:val="00826579"/>
    <w:rsid w:val="008362E1"/>
    <w:rsid w:val="00860409"/>
    <w:rsid w:val="008770F1"/>
    <w:rsid w:val="008A10EF"/>
    <w:rsid w:val="008A54F3"/>
    <w:rsid w:val="008A7495"/>
    <w:rsid w:val="008C2951"/>
    <w:rsid w:val="008C535A"/>
    <w:rsid w:val="008C6BAD"/>
    <w:rsid w:val="00903CEC"/>
    <w:rsid w:val="00921601"/>
    <w:rsid w:val="009560BA"/>
    <w:rsid w:val="00963F30"/>
    <w:rsid w:val="0098251F"/>
    <w:rsid w:val="00993E80"/>
    <w:rsid w:val="009B6E86"/>
    <w:rsid w:val="009D1325"/>
    <w:rsid w:val="009D1A8A"/>
    <w:rsid w:val="009D2B51"/>
    <w:rsid w:val="009D61A3"/>
    <w:rsid w:val="009E030E"/>
    <w:rsid w:val="00A05CED"/>
    <w:rsid w:val="00A10843"/>
    <w:rsid w:val="00A42B06"/>
    <w:rsid w:val="00A53161"/>
    <w:rsid w:val="00A71BA6"/>
    <w:rsid w:val="00AA124F"/>
    <w:rsid w:val="00AA7849"/>
    <w:rsid w:val="00AC60B8"/>
    <w:rsid w:val="00AE263C"/>
    <w:rsid w:val="00AF0FFF"/>
    <w:rsid w:val="00B01250"/>
    <w:rsid w:val="00B037C6"/>
    <w:rsid w:val="00B64451"/>
    <w:rsid w:val="00BC55C0"/>
    <w:rsid w:val="00BD1057"/>
    <w:rsid w:val="00BD2992"/>
    <w:rsid w:val="00BF1B96"/>
    <w:rsid w:val="00BF5209"/>
    <w:rsid w:val="00BF7F92"/>
    <w:rsid w:val="00C31C37"/>
    <w:rsid w:val="00C36C8A"/>
    <w:rsid w:val="00C44E23"/>
    <w:rsid w:val="00C72250"/>
    <w:rsid w:val="00CA31C9"/>
    <w:rsid w:val="00CA4EF3"/>
    <w:rsid w:val="00CB3F48"/>
    <w:rsid w:val="00CD0B7B"/>
    <w:rsid w:val="00CD6CB9"/>
    <w:rsid w:val="00CE03EF"/>
    <w:rsid w:val="00D27D4F"/>
    <w:rsid w:val="00D55D59"/>
    <w:rsid w:val="00D6498D"/>
    <w:rsid w:val="00D74428"/>
    <w:rsid w:val="00D75176"/>
    <w:rsid w:val="00DC0DB9"/>
    <w:rsid w:val="00DD6C1F"/>
    <w:rsid w:val="00DE5BFF"/>
    <w:rsid w:val="00E03293"/>
    <w:rsid w:val="00E066C8"/>
    <w:rsid w:val="00E12FEC"/>
    <w:rsid w:val="00E160D3"/>
    <w:rsid w:val="00E33BA7"/>
    <w:rsid w:val="00E47D70"/>
    <w:rsid w:val="00E54FD5"/>
    <w:rsid w:val="00E8606C"/>
    <w:rsid w:val="00EC06FA"/>
    <w:rsid w:val="00EE0B5B"/>
    <w:rsid w:val="00EE2735"/>
    <w:rsid w:val="00EE7B50"/>
    <w:rsid w:val="00F000F4"/>
    <w:rsid w:val="00F141C5"/>
    <w:rsid w:val="00F7227E"/>
    <w:rsid w:val="00FA55C2"/>
    <w:rsid w:val="00FA5ACB"/>
    <w:rsid w:val="00FB72CC"/>
    <w:rsid w:val="00FE375E"/>
    <w:rsid w:val="00FE3B68"/>
    <w:rsid w:val="00FE54C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DC85A9-1E48-48FA-B4FE-D19748802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2B51"/>
    <w:pPr>
      <w:spacing w:after="0" w:line="360" w:lineRule="auto"/>
      <w:ind w:firstLine="709"/>
      <w:jc w:val="both"/>
    </w:pPr>
    <w:rPr>
      <w:rFonts w:ascii="Times New Roman" w:eastAsia="Times New Roman" w:hAnsi="Times New Roman" w:cs="Times New Roman"/>
      <w:color w:val="000000" w:themeColor="text1"/>
      <w:sz w:val="24"/>
      <w:szCs w:val="24"/>
      <w:lang w:eastAsia="tr-TR"/>
    </w:rPr>
  </w:style>
  <w:style w:type="paragraph" w:styleId="Balk1">
    <w:name w:val="heading 1"/>
    <w:aliases w:val="A"/>
    <w:basedOn w:val="Normal"/>
    <w:next w:val="Normal"/>
    <w:link w:val="Balk1Char"/>
    <w:uiPriority w:val="9"/>
    <w:qFormat/>
    <w:rsid w:val="00EC06FA"/>
    <w:pPr>
      <w:keepNext/>
      <w:keepLines/>
      <w:spacing w:after="360"/>
      <w:ind w:firstLine="0"/>
      <w:jc w:val="center"/>
      <w:outlineLvl w:val="0"/>
    </w:pPr>
    <w:rPr>
      <w:rFonts w:eastAsiaTheme="majorEastAsia" w:cstheme="majorBidi"/>
      <w:b/>
      <w:bCs/>
      <w:szCs w:val="28"/>
    </w:rPr>
  </w:style>
  <w:style w:type="paragraph" w:styleId="Balk2">
    <w:name w:val="heading 2"/>
    <w:basedOn w:val="Normal"/>
    <w:next w:val="Normal"/>
    <w:link w:val="Balk2Char"/>
    <w:uiPriority w:val="9"/>
    <w:semiHidden/>
    <w:unhideWhenUsed/>
    <w:qFormat/>
    <w:rsid w:val="00E54FD5"/>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Balk3">
    <w:name w:val="heading 3"/>
    <w:basedOn w:val="Normal"/>
    <w:next w:val="Normal"/>
    <w:link w:val="Balk3Char"/>
    <w:uiPriority w:val="9"/>
    <w:semiHidden/>
    <w:unhideWhenUsed/>
    <w:qFormat/>
    <w:rsid w:val="00E54FD5"/>
    <w:pPr>
      <w:keepNext/>
      <w:keepLines/>
      <w:spacing w:before="200"/>
      <w:outlineLvl w:val="2"/>
    </w:pPr>
    <w:rPr>
      <w:rFonts w:asciiTheme="majorHAnsi" w:eastAsiaTheme="majorEastAsia" w:hAnsiTheme="majorHAnsi" w:cstheme="majorBidi"/>
      <w:b/>
      <w:bCs/>
      <w:color w:val="5B9BD5"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A Char"/>
    <w:basedOn w:val="VarsaylanParagrafYazTipi"/>
    <w:link w:val="Balk1"/>
    <w:uiPriority w:val="9"/>
    <w:rsid w:val="00EC06FA"/>
    <w:rPr>
      <w:rFonts w:ascii="Times New Roman" w:eastAsiaTheme="majorEastAsia" w:hAnsi="Times New Roman" w:cstheme="majorBidi"/>
      <w:b/>
      <w:bCs/>
      <w:color w:val="000000" w:themeColor="text1"/>
      <w:sz w:val="24"/>
      <w:szCs w:val="28"/>
      <w:lang w:eastAsia="tr-TR"/>
    </w:rPr>
  </w:style>
  <w:style w:type="table" w:styleId="TabloKlavuzu">
    <w:name w:val="Table Grid"/>
    <w:basedOn w:val="NormalTablo"/>
    <w:uiPriority w:val="39"/>
    <w:rsid w:val="008C53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C535A"/>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AklamaMetni">
    <w:name w:val="annotation text"/>
    <w:basedOn w:val="Normal"/>
    <w:link w:val="AklamaMetniChar"/>
    <w:uiPriority w:val="99"/>
    <w:unhideWhenUsed/>
    <w:rsid w:val="008C535A"/>
    <w:rPr>
      <w:sz w:val="20"/>
      <w:szCs w:val="20"/>
    </w:rPr>
  </w:style>
  <w:style w:type="character" w:customStyle="1" w:styleId="AklamaMetniChar">
    <w:name w:val="Açıklama Metni Char"/>
    <w:basedOn w:val="VarsaylanParagrafYazTipi"/>
    <w:link w:val="AklamaMetni"/>
    <w:uiPriority w:val="99"/>
    <w:rsid w:val="008C535A"/>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9B6E86"/>
    <w:pPr>
      <w:tabs>
        <w:tab w:val="center" w:pos="4536"/>
        <w:tab w:val="right" w:pos="9072"/>
      </w:tabs>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9B6E86"/>
  </w:style>
  <w:style w:type="paragraph" w:styleId="HTMLncedenBiimlendirilmi">
    <w:name w:val="HTML Preformatted"/>
    <w:basedOn w:val="Normal"/>
    <w:link w:val="HTMLncedenBiimlendirilmiChar"/>
    <w:uiPriority w:val="99"/>
    <w:unhideWhenUsed/>
    <w:rsid w:val="00305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305018"/>
    <w:rPr>
      <w:rFonts w:ascii="Courier New" w:eastAsia="Times New Roman" w:hAnsi="Courier New" w:cs="Courier New"/>
      <w:sz w:val="20"/>
      <w:szCs w:val="20"/>
      <w:lang w:eastAsia="tr-TR"/>
    </w:rPr>
  </w:style>
  <w:style w:type="character" w:styleId="Kpr">
    <w:name w:val="Hyperlink"/>
    <w:basedOn w:val="VarsaylanParagrafYazTipi"/>
    <w:uiPriority w:val="99"/>
    <w:unhideWhenUsed/>
    <w:rsid w:val="00921601"/>
    <w:rPr>
      <w:color w:val="0000FF"/>
      <w:u w:val="single"/>
    </w:rPr>
  </w:style>
  <w:style w:type="paragraph" w:styleId="TBal">
    <w:name w:val="TOC Heading"/>
    <w:basedOn w:val="Balk1"/>
    <w:next w:val="Normal"/>
    <w:uiPriority w:val="39"/>
    <w:unhideWhenUsed/>
    <w:qFormat/>
    <w:rsid w:val="00921601"/>
    <w:pPr>
      <w:spacing w:line="276" w:lineRule="auto"/>
      <w:outlineLvl w:val="9"/>
    </w:pPr>
  </w:style>
  <w:style w:type="paragraph" w:styleId="T1">
    <w:name w:val="toc 1"/>
    <w:basedOn w:val="Normal"/>
    <w:next w:val="Normal"/>
    <w:autoRedefine/>
    <w:uiPriority w:val="39"/>
    <w:unhideWhenUsed/>
    <w:qFormat/>
    <w:rsid w:val="00011BBB"/>
    <w:pPr>
      <w:tabs>
        <w:tab w:val="right" w:leader="dot" w:pos="8494"/>
      </w:tabs>
      <w:ind w:firstLine="0"/>
      <w:jc w:val="center"/>
    </w:pPr>
    <w:rPr>
      <w:b/>
      <w:bCs/>
      <w:iCs/>
      <w:noProof/>
      <w:shd w:val="clear" w:color="auto" w:fill="FFFFFF"/>
    </w:rPr>
  </w:style>
  <w:style w:type="paragraph" w:styleId="ListeParagraf">
    <w:name w:val="List Paragraph"/>
    <w:basedOn w:val="Normal"/>
    <w:uiPriority w:val="34"/>
    <w:qFormat/>
    <w:rsid w:val="00921601"/>
    <w:pPr>
      <w:spacing w:after="160" w:line="259" w:lineRule="auto"/>
      <w:ind w:left="720"/>
      <w:contextualSpacing/>
    </w:pPr>
    <w:rPr>
      <w:rFonts w:asciiTheme="minorHAnsi" w:eastAsiaTheme="minorHAnsi" w:hAnsiTheme="minorHAnsi" w:cstheme="minorBidi"/>
      <w:sz w:val="22"/>
      <w:szCs w:val="22"/>
      <w:lang w:eastAsia="en-US"/>
    </w:rPr>
  </w:style>
  <w:style w:type="paragraph" w:styleId="AltBilgi">
    <w:name w:val="footer"/>
    <w:basedOn w:val="Normal"/>
    <w:link w:val="AltBilgiChar"/>
    <w:uiPriority w:val="99"/>
    <w:unhideWhenUsed/>
    <w:rsid w:val="00921601"/>
    <w:pPr>
      <w:tabs>
        <w:tab w:val="center" w:pos="4536"/>
        <w:tab w:val="right" w:pos="9072"/>
      </w:tabs>
    </w:pPr>
  </w:style>
  <w:style w:type="character" w:customStyle="1" w:styleId="AltBilgiChar">
    <w:name w:val="Alt Bilgi Char"/>
    <w:basedOn w:val="VarsaylanParagrafYazTipi"/>
    <w:link w:val="AltBilgi"/>
    <w:uiPriority w:val="99"/>
    <w:rsid w:val="00921601"/>
    <w:rPr>
      <w:rFonts w:ascii="Times New Roman" w:eastAsia="Times New Roman" w:hAnsi="Times New Roman" w:cs="Times New Roman"/>
      <w:sz w:val="24"/>
      <w:szCs w:val="24"/>
      <w:lang w:eastAsia="tr-TR"/>
    </w:rPr>
  </w:style>
  <w:style w:type="paragraph" w:styleId="AralkYok">
    <w:name w:val="No Spacing"/>
    <w:aliases w:val="TABLO"/>
    <w:uiPriority w:val="1"/>
    <w:qFormat/>
    <w:rsid w:val="00290C3C"/>
    <w:pPr>
      <w:spacing w:after="360" w:line="360" w:lineRule="auto"/>
      <w:jc w:val="center"/>
    </w:pPr>
    <w:rPr>
      <w:rFonts w:ascii="Times New Roman" w:hAnsi="Times New Roman"/>
      <w:b/>
      <w:color w:val="000000" w:themeColor="text1"/>
      <w:sz w:val="24"/>
    </w:rPr>
  </w:style>
  <w:style w:type="paragraph" w:styleId="DipnotMetni">
    <w:name w:val="footnote text"/>
    <w:basedOn w:val="Normal"/>
    <w:link w:val="DipnotMetniChar"/>
    <w:uiPriority w:val="99"/>
    <w:unhideWhenUsed/>
    <w:rsid w:val="00115FA3"/>
    <w:rPr>
      <w:rFonts w:asciiTheme="minorHAnsi" w:eastAsiaTheme="minorEastAsia" w:hAnsiTheme="minorHAnsi"/>
      <w:sz w:val="20"/>
      <w:szCs w:val="20"/>
    </w:rPr>
  </w:style>
  <w:style w:type="character" w:customStyle="1" w:styleId="DipnotMetniChar">
    <w:name w:val="Dipnot Metni Char"/>
    <w:basedOn w:val="VarsaylanParagrafYazTipi"/>
    <w:link w:val="DipnotMetni"/>
    <w:uiPriority w:val="99"/>
    <w:rsid w:val="00115FA3"/>
    <w:rPr>
      <w:rFonts w:eastAsiaTheme="minorEastAsia" w:cs="Times New Roman"/>
      <w:sz w:val="20"/>
      <w:szCs w:val="20"/>
      <w:lang w:eastAsia="tr-TR"/>
    </w:rPr>
  </w:style>
  <w:style w:type="paragraph" w:customStyle="1" w:styleId="DecimalAligned">
    <w:name w:val="Decimal Aligned"/>
    <w:basedOn w:val="Normal"/>
    <w:uiPriority w:val="40"/>
    <w:qFormat/>
    <w:rsid w:val="00115FA3"/>
    <w:pPr>
      <w:tabs>
        <w:tab w:val="decimal" w:pos="360"/>
      </w:tabs>
      <w:spacing w:after="200" w:line="276" w:lineRule="auto"/>
    </w:pPr>
    <w:rPr>
      <w:rFonts w:asciiTheme="minorHAnsi" w:eastAsiaTheme="minorEastAsia" w:hAnsiTheme="minorHAnsi"/>
      <w:sz w:val="22"/>
      <w:szCs w:val="22"/>
    </w:rPr>
  </w:style>
  <w:style w:type="table" w:styleId="AkGlgeleme-Vurgu1">
    <w:name w:val="Light Shading Accent 1"/>
    <w:basedOn w:val="NormalTablo"/>
    <w:uiPriority w:val="60"/>
    <w:rsid w:val="00115FA3"/>
    <w:pPr>
      <w:spacing w:after="0" w:line="240" w:lineRule="auto"/>
    </w:pPr>
    <w:rPr>
      <w:rFonts w:eastAsiaTheme="minorEastAsia"/>
      <w:color w:val="2E74B5" w:themeColor="accent1" w:themeShade="BF"/>
      <w:lang w:eastAsia="tr-TR"/>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paragraph" w:styleId="T2">
    <w:name w:val="toc 2"/>
    <w:basedOn w:val="Normal"/>
    <w:next w:val="Normal"/>
    <w:autoRedefine/>
    <w:uiPriority w:val="39"/>
    <w:unhideWhenUsed/>
    <w:rsid w:val="00A42B06"/>
    <w:pPr>
      <w:spacing w:before="120"/>
      <w:ind w:left="240"/>
      <w:jc w:val="left"/>
    </w:pPr>
    <w:rPr>
      <w:rFonts w:asciiTheme="minorHAnsi" w:hAnsiTheme="minorHAnsi"/>
      <w:b/>
      <w:bCs/>
      <w:sz w:val="22"/>
      <w:szCs w:val="22"/>
    </w:rPr>
  </w:style>
  <w:style w:type="paragraph" w:styleId="T3">
    <w:name w:val="toc 3"/>
    <w:basedOn w:val="Normal"/>
    <w:next w:val="Normal"/>
    <w:autoRedefine/>
    <w:uiPriority w:val="39"/>
    <w:unhideWhenUsed/>
    <w:rsid w:val="00A42B06"/>
    <w:pPr>
      <w:ind w:left="480"/>
      <w:jc w:val="left"/>
    </w:pPr>
    <w:rPr>
      <w:rFonts w:asciiTheme="minorHAnsi" w:hAnsiTheme="minorHAnsi"/>
      <w:sz w:val="20"/>
      <w:szCs w:val="20"/>
    </w:rPr>
  </w:style>
  <w:style w:type="paragraph" w:customStyle="1" w:styleId="altbaslik">
    <w:name w:val="altbaslik"/>
    <w:basedOn w:val="Normal"/>
    <w:rsid w:val="0016606B"/>
    <w:pPr>
      <w:spacing w:before="100" w:beforeAutospacing="1" w:after="100" w:afterAutospacing="1"/>
    </w:pPr>
  </w:style>
  <w:style w:type="character" w:styleId="YerTutucuMetni">
    <w:name w:val="Placeholder Text"/>
    <w:basedOn w:val="VarsaylanParagrafYazTipi"/>
    <w:uiPriority w:val="99"/>
    <w:semiHidden/>
    <w:rsid w:val="008770F1"/>
    <w:rPr>
      <w:color w:val="808080"/>
    </w:rPr>
  </w:style>
  <w:style w:type="character" w:styleId="Vurgu">
    <w:name w:val="Emphasis"/>
    <w:basedOn w:val="VarsaylanParagrafYazTipi"/>
    <w:uiPriority w:val="20"/>
    <w:qFormat/>
    <w:rsid w:val="00F7227E"/>
    <w:rPr>
      <w:i/>
      <w:iCs/>
    </w:rPr>
  </w:style>
  <w:style w:type="paragraph" w:styleId="BalonMetni">
    <w:name w:val="Balloon Text"/>
    <w:basedOn w:val="Normal"/>
    <w:link w:val="BalonMetniChar"/>
    <w:uiPriority w:val="99"/>
    <w:semiHidden/>
    <w:unhideWhenUsed/>
    <w:rsid w:val="00C31C37"/>
    <w:rPr>
      <w:rFonts w:ascii="Tahoma" w:hAnsi="Tahoma" w:cs="Tahoma"/>
      <w:sz w:val="16"/>
      <w:szCs w:val="16"/>
    </w:rPr>
  </w:style>
  <w:style w:type="character" w:customStyle="1" w:styleId="BalonMetniChar">
    <w:name w:val="Balon Metni Char"/>
    <w:basedOn w:val="VarsaylanParagrafYazTipi"/>
    <w:link w:val="BalonMetni"/>
    <w:uiPriority w:val="99"/>
    <w:semiHidden/>
    <w:rsid w:val="00C31C37"/>
    <w:rPr>
      <w:rFonts w:ascii="Tahoma" w:eastAsia="Times New Roman" w:hAnsi="Tahoma" w:cs="Tahoma"/>
      <w:sz w:val="16"/>
      <w:szCs w:val="16"/>
      <w:lang w:eastAsia="tr-TR"/>
    </w:rPr>
  </w:style>
  <w:style w:type="paragraph" w:customStyle="1" w:styleId="AA">
    <w:name w:val="AA"/>
    <w:basedOn w:val="Balk1"/>
    <w:qFormat/>
    <w:rsid w:val="007F385C"/>
    <w:pPr>
      <w:spacing w:before="360" w:after="240"/>
      <w:ind w:firstLine="709"/>
      <w:jc w:val="left"/>
    </w:pPr>
  </w:style>
  <w:style w:type="paragraph" w:customStyle="1" w:styleId="AAA">
    <w:name w:val="AAA"/>
    <w:basedOn w:val="AA"/>
    <w:qFormat/>
    <w:rsid w:val="004010AA"/>
  </w:style>
  <w:style w:type="paragraph" w:customStyle="1" w:styleId="AAAA">
    <w:name w:val="AAAA"/>
    <w:basedOn w:val="AAA"/>
    <w:qFormat/>
    <w:rsid w:val="00963F30"/>
  </w:style>
  <w:style w:type="paragraph" w:customStyle="1" w:styleId="AAAAA">
    <w:name w:val="AAAAA"/>
    <w:basedOn w:val="AAAA"/>
    <w:qFormat/>
    <w:rsid w:val="00963F30"/>
  </w:style>
  <w:style w:type="paragraph" w:customStyle="1" w:styleId="AAAAAA">
    <w:name w:val="AAAAAA"/>
    <w:basedOn w:val="AAAAA"/>
    <w:qFormat/>
    <w:rsid w:val="00963F30"/>
  </w:style>
  <w:style w:type="paragraph" w:styleId="ResimYazs">
    <w:name w:val="caption"/>
    <w:basedOn w:val="Normal"/>
    <w:next w:val="Normal"/>
    <w:uiPriority w:val="35"/>
    <w:unhideWhenUsed/>
    <w:qFormat/>
    <w:rsid w:val="00290C3C"/>
    <w:pPr>
      <w:spacing w:after="200" w:line="240" w:lineRule="auto"/>
    </w:pPr>
    <w:rPr>
      <w:b/>
      <w:bCs/>
      <w:color w:val="5B9BD5" w:themeColor="accent1"/>
      <w:sz w:val="18"/>
      <w:szCs w:val="18"/>
    </w:rPr>
  </w:style>
  <w:style w:type="character" w:customStyle="1" w:styleId="Balk3Char">
    <w:name w:val="Başlık 3 Char"/>
    <w:basedOn w:val="VarsaylanParagrafYazTipi"/>
    <w:link w:val="Balk3"/>
    <w:uiPriority w:val="9"/>
    <w:semiHidden/>
    <w:rsid w:val="00E54FD5"/>
    <w:rPr>
      <w:rFonts w:asciiTheme="majorHAnsi" w:eastAsiaTheme="majorEastAsia" w:hAnsiTheme="majorHAnsi" w:cstheme="majorBidi"/>
      <w:b/>
      <w:bCs/>
      <w:color w:val="5B9BD5" w:themeColor="accent1"/>
      <w:sz w:val="24"/>
      <w:szCs w:val="24"/>
      <w:lang w:eastAsia="tr-TR"/>
    </w:rPr>
  </w:style>
  <w:style w:type="character" w:customStyle="1" w:styleId="Balk2Char">
    <w:name w:val="Başlık 2 Char"/>
    <w:basedOn w:val="VarsaylanParagrafYazTipi"/>
    <w:link w:val="Balk2"/>
    <w:uiPriority w:val="9"/>
    <w:semiHidden/>
    <w:rsid w:val="00E54FD5"/>
    <w:rPr>
      <w:rFonts w:asciiTheme="majorHAnsi" w:eastAsiaTheme="majorEastAsia" w:hAnsiTheme="majorHAnsi" w:cstheme="majorBidi"/>
      <w:b/>
      <w:bCs/>
      <w:color w:val="5B9BD5" w:themeColor="accent1"/>
      <w:sz w:val="26"/>
      <w:szCs w:val="26"/>
      <w:lang w:eastAsia="tr-TR"/>
    </w:rPr>
  </w:style>
  <w:style w:type="paragraph" w:styleId="T4">
    <w:name w:val="toc 4"/>
    <w:basedOn w:val="Normal"/>
    <w:next w:val="Normal"/>
    <w:autoRedefine/>
    <w:uiPriority w:val="39"/>
    <w:unhideWhenUsed/>
    <w:rsid w:val="00E54FD5"/>
    <w:pPr>
      <w:ind w:left="720"/>
      <w:jc w:val="left"/>
    </w:pPr>
    <w:rPr>
      <w:rFonts w:asciiTheme="minorHAnsi" w:hAnsiTheme="minorHAnsi"/>
      <w:sz w:val="20"/>
      <w:szCs w:val="20"/>
    </w:rPr>
  </w:style>
  <w:style w:type="paragraph" w:styleId="T5">
    <w:name w:val="toc 5"/>
    <w:basedOn w:val="Normal"/>
    <w:next w:val="Normal"/>
    <w:autoRedefine/>
    <w:uiPriority w:val="39"/>
    <w:unhideWhenUsed/>
    <w:rsid w:val="00E54FD5"/>
    <w:pPr>
      <w:ind w:left="960"/>
      <w:jc w:val="left"/>
    </w:pPr>
    <w:rPr>
      <w:rFonts w:asciiTheme="minorHAnsi" w:hAnsiTheme="minorHAnsi"/>
      <w:sz w:val="20"/>
      <w:szCs w:val="20"/>
    </w:rPr>
  </w:style>
  <w:style w:type="paragraph" w:styleId="T6">
    <w:name w:val="toc 6"/>
    <w:basedOn w:val="Normal"/>
    <w:next w:val="Normal"/>
    <w:autoRedefine/>
    <w:uiPriority w:val="39"/>
    <w:unhideWhenUsed/>
    <w:rsid w:val="00E54FD5"/>
    <w:pPr>
      <w:ind w:left="1200"/>
      <w:jc w:val="left"/>
    </w:pPr>
    <w:rPr>
      <w:rFonts w:asciiTheme="minorHAnsi" w:hAnsiTheme="minorHAnsi"/>
      <w:sz w:val="20"/>
      <w:szCs w:val="20"/>
    </w:rPr>
  </w:style>
  <w:style w:type="paragraph" w:styleId="T7">
    <w:name w:val="toc 7"/>
    <w:basedOn w:val="Normal"/>
    <w:next w:val="Normal"/>
    <w:autoRedefine/>
    <w:uiPriority w:val="39"/>
    <w:unhideWhenUsed/>
    <w:rsid w:val="00E54FD5"/>
    <w:pPr>
      <w:ind w:left="1440"/>
      <w:jc w:val="left"/>
    </w:pPr>
    <w:rPr>
      <w:rFonts w:asciiTheme="minorHAnsi" w:hAnsiTheme="minorHAnsi"/>
      <w:sz w:val="20"/>
      <w:szCs w:val="20"/>
    </w:rPr>
  </w:style>
  <w:style w:type="paragraph" w:styleId="T8">
    <w:name w:val="toc 8"/>
    <w:basedOn w:val="Normal"/>
    <w:next w:val="Normal"/>
    <w:autoRedefine/>
    <w:uiPriority w:val="39"/>
    <w:unhideWhenUsed/>
    <w:rsid w:val="00E54FD5"/>
    <w:pPr>
      <w:ind w:left="1680"/>
      <w:jc w:val="left"/>
    </w:pPr>
    <w:rPr>
      <w:rFonts w:asciiTheme="minorHAnsi" w:hAnsiTheme="minorHAnsi"/>
      <w:sz w:val="20"/>
      <w:szCs w:val="20"/>
    </w:rPr>
  </w:style>
  <w:style w:type="paragraph" w:styleId="T9">
    <w:name w:val="toc 9"/>
    <w:basedOn w:val="Normal"/>
    <w:next w:val="Normal"/>
    <w:autoRedefine/>
    <w:uiPriority w:val="39"/>
    <w:unhideWhenUsed/>
    <w:rsid w:val="00E54FD5"/>
    <w:pPr>
      <w:ind w:left="1920"/>
      <w:jc w:val="left"/>
    </w:pPr>
    <w:rPr>
      <w:rFonts w:asciiTheme="minorHAnsi" w:hAnsiTheme="minorHAnsi"/>
      <w:sz w:val="20"/>
      <w:szCs w:val="20"/>
    </w:rPr>
  </w:style>
  <w:style w:type="paragraph" w:styleId="ekillerTablosu">
    <w:name w:val="table of figures"/>
    <w:basedOn w:val="Normal"/>
    <w:next w:val="Normal"/>
    <w:uiPriority w:val="99"/>
    <w:unhideWhenUsed/>
    <w:rsid w:val="00E54FD5"/>
    <w:pPr>
      <w:ind w:firstLine="0"/>
      <w:jc w:val="left"/>
    </w:pPr>
    <w:rPr>
      <w:rFonts w:asciiTheme="minorHAnsi" w:hAnsiTheme="minorHAnsi"/>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47618">
      <w:bodyDiv w:val="1"/>
      <w:marLeft w:val="0"/>
      <w:marRight w:val="0"/>
      <w:marTop w:val="0"/>
      <w:marBottom w:val="0"/>
      <w:divBdr>
        <w:top w:val="none" w:sz="0" w:space="0" w:color="auto"/>
        <w:left w:val="none" w:sz="0" w:space="0" w:color="auto"/>
        <w:bottom w:val="none" w:sz="0" w:space="0" w:color="auto"/>
        <w:right w:val="none" w:sz="0" w:space="0" w:color="auto"/>
      </w:divBdr>
    </w:div>
    <w:div w:id="45229868">
      <w:bodyDiv w:val="1"/>
      <w:marLeft w:val="0"/>
      <w:marRight w:val="0"/>
      <w:marTop w:val="0"/>
      <w:marBottom w:val="0"/>
      <w:divBdr>
        <w:top w:val="none" w:sz="0" w:space="0" w:color="auto"/>
        <w:left w:val="none" w:sz="0" w:space="0" w:color="auto"/>
        <w:bottom w:val="none" w:sz="0" w:space="0" w:color="auto"/>
        <w:right w:val="none" w:sz="0" w:space="0" w:color="auto"/>
      </w:divBdr>
    </w:div>
    <w:div w:id="204760204">
      <w:bodyDiv w:val="1"/>
      <w:marLeft w:val="0"/>
      <w:marRight w:val="0"/>
      <w:marTop w:val="0"/>
      <w:marBottom w:val="0"/>
      <w:divBdr>
        <w:top w:val="none" w:sz="0" w:space="0" w:color="auto"/>
        <w:left w:val="none" w:sz="0" w:space="0" w:color="auto"/>
        <w:bottom w:val="none" w:sz="0" w:space="0" w:color="auto"/>
        <w:right w:val="none" w:sz="0" w:space="0" w:color="auto"/>
      </w:divBdr>
    </w:div>
    <w:div w:id="209852160">
      <w:bodyDiv w:val="1"/>
      <w:marLeft w:val="0"/>
      <w:marRight w:val="0"/>
      <w:marTop w:val="0"/>
      <w:marBottom w:val="0"/>
      <w:divBdr>
        <w:top w:val="none" w:sz="0" w:space="0" w:color="auto"/>
        <w:left w:val="none" w:sz="0" w:space="0" w:color="auto"/>
        <w:bottom w:val="none" w:sz="0" w:space="0" w:color="auto"/>
        <w:right w:val="none" w:sz="0" w:space="0" w:color="auto"/>
      </w:divBdr>
    </w:div>
    <w:div w:id="343097414">
      <w:bodyDiv w:val="1"/>
      <w:marLeft w:val="0"/>
      <w:marRight w:val="0"/>
      <w:marTop w:val="0"/>
      <w:marBottom w:val="0"/>
      <w:divBdr>
        <w:top w:val="none" w:sz="0" w:space="0" w:color="auto"/>
        <w:left w:val="none" w:sz="0" w:space="0" w:color="auto"/>
        <w:bottom w:val="none" w:sz="0" w:space="0" w:color="auto"/>
        <w:right w:val="none" w:sz="0" w:space="0" w:color="auto"/>
      </w:divBdr>
      <w:divsChild>
        <w:div w:id="519663529">
          <w:marLeft w:val="0"/>
          <w:marRight w:val="0"/>
          <w:marTop w:val="0"/>
          <w:marBottom w:val="0"/>
          <w:divBdr>
            <w:top w:val="none" w:sz="0" w:space="0" w:color="auto"/>
            <w:left w:val="none" w:sz="0" w:space="0" w:color="auto"/>
            <w:bottom w:val="none" w:sz="0" w:space="0" w:color="auto"/>
            <w:right w:val="none" w:sz="0" w:space="0" w:color="auto"/>
          </w:divBdr>
        </w:div>
      </w:divsChild>
    </w:div>
    <w:div w:id="517164535">
      <w:bodyDiv w:val="1"/>
      <w:marLeft w:val="0"/>
      <w:marRight w:val="0"/>
      <w:marTop w:val="0"/>
      <w:marBottom w:val="0"/>
      <w:divBdr>
        <w:top w:val="none" w:sz="0" w:space="0" w:color="auto"/>
        <w:left w:val="none" w:sz="0" w:space="0" w:color="auto"/>
        <w:bottom w:val="none" w:sz="0" w:space="0" w:color="auto"/>
        <w:right w:val="none" w:sz="0" w:space="0" w:color="auto"/>
      </w:divBdr>
    </w:div>
    <w:div w:id="528296335">
      <w:bodyDiv w:val="1"/>
      <w:marLeft w:val="0"/>
      <w:marRight w:val="0"/>
      <w:marTop w:val="0"/>
      <w:marBottom w:val="0"/>
      <w:divBdr>
        <w:top w:val="none" w:sz="0" w:space="0" w:color="auto"/>
        <w:left w:val="none" w:sz="0" w:space="0" w:color="auto"/>
        <w:bottom w:val="none" w:sz="0" w:space="0" w:color="auto"/>
        <w:right w:val="none" w:sz="0" w:space="0" w:color="auto"/>
      </w:divBdr>
    </w:div>
    <w:div w:id="689798182">
      <w:bodyDiv w:val="1"/>
      <w:marLeft w:val="0"/>
      <w:marRight w:val="0"/>
      <w:marTop w:val="0"/>
      <w:marBottom w:val="0"/>
      <w:divBdr>
        <w:top w:val="none" w:sz="0" w:space="0" w:color="auto"/>
        <w:left w:val="none" w:sz="0" w:space="0" w:color="auto"/>
        <w:bottom w:val="none" w:sz="0" w:space="0" w:color="auto"/>
        <w:right w:val="none" w:sz="0" w:space="0" w:color="auto"/>
      </w:divBdr>
    </w:div>
    <w:div w:id="748191070">
      <w:bodyDiv w:val="1"/>
      <w:marLeft w:val="0"/>
      <w:marRight w:val="0"/>
      <w:marTop w:val="0"/>
      <w:marBottom w:val="0"/>
      <w:divBdr>
        <w:top w:val="none" w:sz="0" w:space="0" w:color="auto"/>
        <w:left w:val="none" w:sz="0" w:space="0" w:color="auto"/>
        <w:bottom w:val="none" w:sz="0" w:space="0" w:color="auto"/>
        <w:right w:val="none" w:sz="0" w:space="0" w:color="auto"/>
      </w:divBdr>
    </w:div>
    <w:div w:id="773282988">
      <w:bodyDiv w:val="1"/>
      <w:marLeft w:val="0"/>
      <w:marRight w:val="0"/>
      <w:marTop w:val="0"/>
      <w:marBottom w:val="0"/>
      <w:divBdr>
        <w:top w:val="none" w:sz="0" w:space="0" w:color="auto"/>
        <w:left w:val="none" w:sz="0" w:space="0" w:color="auto"/>
        <w:bottom w:val="none" w:sz="0" w:space="0" w:color="auto"/>
        <w:right w:val="none" w:sz="0" w:space="0" w:color="auto"/>
      </w:divBdr>
    </w:div>
    <w:div w:id="799809298">
      <w:bodyDiv w:val="1"/>
      <w:marLeft w:val="0"/>
      <w:marRight w:val="0"/>
      <w:marTop w:val="0"/>
      <w:marBottom w:val="0"/>
      <w:divBdr>
        <w:top w:val="none" w:sz="0" w:space="0" w:color="auto"/>
        <w:left w:val="none" w:sz="0" w:space="0" w:color="auto"/>
        <w:bottom w:val="none" w:sz="0" w:space="0" w:color="auto"/>
        <w:right w:val="none" w:sz="0" w:space="0" w:color="auto"/>
      </w:divBdr>
    </w:div>
    <w:div w:id="1165559976">
      <w:bodyDiv w:val="1"/>
      <w:marLeft w:val="0"/>
      <w:marRight w:val="0"/>
      <w:marTop w:val="0"/>
      <w:marBottom w:val="0"/>
      <w:divBdr>
        <w:top w:val="none" w:sz="0" w:space="0" w:color="auto"/>
        <w:left w:val="none" w:sz="0" w:space="0" w:color="auto"/>
        <w:bottom w:val="none" w:sz="0" w:space="0" w:color="auto"/>
        <w:right w:val="none" w:sz="0" w:space="0" w:color="auto"/>
      </w:divBdr>
    </w:div>
    <w:div w:id="1179850170">
      <w:bodyDiv w:val="1"/>
      <w:marLeft w:val="0"/>
      <w:marRight w:val="0"/>
      <w:marTop w:val="0"/>
      <w:marBottom w:val="0"/>
      <w:divBdr>
        <w:top w:val="none" w:sz="0" w:space="0" w:color="auto"/>
        <w:left w:val="none" w:sz="0" w:space="0" w:color="auto"/>
        <w:bottom w:val="none" w:sz="0" w:space="0" w:color="auto"/>
        <w:right w:val="none" w:sz="0" w:space="0" w:color="auto"/>
      </w:divBdr>
    </w:div>
    <w:div w:id="1394155678">
      <w:bodyDiv w:val="1"/>
      <w:marLeft w:val="0"/>
      <w:marRight w:val="0"/>
      <w:marTop w:val="0"/>
      <w:marBottom w:val="0"/>
      <w:divBdr>
        <w:top w:val="none" w:sz="0" w:space="0" w:color="auto"/>
        <w:left w:val="none" w:sz="0" w:space="0" w:color="auto"/>
        <w:bottom w:val="none" w:sz="0" w:space="0" w:color="auto"/>
        <w:right w:val="none" w:sz="0" w:space="0" w:color="auto"/>
      </w:divBdr>
    </w:div>
    <w:div w:id="1569807472">
      <w:bodyDiv w:val="1"/>
      <w:marLeft w:val="0"/>
      <w:marRight w:val="0"/>
      <w:marTop w:val="0"/>
      <w:marBottom w:val="0"/>
      <w:divBdr>
        <w:top w:val="none" w:sz="0" w:space="0" w:color="auto"/>
        <w:left w:val="none" w:sz="0" w:space="0" w:color="auto"/>
        <w:bottom w:val="none" w:sz="0" w:space="0" w:color="auto"/>
        <w:right w:val="none" w:sz="0" w:space="0" w:color="auto"/>
      </w:divBdr>
    </w:div>
    <w:div w:id="1570069358">
      <w:bodyDiv w:val="1"/>
      <w:marLeft w:val="0"/>
      <w:marRight w:val="0"/>
      <w:marTop w:val="0"/>
      <w:marBottom w:val="0"/>
      <w:divBdr>
        <w:top w:val="none" w:sz="0" w:space="0" w:color="auto"/>
        <w:left w:val="none" w:sz="0" w:space="0" w:color="auto"/>
        <w:bottom w:val="none" w:sz="0" w:space="0" w:color="auto"/>
        <w:right w:val="none" w:sz="0" w:space="0" w:color="auto"/>
      </w:divBdr>
    </w:div>
    <w:div w:id="1570191158">
      <w:bodyDiv w:val="1"/>
      <w:marLeft w:val="0"/>
      <w:marRight w:val="0"/>
      <w:marTop w:val="0"/>
      <w:marBottom w:val="0"/>
      <w:divBdr>
        <w:top w:val="none" w:sz="0" w:space="0" w:color="auto"/>
        <w:left w:val="none" w:sz="0" w:space="0" w:color="auto"/>
        <w:bottom w:val="none" w:sz="0" w:space="0" w:color="auto"/>
        <w:right w:val="none" w:sz="0" w:space="0" w:color="auto"/>
      </w:divBdr>
    </w:div>
    <w:div w:id="1652833402">
      <w:bodyDiv w:val="1"/>
      <w:marLeft w:val="0"/>
      <w:marRight w:val="0"/>
      <w:marTop w:val="0"/>
      <w:marBottom w:val="0"/>
      <w:divBdr>
        <w:top w:val="none" w:sz="0" w:space="0" w:color="auto"/>
        <w:left w:val="none" w:sz="0" w:space="0" w:color="auto"/>
        <w:bottom w:val="none" w:sz="0" w:space="0" w:color="auto"/>
        <w:right w:val="none" w:sz="0" w:space="0" w:color="auto"/>
      </w:divBdr>
    </w:div>
    <w:div w:id="1864055263">
      <w:bodyDiv w:val="1"/>
      <w:marLeft w:val="0"/>
      <w:marRight w:val="0"/>
      <w:marTop w:val="0"/>
      <w:marBottom w:val="0"/>
      <w:divBdr>
        <w:top w:val="none" w:sz="0" w:space="0" w:color="auto"/>
        <w:left w:val="none" w:sz="0" w:space="0" w:color="auto"/>
        <w:bottom w:val="none" w:sz="0" w:space="0" w:color="auto"/>
        <w:right w:val="none" w:sz="0" w:space="0" w:color="auto"/>
      </w:divBdr>
    </w:div>
    <w:div w:id="1950121384">
      <w:bodyDiv w:val="1"/>
      <w:marLeft w:val="0"/>
      <w:marRight w:val="0"/>
      <w:marTop w:val="0"/>
      <w:marBottom w:val="0"/>
      <w:divBdr>
        <w:top w:val="none" w:sz="0" w:space="0" w:color="auto"/>
        <w:left w:val="none" w:sz="0" w:space="0" w:color="auto"/>
        <w:bottom w:val="none" w:sz="0" w:space="0" w:color="auto"/>
        <w:right w:val="none" w:sz="0" w:space="0" w:color="auto"/>
      </w:divBdr>
    </w:div>
    <w:div w:id="2042901761">
      <w:bodyDiv w:val="1"/>
      <w:marLeft w:val="0"/>
      <w:marRight w:val="0"/>
      <w:marTop w:val="0"/>
      <w:marBottom w:val="0"/>
      <w:divBdr>
        <w:top w:val="none" w:sz="0" w:space="0" w:color="auto"/>
        <w:left w:val="none" w:sz="0" w:space="0" w:color="auto"/>
        <w:bottom w:val="none" w:sz="0" w:space="0" w:color="auto"/>
        <w:right w:val="none" w:sz="0" w:space="0" w:color="auto"/>
      </w:divBdr>
      <w:divsChild>
        <w:div w:id="16936030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dergipark.org.tr/tr/download/article-file/30283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pps.who.int/iris/bitstream/handle/10665/326043/9789241516204-eng.pdf?ua=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EDC97-B49F-4136-9979-1E612F273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998</TotalTime>
  <Pages>43</Pages>
  <Words>10072</Words>
  <Characters>57412</Characters>
  <Application>Microsoft Office Word</Application>
  <DocSecurity>0</DocSecurity>
  <Lines>478</Lines>
  <Paragraphs>134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w10</dc:creator>
  <cp:lastModifiedBy>w10</cp:lastModifiedBy>
  <cp:revision>82</cp:revision>
  <cp:lastPrinted>2020-01-21T11:21:00Z</cp:lastPrinted>
  <dcterms:created xsi:type="dcterms:W3CDTF">2019-12-31T09:02:00Z</dcterms:created>
  <dcterms:modified xsi:type="dcterms:W3CDTF">2020-03-16T18:57:00Z</dcterms:modified>
</cp:coreProperties>
</file>